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C192C43A5844F10BF448094A287B7D7" style="width:450.75pt;height:340.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ANNEXE I</w:t>
      </w:r>
    </w:p>
    <w:p>
      <w:pPr>
        <w:rPr>
          <w:rFonts w:ascii="Times New Roman" w:hAnsi="Times New Roman" w:cs="Times New Roman"/>
          <w:noProof/>
          <w:color w:val="0070C0"/>
          <w:sz w:val="24"/>
          <w:szCs w:val="24"/>
        </w:rPr>
      </w:pPr>
    </w:p>
    <w:p>
      <w:pPr>
        <w:rPr>
          <w:rFonts w:ascii="Times New Roman" w:hAnsi="Times New Roman" w:cs="Times New Roman"/>
          <w:b/>
          <w:noProof/>
          <w:sz w:val="24"/>
          <w:szCs w:val="24"/>
        </w:rPr>
      </w:pPr>
      <w:r>
        <w:rPr>
          <w:rFonts w:ascii="Times New Roman" w:hAnsi="Times New Roman"/>
          <w:b/>
          <w:noProof/>
          <w:sz w:val="24"/>
        </w:rPr>
        <w:t>CLASSIFICATION DES DÉCLARANTS</w:t>
      </w:r>
    </w:p>
    <w:p>
      <w:pPr>
        <w:rPr>
          <w:rFonts w:ascii="Times New Roman" w:hAnsi="Times New Roman" w:cs="Times New Roman"/>
          <w:b/>
          <w:noProof/>
          <w:sz w:val="24"/>
          <w:szCs w:val="24"/>
        </w:rPr>
      </w:pPr>
    </w:p>
    <w:p>
      <w:pPr>
        <w:rPr>
          <w:rFonts w:ascii="Times New Roman" w:hAnsi="Times New Roman" w:cs="Times New Roman"/>
          <w:noProof/>
          <w:sz w:val="24"/>
          <w:szCs w:val="24"/>
        </w:rPr>
      </w:pPr>
      <w:r>
        <w:rPr>
          <w:rFonts w:ascii="Times New Roman" w:hAnsi="Times New Roman"/>
          <w:noProof/>
          <w:sz w:val="24"/>
        </w:rPr>
        <w:t xml:space="preserve">Le secrétariat applique la classification ci-dessous pour les déclarants, classification qu’il se réserve le droit de modifier. </w:t>
      </w:r>
    </w:p>
    <w:p>
      <w:pPr>
        <w:rPr>
          <w:rFonts w:ascii="Times New Roman" w:hAnsi="Times New Roman" w:cs="Times New Roman"/>
          <w:noProof/>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68"/>
        <w:gridCol w:w="1838"/>
        <w:gridCol w:w="6882"/>
      </w:tblGrid>
      <w:tr>
        <w:tc>
          <w:tcPr>
            <w:tcW w:w="568" w:type="dxa"/>
          </w:tcPr>
          <w:p>
            <w:pPr>
              <w:spacing w:before="120" w:after="120"/>
              <w:rPr>
                <w:rFonts w:ascii="Times New Roman" w:hAnsi="Times New Roman" w:cs="Times New Roman"/>
                <w:b/>
                <w:noProof/>
                <w:sz w:val="24"/>
                <w:szCs w:val="24"/>
              </w:rPr>
            </w:pPr>
          </w:p>
        </w:tc>
        <w:tc>
          <w:tcPr>
            <w:tcW w:w="8720" w:type="dxa"/>
            <w:gridSpan w:val="2"/>
          </w:tcPr>
          <w:p>
            <w:pPr>
              <w:spacing w:before="120" w:after="120"/>
              <w:rPr>
                <w:rFonts w:ascii="Times New Roman" w:hAnsi="Times New Roman" w:cs="Times New Roman"/>
                <w:b/>
                <w:noProof/>
                <w:sz w:val="24"/>
                <w:szCs w:val="24"/>
              </w:rPr>
            </w:pPr>
            <w:r>
              <w:rPr>
                <w:rFonts w:ascii="Times New Roman" w:hAnsi="Times New Roman"/>
                <w:b/>
                <w:noProof/>
                <w:sz w:val="24"/>
              </w:rPr>
              <w:t>Sections de la classification des déclarants</w:t>
            </w:r>
          </w:p>
        </w:tc>
      </w:tr>
      <w:tr>
        <w:tc>
          <w:tcPr>
            <w:tcW w:w="568" w:type="dxa"/>
          </w:tcPr>
          <w:p>
            <w:pPr>
              <w:spacing w:before="120" w:after="120"/>
              <w:rPr>
                <w:rFonts w:ascii="Times New Roman" w:hAnsi="Times New Roman" w:cs="Times New Roman"/>
                <w:b/>
                <w:noProof/>
                <w:sz w:val="24"/>
                <w:szCs w:val="24"/>
              </w:rPr>
            </w:pPr>
            <w:r>
              <w:rPr>
                <w:rFonts w:ascii="Times New Roman" w:hAnsi="Times New Roman"/>
                <w:b/>
                <w:noProof/>
                <w:sz w:val="24"/>
              </w:rPr>
              <w:t>I.</w:t>
            </w:r>
          </w:p>
        </w:tc>
        <w:tc>
          <w:tcPr>
            <w:tcW w:w="8720" w:type="dxa"/>
            <w:gridSpan w:val="2"/>
          </w:tcPr>
          <w:p>
            <w:pPr>
              <w:spacing w:before="120" w:after="120"/>
              <w:rPr>
                <w:rFonts w:ascii="Times New Roman" w:hAnsi="Times New Roman" w:cs="Times New Roman"/>
                <w:b/>
                <w:noProof/>
                <w:sz w:val="24"/>
                <w:szCs w:val="24"/>
              </w:rPr>
            </w:pPr>
            <w:r>
              <w:rPr>
                <w:rFonts w:ascii="Times New Roman" w:hAnsi="Times New Roman"/>
                <w:b/>
                <w:noProof/>
                <w:sz w:val="24"/>
              </w:rPr>
              <w:t>Cabinets de consultants spécialisés, cabinets d’avocats, consultants indépendants</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a</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 xml:space="preserve">Sous-section </w:t>
            </w:r>
          </w:p>
        </w:tc>
        <w:tc>
          <w:tcPr>
            <w:tcW w:w="6882" w:type="dxa"/>
          </w:tcPr>
          <w:p>
            <w:pPr>
              <w:spacing w:before="120" w:after="120"/>
              <w:rPr>
                <w:rFonts w:ascii="Times New Roman" w:hAnsi="Times New Roman" w:cs="Times New Roman"/>
                <w:noProof/>
                <w:sz w:val="24"/>
                <w:szCs w:val="24"/>
              </w:rPr>
            </w:pPr>
            <w:r>
              <w:rPr>
                <w:rFonts w:ascii="Times New Roman" w:hAnsi="Times New Roman"/>
                <w:noProof/>
                <w:sz w:val="24"/>
              </w:rPr>
              <w:t>Cabinets de consultants spécialisés</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b</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spacing w:before="120" w:after="120"/>
              <w:rPr>
                <w:rFonts w:ascii="Times New Roman" w:hAnsi="Times New Roman" w:cs="Times New Roman"/>
                <w:noProof/>
                <w:sz w:val="24"/>
                <w:szCs w:val="24"/>
              </w:rPr>
            </w:pPr>
            <w:r>
              <w:rPr>
                <w:rFonts w:ascii="Times New Roman" w:hAnsi="Times New Roman"/>
                <w:noProof/>
                <w:sz w:val="24"/>
              </w:rPr>
              <w:t>Cabinets d’avocats</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c</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spacing w:before="120" w:after="120"/>
              <w:rPr>
                <w:rFonts w:ascii="Times New Roman" w:hAnsi="Times New Roman" w:cs="Times New Roman"/>
                <w:noProof/>
                <w:sz w:val="24"/>
                <w:szCs w:val="24"/>
              </w:rPr>
            </w:pPr>
            <w:r>
              <w:rPr>
                <w:rFonts w:ascii="Times New Roman" w:hAnsi="Times New Roman"/>
                <w:noProof/>
                <w:sz w:val="24"/>
              </w:rPr>
              <w:t>Consultants agissant en qualité d’indépendants</w:t>
            </w:r>
          </w:p>
        </w:tc>
      </w:tr>
      <w:tr>
        <w:tc>
          <w:tcPr>
            <w:tcW w:w="568" w:type="dxa"/>
          </w:tcPr>
          <w:p>
            <w:pPr>
              <w:spacing w:before="120" w:after="120"/>
              <w:rPr>
                <w:rFonts w:ascii="Times New Roman" w:hAnsi="Times New Roman" w:cs="Times New Roman"/>
                <w:b/>
                <w:noProof/>
                <w:sz w:val="24"/>
                <w:szCs w:val="24"/>
              </w:rPr>
            </w:pPr>
            <w:r>
              <w:rPr>
                <w:rFonts w:ascii="Times New Roman" w:hAnsi="Times New Roman"/>
                <w:b/>
                <w:noProof/>
                <w:sz w:val="24"/>
              </w:rPr>
              <w:t>II.</w:t>
            </w:r>
          </w:p>
        </w:tc>
        <w:tc>
          <w:tcPr>
            <w:tcW w:w="8720" w:type="dxa"/>
            <w:gridSpan w:val="2"/>
          </w:tcPr>
          <w:p>
            <w:pPr>
              <w:spacing w:before="120" w:after="120"/>
              <w:rPr>
                <w:rFonts w:ascii="Times New Roman" w:hAnsi="Times New Roman" w:cs="Times New Roman"/>
                <w:b/>
                <w:noProof/>
                <w:sz w:val="24"/>
                <w:szCs w:val="24"/>
              </w:rPr>
            </w:pPr>
            <w:r>
              <w:rPr>
                <w:rFonts w:ascii="Times New Roman" w:hAnsi="Times New Roman"/>
                <w:b/>
                <w:noProof/>
                <w:sz w:val="24"/>
              </w:rPr>
              <w:t>Sociétés, groupements professionnels commerciaux et industriels, syndicats, associations professionnelles</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a</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spacing w:before="120" w:after="120"/>
              <w:rPr>
                <w:rFonts w:ascii="Times New Roman" w:hAnsi="Times New Roman" w:cs="Times New Roman"/>
                <w:noProof/>
                <w:sz w:val="24"/>
                <w:szCs w:val="24"/>
              </w:rPr>
            </w:pPr>
            <w:r>
              <w:rPr>
                <w:rFonts w:ascii="Times New Roman" w:hAnsi="Times New Roman"/>
                <w:noProof/>
                <w:sz w:val="24"/>
              </w:rPr>
              <w:t>Sociétés</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b</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spacing w:before="120" w:after="120"/>
              <w:rPr>
                <w:rFonts w:ascii="Times New Roman" w:hAnsi="Times New Roman" w:cs="Times New Roman"/>
                <w:noProof/>
                <w:sz w:val="24"/>
                <w:szCs w:val="24"/>
              </w:rPr>
            </w:pPr>
            <w:r>
              <w:rPr>
                <w:rFonts w:ascii="Times New Roman" w:hAnsi="Times New Roman"/>
                <w:noProof/>
                <w:sz w:val="24"/>
              </w:rPr>
              <w:t>Groupements professionnels commerciaux et industriels</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c</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spacing w:before="120" w:after="120"/>
              <w:rPr>
                <w:rFonts w:ascii="Times New Roman" w:hAnsi="Times New Roman" w:cs="Times New Roman"/>
                <w:noProof/>
                <w:sz w:val="24"/>
                <w:szCs w:val="24"/>
              </w:rPr>
            </w:pPr>
            <w:r>
              <w:rPr>
                <w:rFonts w:ascii="Times New Roman" w:hAnsi="Times New Roman"/>
                <w:noProof/>
                <w:sz w:val="24"/>
              </w:rPr>
              <w:t>Associations syndicales et professionnelles</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d</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rPr>
                <w:rFonts w:ascii="Times New Roman" w:hAnsi="Times New Roman" w:cs="Times New Roman"/>
                <w:noProof/>
                <w:sz w:val="24"/>
                <w:szCs w:val="24"/>
              </w:rPr>
            </w:pPr>
            <w:r>
              <w:rPr>
                <w:rFonts w:ascii="Times New Roman" w:hAnsi="Times New Roman"/>
                <w:noProof/>
                <w:sz w:val="24"/>
              </w:rPr>
              <w:t xml:space="preserve">Entités organisatrices de manifestations </w:t>
            </w:r>
          </w:p>
        </w:tc>
      </w:tr>
      <w:tr>
        <w:tc>
          <w:tcPr>
            <w:tcW w:w="568" w:type="dxa"/>
          </w:tcPr>
          <w:p>
            <w:pPr>
              <w:spacing w:before="120" w:after="120"/>
              <w:rPr>
                <w:rFonts w:ascii="Times New Roman" w:hAnsi="Times New Roman" w:cs="Times New Roman"/>
                <w:b/>
                <w:noProof/>
                <w:sz w:val="24"/>
                <w:szCs w:val="24"/>
              </w:rPr>
            </w:pPr>
            <w:r>
              <w:rPr>
                <w:rFonts w:ascii="Times New Roman" w:hAnsi="Times New Roman"/>
                <w:b/>
                <w:noProof/>
                <w:sz w:val="24"/>
              </w:rPr>
              <w:t>III.</w:t>
            </w:r>
          </w:p>
        </w:tc>
        <w:tc>
          <w:tcPr>
            <w:tcW w:w="8720" w:type="dxa"/>
            <w:gridSpan w:val="2"/>
          </w:tcPr>
          <w:p>
            <w:pPr>
              <w:spacing w:before="120" w:after="120"/>
              <w:rPr>
                <w:rFonts w:ascii="Times New Roman" w:hAnsi="Times New Roman" w:cs="Times New Roman"/>
                <w:b/>
                <w:noProof/>
                <w:sz w:val="24"/>
                <w:szCs w:val="24"/>
              </w:rPr>
            </w:pPr>
            <w:r>
              <w:rPr>
                <w:rFonts w:ascii="Times New Roman" w:hAnsi="Times New Roman"/>
                <w:b/>
                <w:noProof/>
                <w:sz w:val="24"/>
              </w:rPr>
              <w:t>Organisations non gouvernementales</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a</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rPr>
                <w:rFonts w:ascii="Times New Roman" w:hAnsi="Times New Roman" w:cs="Times New Roman"/>
                <w:noProof/>
                <w:sz w:val="24"/>
                <w:szCs w:val="24"/>
              </w:rPr>
            </w:pPr>
            <w:r>
              <w:rPr>
                <w:rFonts w:ascii="Times New Roman" w:hAnsi="Times New Roman"/>
                <w:noProof/>
                <w:sz w:val="24"/>
              </w:rPr>
              <w:t>Organisations non gouvernementales, plates-formes, réseaux, coalitions ad hoc, structures temporaires et autres organisations assimilées</w:t>
            </w:r>
          </w:p>
        </w:tc>
      </w:tr>
      <w:tr>
        <w:tc>
          <w:tcPr>
            <w:tcW w:w="568" w:type="dxa"/>
          </w:tcPr>
          <w:p>
            <w:pPr>
              <w:spacing w:before="120" w:after="120"/>
              <w:rPr>
                <w:rFonts w:ascii="Times New Roman" w:hAnsi="Times New Roman" w:cs="Times New Roman"/>
                <w:b/>
                <w:noProof/>
                <w:sz w:val="24"/>
                <w:szCs w:val="24"/>
              </w:rPr>
            </w:pPr>
            <w:r>
              <w:rPr>
                <w:rFonts w:ascii="Times New Roman" w:hAnsi="Times New Roman"/>
                <w:b/>
                <w:noProof/>
                <w:sz w:val="24"/>
              </w:rPr>
              <w:t>IV.</w:t>
            </w:r>
          </w:p>
        </w:tc>
        <w:tc>
          <w:tcPr>
            <w:tcW w:w="8720" w:type="dxa"/>
            <w:gridSpan w:val="2"/>
          </w:tcPr>
          <w:p>
            <w:pPr>
              <w:spacing w:before="120" w:after="120"/>
              <w:rPr>
                <w:rFonts w:ascii="Times New Roman" w:hAnsi="Times New Roman" w:cs="Times New Roman"/>
                <w:b/>
                <w:noProof/>
                <w:sz w:val="24"/>
                <w:szCs w:val="24"/>
              </w:rPr>
            </w:pPr>
            <w:r>
              <w:rPr>
                <w:rFonts w:ascii="Times New Roman" w:hAnsi="Times New Roman"/>
                <w:b/>
                <w:noProof/>
                <w:sz w:val="24"/>
              </w:rPr>
              <w:t xml:space="preserve">Groupes de réflexion, organismes de recherche et institutions académiques  </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a</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spacing w:before="120" w:after="120"/>
              <w:rPr>
                <w:rFonts w:ascii="Times New Roman" w:hAnsi="Times New Roman" w:cs="Times New Roman"/>
                <w:noProof/>
                <w:sz w:val="24"/>
                <w:szCs w:val="24"/>
              </w:rPr>
            </w:pPr>
            <w:r>
              <w:rPr>
                <w:rFonts w:ascii="Times New Roman" w:hAnsi="Times New Roman"/>
                <w:noProof/>
                <w:sz w:val="24"/>
              </w:rPr>
              <w:t>Groupes de réflexion et organismes de recherche</w:t>
            </w:r>
          </w:p>
        </w:tc>
      </w:tr>
      <w:tr>
        <w:tc>
          <w:tcPr>
            <w:tcW w:w="568" w:type="dxa"/>
          </w:tcPr>
          <w:p>
            <w:pPr>
              <w:spacing w:before="120" w:after="120"/>
              <w:rPr>
                <w:rFonts w:ascii="Times New Roman" w:hAnsi="Times New Roman" w:cs="Times New Roman"/>
                <w:noProof/>
                <w:sz w:val="24"/>
                <w:szCs w:val="24"/>
              </w:rPr>
            </w:pPr>
            <w:r>
              <w:rPr>
                <w:rFonts w:ascii="Times New Roman" w:hAnsi="Times New Roman"/>
                <w:noProof/>
                <w:sz w:val="24"/>
              </w:rPr>
              <w:t>b</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Pr>
          <w:p>
            <w:pPr>
              <w:spacing w:before="120" w:after="120"/>
              <w:rPr>
                <w:rFonts w:ascii="Times New Roman" w:hAnsi="Times New Roman" w:cs="Times New Roman"/>
                <w:noProof/>
                <w:sz w:val="24"/>
                <w:szCs w:val="24"/>
              </w:rPr>
            </w:pPr>
            <w:r>
              <w:rPr>
                <w:rFonts w:ascii="Times New Roman" w:hAnsi="Times New Roman"/>
                <w:noProof/>
                <w:sz w:val="24"/>
              </w:rPr>
              <w:t>Institutions académiques</w:t>
            </w:r>
          </w:p>
        </w:tc>
      </w:tr>
      <w:tr>
        <w:tc>
          <w:tcPr>
            <w:tcW w:w="568" w:type="dxa"/>
          </w:tcPr>
          <w:p>
            <w:pPr>
              <w:spacing w:before="120" w:after="120"/>
              <w:rPr>
                <w:rFonts w:ascii="Times New Roman" w:hAnsi="Times New Roman" w:cs="Times New Roman"/>
                <w:b/>
                <w:noProof/>
                <w:sz w:val="24"/>
                <w:szCs w:val="24"/>
              </w:rPr>
            </w:pPr>
            <w:r>
              <w:rPr>
                <w:rFonts w:ascii="Times New Roman" w:hAnsi="Times New Roman"/>
                <w:b/>
                <w:noProof/>
                <w:sz w:val="24"/>
              </w:rPr>
              <w:t>V.</w:t>
            </w:r>
          </w:p>
        </w:tc>
        <w:tc>
          <w:tcPr>
            <w:tcW w:w="8720" w:type="dxa"/>
            <w:gridSpan w:val="2"/>
          </w:tcPr>
          <w:p>
            <w:pPr>
              <w:spacing w:before="120" w:after="120"/>
              <w:rPr>
                <w:rFonts w:ascii="Times New Roman" w:hAnsi="Times New Roman" w:cs="Times New Roman"/>
                <w:b/>
                <w:noProof/>
                <w:sz w:val="24"/>
                <w:szCs w:val="24"/>
              </w:rPr>
            </w:pPr>
            <w:r>
              <w:rPr>
                <w:rFonts w:ascii="Times New Roman" w:hAnsi="Times New Roman"/>
                <w:b/>
                <w:noProof/>
                <w:sz w:val="24"/>
              </w:rPr>
              <w:t>Représentants d’intérêts non couverts par les sections précédentes</w:t>
            </w:r>
          </w:p>
        </w:tc>
      </w:tr>
      <w:tr>
        <w:tc>
          <w:tcPr>
            <w:tcW w:w="568" w:type="dxa"/>
            <w:tcBorders>
              <w:bottom w:val="single" w:sz="4" w:space="0" w:color="auto"/>
            </w:tcBorders>
          </w:tcPr>
          <w:p>
            <w:pPr>
              <w:spacing w:before="120" w:after="120"/>
              <w:rPr>
                <w:rFonts w:ascii="Times New Roman" w:hAnsi="Times New Roman" w:cs="Times New Roman"/>
                <w:noProof/>
                <w:sz w:val="24"/>
                <w:szCs w:val="24"/>
              </w:rPr>
            </w:pPr>
            <w:r>
              <w:rPr>
                <w:rFonts w:ascii="Times New Roman" w:hAnsi="Times New Roman"/>
                <w:noProof/>
                <w:sz w:val="24"/>
              </w:rPr>
              <w:t>a</w:t>
            </w:r>
          </w:p>
        </w:tc>
        <w:tc>
          <w:tcPr>
            <w:tcW w:w="1838" w:type="dxa"/>
            <w:tcBorders>
              <w:bottom w:val="single" w:sz="4" w:space="0" w:color="auto"/>
            </w:tcBorders>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Borders>
              <w:bottom w:val="single" w:sz="4" w:space="0" w:color="auto"/>
            </w:tcBorders>
          </w:tcPr>
          <w:p>
            <w:pPr>
              <w:spacing w:before="120" w:after="120"/>
              <w:rPr>
                <w:rFonts w:ascii="Times New Roman" w:hAnsi="Times New Roman" w:cs="Times New Roman"/>
                <w:noProof/>
                <w:sz w:val="24"/>
                <w:szCs w:val="24"/>
              </w:rPr>
            </w:pPr>
            <w:r>
              <w:rPr>
                <w:rFonts w:ascii="Times New Roman" w:hAnsi="Times New Roman"/>
                <w:noProof/>
                <w:sz w:val="24"/>
              </w:rPr>
              <w:t xml:space="preserve">Organisations représentant des églises et des communautés religieuses </w:t>
            </w:r>
          </w:p>
        </w:tc>
      </w:tr>
      <w:tr>
        <w:tblPrEx>
          <w:tblBorders>
            <w:left w:val="single" w:sz="4" w:space="0" w:color="auto"/>
            <w:right w:val="single" w:sz="4" w:space="0" w:color="auto"/>
          </w:tblBorders>
        </w:tblPrEx>
        <w:tc>
          <w:tcPr>
            <w:tcW w:w="568" w:type="dxa"/>
            <w:tcBorders>
              <w:left w:val="nil"/>
            </w:tcBorders>
          </w:tcPr>
          <w:p>
            <w:pPr>
              <w:spacing w:before="120" w:after="120"/>
              <w:rPr>
                <w:rFonts w:ascii="Times New Roman" w:hAnsi="Times New Roman" w:cs="Times New Roman"/>
                <w:noProof/>
                <w:sz w:val="24"/>
                <w:szCs w:val="24"/>
              </w:rPr>
            </w:pPr>
            <w:r>
              <w:rPr>
                <w:rFonts w:ascii="Times New Roman" w:hAnsi="Times New Roman"/>
                <w:noProof/>
                <w:sz w:val="24"/>
              </w:rPr>
              <w:t>b</w:t>
            </w:r>
          </w:p>
        </w:tc>
        <w:tc>
          <w:tcPr>
            <w:tcW w:w="1838" w:type="dxa"/>
          </w:tcPr>
          <w:p>
            <w:pPr>
              <w:spacing w:before="120" w:after="120"/>
              <w:rPr>
                <w:rFonts w:ascii="Times New Roman" w:hAnsi="Times New Roman" w:cs="Times New Roman"/>
                <w:noProof/>
                <w:sz w:val="24"/>
                <w:szCs w:val="24"/>
              </w:rPr>
            </w:pPr>
            <w:r>
              <w:rPr>
                <w:rFonts w:ascii="Times New Roman" w:hAnsi="Times New Roman"/>
                <w:noProof/>
                <w:sz w:val="24"/>
              </w:rPr>
              <w:t>Sous-section</w:t>
            </w:r>
          </w:p>
        </w:tc>
        <w:tc>
          <w:tcPr>
            <w:tcW w:w="6882" w:type="dxa"/>
            <w:tcBorders>
              <w:right w:val="nil"/>
            </w:tcBorders>
          </w:tcPr>
          <w:p>
            <w:pPr>
              <w:spacing w:before="120" w:after="120"/>
              <w:rPr>
                <w:rFonts w:ascii="Times New Roman" w:hAnsi="Times New Roman" w:cs="Times New Roman"/>
                <w:noProof/>
                <w:sz w:val="24"/>
                <w:szCs w:val="24"/>
              </w:rPr>
            </w:pPr>
            <w:r>
              <w:rPr>
                <w:rFonts w:ascii="Times New Roman" w:hAnsi="Times New Roman"/>
                <w:noProof/>
                <w:sz w:val="24"/>
              </w:rPr>
              <w:t xml:space="preserve">Autres entités non couvertes par les sections précédentes </w:t>
            </w:r>
          </w:p>
        </w:tc>
      </w:tr>
    </w:tbl>
    <w:p>
      <w:pPr>
        <w:rPr>
          <w:rFonts w:ascii="Times New Roman" w:hAnsi="Times New Roman" w:cs="Times New Roman"/>
          <w:noProof/>
          <w:sz w:val="24"/>
          <w:szCs w:val="24"/>
        </w:rPr>
      </w:pPr>
    </w:p>
    <w:p>
      <w:pPr>
        <w:rPr>
          <w:rFonts w:ascii="Times New Roman" w:hAnsi="Times New Roman" w:cs="Times New Roman"/>
          <w:noProof/>
          <w:sz w:val="24"/>
          <w:szCs w:val="24"/>
        </w:rPr>
      </w:pPr>
      <w:r>
        <w:rPr>
          <w:noProof/>
        </w:rPr>
        <w:br w:type="page"/>
      </w:r>
    </w:p>
    <w:p>
      <w:pPr>
        <w:jc w:val="both"/>
        <w:rPr>
          <w:rFonts w:ascii="Times New Roman" w:hAnsi="Times New Roman" w:cs="Times New Roman"/>
          <w:b/>
          <w:noProof/>
          <w:sz w:val="24"/>
          <w:szCs w:val="24"/>
        </w:rPr>
      </w:pPr>
      <w:r>
        <w:rPr>
          <w:rFonts w:ascii="Times New Roman" w:hAnsi="Times New Roman"/>
          <w:b/>
          <w:noProof/>
          <w:sz w:val="24"/>
        </w:rPr>
        <w:t>ANNEXE II</w:t>
      </w:r>
    </w:p>
    <w:p>
      <w:pPr>
        <w:rPr>
          <w:rFonts w:ascii="Times New Roman" w:hAnsi="Times New Roman" w:cs="Times New Roman"/>
          <w:noProof/>
          <w:color w:val="0070C0"/>
          <w:sz w:val="24"/>
          <w:szCs w:val="24"/>
        </w:rPr>
      </w:pPr>
    </w:p>
    <w:p>
      <w:pPr>
        <w:jc w:val="both"/>
        <w:rPr>
          <w:rFonts w:ascii="Times New Roman" w:hAnsi="Times New Roman" w:cs="Times New Roman"/>
          <w:b/>
          <w:noProof/>
          <w:sz w:val="24"/>
          <w:szCs w:val="24"/>
        </w:rPr>
      </w:pPr>
      <w:r>
        <w:rPr>
          <w:rFonts w:ascii="Times New Roman" w:hAnsi="Times New Roman"/>
          <w:b/>
          <w:noProof/>
          <w:sz w:val="24"/>
        </w:rPr>
        <w:t>INFORMATIONS À FOURNIR PAR LES DÉCLARANTS</w:t>
      </w:r>
    </w:p>
    <w:p>
      <w:pPr>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 xml:space="preserve">I.   INFORMATIONS GÉNÉRALES </w:t>
      </w:r>
    </w:p>
    <w:p>
      <w:pPr>
        <w:jc w:val="both"/>
        <w:rPr>
          <w:rFonts w:ascii="Times New Roman" w:hAnsi="Times New Roman" w:cs="Times New Roman"/>
          <w:noProof/>
          <w:sz w:val="24"/>
          <w:szCs w:val="24"/>
        </w:rPr>
      </w:pPr>
      <w:r>
        <w:rPr>
          <w:rFonts w:ascii="Times New Roman" w:hAnsi="Times New Roman"/>
          <w:noProof/>
          <w:sz w:val="24"/>
        </w:rPr>
        <w:t>(a) nom de l’entité; adresse du siège social et du bureau dans l’UE, s’il est différent du siège social; numéro de téléphone; adresse électronique</w:t>
      </w:r>
      <w:r>
        <w:rPr>
          <w:rStyle w:val="FootnoteReference"/>
          <w:rFonts w:ascii="Times New Roman" w:hAnsi="Times New Roman"/>
          <w:noProof/>
          <w:sz w:val="24"/>
        </w:rPr>
        <w:footnoteReference w:id="1"/>
      </w:r>
      <w:r>
        <w:rPr>
          <w:noProof/>
        </w:rPr>
        <w:t>;</w:t>
      </w:r>
      <w:r>
        <w:rPr>
          <w:rFonts w:ascii="Times New Roman" w:hAnsi="Times New Roman"/>
          <w:noProof/>
          <w:sz w:val="24"/>
        </w:rPr>
        <w:t xml:space="preserve"> site Internet;</w:t>
      </w:r>
    </w:p>
    <w:p>
      <w:pPr>
        <w:jc w:val="both"/>
        <w:rPr>
          <w:rFonts w:ascii="Times New Roman" w:hAnsi="Times New Roman" w:cs="Times New Roman"/>
          <w:noProof/>
          <w:sz w:val="24"/>
          <w:szCs w:val="24"/>
        </w:rPr>
      </w:pPr>
      <w:r>
        <w:rPr>
          <w:rFonts w:ascii="Times New Roman" w:hAnsi="Times New Roman"/>
          <w:noProof/>
          <w:sz w:val="24"/>
        </w:rPr>
        <w:t>(b) nom de la personne légalement responsable de l’organisation et de la personne en charge des relations avec l’UE; nom des personnes autorisées à accéder aux bâtiments du Parlement européen</w:t>
      </w:r>
      <w:r>
        <w:rPr>
          <w:rStyle w:val="FootnoteReference"/>
          <w:rFonts w:ascii="Times New Roman" w:hAnsi="Times New Roman"/>
          <w:noProof/>
          <w:sz w:val="24"/>
        </w:rPr>
        <w:footnoteReference w:id="2"/>
      </w:r>
      <w:r>
        <w:rPr>
          <w:noProof/>
        </w:rPr>
        <w:t>;</w:t>
      </w:r>
    </w:p>
    <w:p>
      <w:pPr>
        <w:jc w:val="both"/>
        <w:rPr>
          <w:rFonts w:ascii="Times New Roman" w:hAnsi="Times New Roman" w:cs="Times New Roman"/>
          <w:noProof/>
          <w:sz w:val="24"/>
          <w:szCs w:val="24"/>
        </w:rPr>
      </w:pPr>
      <w:r>
        <w:rPr>
          <w:rFonts w:ascii="Times New Roman" w:hAnsi="Times New Roman"/>
          <w:noProof/>
          <w:sz w:val="24"/>
        </w:rPr>
        <w:t xml:space="preserve">(c) estimation des équivalents temps plein (ETP) de toutes les personnes participant à des activités couvertes par le registre conformément aux pourcentages suivants d’une activité à temps plein: 10 %, 25 %, 50 %, 75 % ou 100 %; </w:t>
      </w:r>
    </w:p>
    <w:p>
      <w:pPr>
        <w:jc w:val="both"/>
        <w:rPr>
          <w:rFonts w:ascii="Times New Roman" w:hAnsi="Times New Roman" w:cs="Times New Roman"/>
          <w:noProof/>
          <w:sz w:val="24"/>
          <w:szCs w:val="24"/>
        </w:rPr>
      </w:pPr>
      <w:r>
        <w:rPr>
          <w:rFonts w:ascii="Times New Roman" w:hAnsi="Times New Roman"/>
          <w:noProof/>
          <w:sz w:val="24"/>
        </w:rPr>
        <w:t>(d) objectifs/attributions — domaines d’intérêt — activités relevant du champ d’application du registre — niveau de participation (global, européen, national, régional);</w:t>
      </w:r>
    </w:p>
    <w:p>
      <w:pPr>
        <w:jc w:val="both"/>
        <w:rPr>
          <w:rFonts w:ascii="Times New Roman" w:hAnsi="Times New Roman" w:cs="Times New Roman"/>
          <w:noProof/>
          <w:sz w:val="24"/>
          <w:szCs w:val="24"/>
        </w:rPr>
      </w:pPr>
      <w:r>
        <w:rPr>
          <w:rFonts w:ascii="Times New Roman" w:hAnsi="Times New Roman"/>
          <w:noProof/>
          <w:sz w:val="24"/>
        </w:rPr>
        <w:t>(e) organisations affiliées du déclarant, y compris couverture géographique et appartenance ou affiliation du déclarant aux réseaux et associations pertinents relevant du champ d'application du registre.</w:t>
      </w:r>
    </w:p>
    <w:p>
      <w:pPr>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 xml:space="preserve">II.   INFORMATIONS SPÉCIFIQUES </w:t>
      </w:r>
    </w:p>
    <w:p>
      <w:pPr>
        <w:jc w:val="both"/>
        <w:rPr>
          <w:rFonts w:ascii="Times New Roman" w:hAnsi="Times New Roman" w:cs="Times New Roman"/>
          <w:b/>
          <w:noProof/>
          <w:sz w:val="24"/>
          <w:szCs w:val="24"/>
        </w:rPr>
      </w:pPr>
      <w:r>
        <w:rPr>
          <w:rFonts w:ascii="Times New Roman" w:hAnsi="Times New Roman"/>
          <w:b/>
          <w:noProof/>
          <w:sz w:val="24"/>
        </w:rPr>
        <w:t xml:space="preserve">A.   Activités couvertes par le registre </w:t>
      </w:r>
    </w:p>
    <w:p>
      <w:pPr>
        <w:jc w:val="both"/>
        <w:rPr>
          <w:rFonts w:ascii="Times New Roman" w:hAnsi="Times New Roman" w:cs="Times New Roman"/>
          <w:noProof/>
          <w:sz w:val="24"/>
          <w:szCs w:val="24"/>
        </w:rPr>
      </w:pPr>
      <w:r>
        <w:rPr>
          <w:rFonts w:ascii="Times New Roman" w:hAnsi="Times New Roman"/>
          <w:noProof/>
          <w:sz w:val="24"/>
        </w:rPr>
        <w:t xml:space="preserve">Renseignements concernant les propositions législatives, politiques ou initiatives de l’UE objet des interactions. </w:t>
      </w:r>
    </w:p>
    <w:p>
      <w:pPr>
        <w:jc w:val="both"/>
        <w:rPr>
          <w:rFonts w:ascii="Times New Roman" w:hAnsi="Times New Roman" w:cs="Times New Roman"/>
          <w:b/>
          <w:noProof/>
          <w:sz w:val="24"/>
          <w:szCs w:val="24"/>
        </w:rPr>
      </w:pPr>
      <w:r>
        <w:rPr>
          <w:rFonts w:ascii="Times New Roman" w:hAnsi="Times New Roman"/>
          <w:b/>
          <w:noProof/>
          <w:sz w:val="24"/>
        </w:rPr>
        <w:t xml:space="preserve">B.   Liens avec les institutions de l’UE </w:t>
      </w:r>
    </w:p>
    <w:p>
      <w:pPr>
        <w:jc w:val="both"/>
        <w:rPr>
          <w:rFonts w:ascii="Times New Roman" w:hAnsi="Times New Roman" w:cs="Times New Roman"/>
          <w:noProof/>
          <w:sz w:val="24"/>
          <w:szCs w:val="24"/>
        </w:rPr>
      </w:pPr>
      <w:r>
        <w:rPr>
          <w:rFonts w:ascii="Times New Roman" w:hAnsi="Times New Roman"/>
          <w:noProof/>
          <w:sz w:val="24"/>
        </w:rPr>
        <w:t>(a) appartenance à des groupes d’experts et d’autres forums et plates-formes soutenus par l’UE;</w:t>
      </w:r>
    </w:p>
    <w:p>
      <w:pPr>
        <w:jc w:val="both"/>
        <w:rPr>
          <w:rFonts w:ascii="Times New Roman" w:hAnsi="Times New Roman" w:cs="Times New Roman"/>
          <w:noProof/>
          <w:sz w:val="24"/>
          <w:szCs w:val="24"/>
        </w:rPr>
      </w:pPr>
      <w:r>
        <w:rPr>
          <w:rFonts w:ascii="Times New Roman" w:hAnsi="Times New Roman"/>
          <w:noProof/>
          <w:sz w:val="24"/>
        </w:rPr>
        <w:t>(b) appartenance à des intergroupes et des forums sectoriels du Parlement européen, ou participation à ceux-ci.</w:t>
      </w:r>
    </w:p>
    <w:p>
      <w:pPr>
        <w:rPr>
          <w:rFonts w:ascii="Times New Roman" w:hAnsi="Times New Roman" w:cs="Times New Roman"/>
          <w:noProof/>
          <w:sz w:val="24"/>
          <w:szCs w:val="24"/>
        </w:rPr>
      </w:pPr>
      <w:r>
        <w:rPr>
          <w:noProof/>
        </w:rPr>
        <w:br w:type="page"/>
      </w:r>
    </w:p>
    <w:p>
      <w:pPr>
        <w:jc w:val="both"/>
        <w:rPr>
          <w:rFonts w:ascii="Times New Roman" w:hAnsi="Times New Roman" w:cs="Times New Roman"/>
          <w:b/>
          <w:noProof/>
          <w:sz w:val="24"/>
          <w:szCs w:val="24"/>
        </w:rPr>
      </w:pPr>
      <w:r>
        <w:rPr>
          <w:rFonts w:ascii="Times New Roman" w:hAnsi="Times New Roman"/>
          <w:b/>
          <w:noProof/>
          <w:sz w:val="24"/>
        </w:rPr>
        <w:t>C.   Informations financières liées aux activités couvertes par le registre</w:t>
      </w:r>
    </w:p>
    <w:p>
      <w:pPr>
        <w:jc w:val="both"/>
        <w:rPr>
          <w:rFonts w:ascii="Times New Roman" w:hAnsi="Times New Roman" w:cs="Times New Roman"/>
          <w:noProof/>
          <w:sz w:val="24"/>
          <w:szCs w:val="24"/>
        </w:rPr>
      </w:pPr>
      <w:r>
        <w:rPr>
          <w:rFonts w:ascii="Times New Roman" w:hAnsi="Times New Roman"/>
          <w:noProof/>
          <w:sz w:val="24"/>
        </w:rPr>
        <w:t>Toutes les sommes indiquées sont exprimées en euros.</w:t>
      </w:r>
    </w:p>
    <w:p>
      <w:pPr>
        <w:jc w:val="both"/>
        <w:rPr>
          <w:rFonts w:ascii="Times New Roman" w:hAnsi="Times New Roman" w:cs="Times New Roman"/>
          <w:b/>
          <w:noProof/>
          <w:sz w:val="24"/>
          <w:szCs w:val="24"/>
          <w:u w:val="single"/>
        </w:rPr>
      </w:pPr>
      <w:r>
        <w:rPr>
          <w:rFonts w:ascii="Times New Roman" w:hAnsi="Times New Roman"/>
          <w:b/>
          <w:noProof/>
          <w:sz w:val="24"/>
          <w:u w:val="single"/>
        </w:rPr>
        <w:t>Coûts</w:t>
      </w:r>
    </w:p>
    <w:p>
      <w:pPr>
        <w:jc w:val="both"/>
        <w:rPr>
          <w:rFonts w:ascii="Times New Roman" w:hAnsi="Times New Roman" w:cs="Times New Roman"/>
          <w:noProof/>
          <w:sz w:val="24"/>
          <w:szCs w:val="24"/>
        </w:rPr>
      </w:pPr>
      <w:r>
        <w:rPr>
          <w:rFonts w:ascii="Times New Roman" w:hAnsi="Times New Roman"/>
          <w:noProof/>
          <w:sz w:val="24"/>
        </w:rPr>
        <w:t xml:space="preserve">Tous les déclarants qui assurent la promotion de leurs propres intérêts vis-à-vis de l’une ou l’autre des trois institutions fournissent un devis des coûts annuels liés aux activités couvertes par le registre conformément à la grille ci-dessous. Le devis des coûts annuels couvre une année complète de fonctionnement et se rapporte au dernier exercice financier clos, à compter de la date d’enregistrement ou de la mise à jour annuelle des données de l’enregistrement. </w:t>
      </w:r>
    </w:p>
    <w:p>
      <w:pPr>
        <w:jc w:val="both"/>
        <w:rPr>
          <w:rFonts w:ascii="Times New Roman" w:hAnsi="Times New Roman" w:cs="Times New Roman"/>
          <w:noProof/>
          <w:sz w:val="24"/>
          <w:szCs w:val="24"/>
        </w:rPr>
      </w:pPr>
      <w:r>
        <w:rPr>
          <w:rFonts w:ascii="Times New Roman" w:hAnsi="Times New Roman"/>
          <w:noProof/>
          <w:sz w:val="24"/>
        </w:rPr>
        <w:t>Coûts annuels des activités couvertes par le registre:</w:t>
      </w:r>
    </w:p>
    <w:p>
      <w:pPr>
        <w:ind w:left="1134"/>
        <w:jc w:val="both"/>
        <w:rPr>
          <w:rFonts w:ascii="Times New Roman" w:hAnsi="Times New Roman" w:cs="Times New Roman"/>
          <w:noProof/>
          <w:sz w:val="24"/>
          <w:szCs w:val="24"/>
        </w:rPr>
      </w:pPr>
      <w:r>
        <w:rPr>
          <w:rFonts w:ascii="Times New Roman" w:hAnsi="Times New Roman"/>
          <w:noProof/>
          <w:sz w:val="24"/>
        </w:rPr>
        <w:t>&lt; 10 000</w:t>
      </w:r>
    </w:p>
    <w:p>
      <w:pPr>
        <w:ind w:left="1134"/>
        <w:jc w:val="both"/>
        <w:rPr>
          <w:rFonts w:ascii="Times New Roman" w:hAnsi="Times New Roman" w:cs="Times New Roman"/>
          <w:noProof/>
          <w:sz w:val="24"/>
          <w:szCs w:val="24"/>
        </w:rPr>
      </w:pPr>
      <w:r>
        <w:rPr>
          <w:rFonts w:ascii="Times New Roman" w:hAnsi="Times New Roman"/>
          <w:noProof/>
          <w:sz w:val="24"/>
        </w:rPr>
        <w:t xml:space="preserve">10 000 – 24 999 </w:t>
      </w:r>
    </w:p>
    <w:p>
      <w:pPr>
        <w:ind w:left="1134"/>
        <w:jc w:val="both"/>
        <w:rPr>
          <w:rFonts w:ascii="Times New Roman" w:hAnsi="Times New Roman" w:cs="Times New Roman"/>
          <w:noProof/>
          <w:sz w:val="24"/>
          <w:szCs w:val="24"/>
        </w:rPr>
      </w:pPr>
      <w:r>
        <w:rPr>
          <w:rFonts w:ascii="Times New Roman" w:hAnsi="Times New Roman"/>
          <w:noProof/>
          <w:sz w:val="24"/>
        </w:rPr>
        <w:t xml:space="preserve">25 000 – 49 999 </w:t>
      </w:r>
    </w:p>
    <w:p>
      <w:pPr>
        <w:ind w:left="1134"/>
        <w:jc w:val="both"/>
        <w:rPr>
          <w:rFonts w:ascii="Times New Roman" w:hAnsi="Times New Roman" w:cs="Times New Roman"/>
          <w:noProof/>
          <w:sz w:val="24"/>
          <w:szCs w:val="24"/>
        </w:rPr>
      </w:pPr>
      <w:r>
        <w:rPr>
          <w:rFonts w:ascii="Times New Roman" w:hAnsi="Times New Roman"/>
          <w:noProof/>
          <w:sz w:val="24"/>
        </w:rPr>
        <w:t xml:space="preserve">50 000 – 99 999 </w:t>
      </w:r>
    </w:p>
    <w:p>
      <w:pPr>
        <w:ind w:left="1134"/>
        <w:jc w:val="both"/>
        <w:rPr>
          <w:rFonts w:ascii="Times New Roman" w:hAnsi="Times New Roman" w:cs="Times New Roman"/>
          <w:noProof/>
          <w:sz w:val="24"/>
          <w:szCs w:val="24"/>
        </w:rPr>
      </w:pPr>
      <w:r>
        <w:rPr>
          <w:rFonts w:ascii="Times New Roman" w:hAnsi="Times New Roman"/>
          <w:noProof/>
          <w:sz w:val="24"/>
        </w:rPr>
        <w:t xml:space="preserve">100 000 – 199 999 </w:t>
      </w:r>
    </w:p>
    <w:p>
      <w:pPr>
        <w:ind w:left="1134"/>
        <w:jc w:val="both"/>
        <w:rPr>
          <w:rFonts w:ascii="Times New Roman" w:hAnsi="Times New Roman" w:cs="Times New Roman"/>
          <w:noProof/>
          <w:sz w:val="24"/>
          <w:szCs w:val="24"/>
        </w:rPr>
      </w:pPr>
      <w:r>
        <w:rPr>
          <w:rFonts w:ascii="Times New Roman" w:hAnsi="Times New Roman"/>
          <w:noProof/>
          <w:sz w:val="24"/>
        </w:rPr>
        <w:t xml:space="preserve">200 000 – 299 999 </w:t>
      </w:r>
    </w:p>
    <w:p>
      <w:pPr>
        <w:ind w:left="1134"/>
        <w:jc w:val="both"/>
        <w:rPr>
          <w:rFonts w:ascii="Times New Roman" w:hAnsi="Times New Roman" w:cs="Times New Roman"/>
          <w:noProof/>
          <w:sz w:val="24"/>
          <w:szCs w:val="24"/>
        </w:rPr>
      </w:pPr>
      <w:r>
        <w:rPr>
          <w:rFonts w:ascii="Times New Roman" w:hAnsi="Times New Roman"/>
          <w:noProof/>
          <w:sz w:val="24"/>
        </w:rPr>
        <w:t xml:space="preserve">300 000 – 399 999 </w:t>
      </w:r>
    </w:p>
    <w:p>
      <w:pPr>
        <w:ind w:left="1134"/>
        <w:jc w:val="both"/>
        <w:rPr>
          <w:rFonts w:ascii="Times New Roman" w:hAnsi="Times New Roman" w:cs="Times New Roman"/>
          <w:noProof/>
          <w:sz w:val="24"/>
          <w:szCs w:val="24"/>
        </w:rPr>
      </w:pPr>
      <w:r>
        <w:rPr>
          <w:rFonts w:ascii="Times New Roman" w:hAnsi="Times New Roman"/>
          <w:noProof/>
          <w:sz w:val="24"/>
        </w:rPr>
        <w:t xml:space="preserve">400 000 – 499 999 </w:t>
      </w:r>
    </w:p>
    <w:p>
      <w:pPr>
        <w:ind w:left="1134"/>
        <w:jc w:val="both"/>
        <w:rPr>
          <w:rFonts w:ascii="Times New Roman" w:hAnsi="Times New Roman" w:cs="Times New Roman"/>
          <w:noProof/>
          <w:sz w:val="24"/>
          <w:szCs w:val="24"/>
        </w:rPr>
      </w:pPr>
      <w:r>
        <w:rPr>
          <w:rFonts w:ascii="Times New Roman" w:hAnsi="Times New Roman"/>
          <w:noProof/>
          <w:sz w:val="24"/>
        </w:rPr>
        <w:t xml:space="preserve">500 000 – 599 999 </w:t>
      </w:r>
    </w:p>
    <w:p>
      <w:pPr>
        <w:ind w:left="1134"/>
        <w:jc w:val="both"/>
        <w:rPr>
          <w:rFonts w:ascii="Times New Roman" w:hAnsi="Times New Roman" w:cs="Times New Roman"/>
          <w:noProof/>
          <w:sz w:val="24"/>
          <w:szCs w:val="24"/>
        </w:rPr>
      </w:pPr>
      <w:r>
        <w:rPr>
          <w:rFonts w:ascii="Times New Roman" w:hAnsi="Times New Roman"/>
          <w:noProof/>
          <w:sz w:val="24"/>
        </w:rPr>
        <w:t xml:space="preserve">600 000 – 699 999 </w:t>
      </w:r>
    </w:p>
    <w:p>
      <w:pPr>
        <w:ind w:left="1134"/>
        <w:jc w:val="both"/>
        <w:rPr>
          <w:rFonts w:ascii="Times New Roman" w:hAnsi="Times New Roman" w:cs="Times New Roman"/>
          <w:noProof/>
          <w:sz w:val="24"/>
          <w:szCs w:val="24"/>
        </w:rPr>
      </w:pPr>
      <w:r>
        <w:rPr>
          <w:rFonts w:ascii="Times New Roman" w:hAnsi="Times New Roman"/>
          <w:noProof/>
          <w:sz w:val="24"/>
        </w:rPr>
        <w:t xml:space="preserve">700 000 – 799 999 </w:t>
      </w:r>
    </w:p>
    <w:p>
      <w:pPr>
        <w:ind w:left="1134"/>
        <w:jc w:val="both"/>
        <w:rPr>
          <w:rFonts w:ascii="Times New Roman" w:hAnsi="Times New Roman" w:cs="Times New Roman"/>
          <w:noProof/>
          <w:sz w:val="24"/>
          <w:szCs w:val="24"/>
        </w:rPr>
      </w:pPr>
      <w:r>
        <w:rPr>
          <w:rFonts w:ascii="Times New Roman" w:hAnsi="Times New Roman"/>
          <w:noProof/>
          <w:sz w:val="24"/>
        </w:rPr>
        <w:t xml:space="preserve">800 000 – 899 999 </w:t>
      </w:r>
    </w:p>
    <w:p>
      <w:pPr>
        <w:ind w:left="1134"/>
        <w:jc w:val="both"/>
        <w:rPr>
          <w:rFonts w:ascii="Times New Roman" w:hAnsi="Times New Roman" w:cs="Times New Roman"/>
          <w:noProof/>
          <w:sz w:val="24"/>
          <w:szCs w:val="24"/>
        </w:rPr>
      </w:pPr>
      <w:r>
        <w:rPr>
          <w:rFonts w:ascii="Times New Roman" w:hAnsi="Times New Roman"/>
          <w:noProof/>
          <w:sz w:val="24"/>
        </w:rPr>
        <w:t xml:space="preserve">900 000 – 999 999 </w:t>
      </w:r>
    </w:p>
    <w:p>
      <w:pPr>
        <w:ind w:left="1134"/>
        <w:jc w:val="both"/>
        <w:rPr>
          <w:rFonts w:ascii="Times New Roman" w:hAnsi="Times New Roman" w:cs="Times New Roman"/>
          <w:noProof/>
          <w:sz w:val="24"/>
          <w:szCs w:val="24"/>
        </w:rPr>
      </w:pPr>
      <w:r>
        <w:rPr>
          <w:rFonts w:ascii="Times New Roman" w:hAnsi="Times New Roman"/>
          <w:noProof/>
          <w:sz w:val="24"/>
        </w:rPr>
        <w:t xml:space="preserve">1 000 000 – 1 249 999 </w:t>
      </w:r>
    </w:p>
    <w:p>
      <w:pPr>
        <w:ind w:left="1134"/>
        <w:jc w:val="both"/>
        <w:rPr>
          <w:rFonts w:ascii="Times New Roman" w:hAnsi="Times New Roman" w:cs="Times New Roman"/>
          <w:noProof/>
          <w:sz w:val="24"/>
          <w:szCs w:val="24"/>
        </w:rPr>
      </w:pPr>
      <w:r>
        <w:rPr>
          <w:rFonts w:ascii="Times New Roman" w:hAnsi="Times New Roman"/>
          <w:noProof/>
          <w:sz w:val="24"/>
        </w:rPr>
        <w:t xml:space="preserve">1 250 000 – 1 499 999 </w:t>
      </w:r>
    </w:p>
    <w:p>
      <w:pPr>
        <w:ind w:left="1134"/>
        <w:jc w:val="both"/>
        <w:rPr>
          <w:rFonts w:ascii="Times New Roman" w:hAnsi="Times New Roman" w:cs="Times New Roman"/>
          <w:noProof/>
          <w:sz w:val="24"/>
          <w:szCs w:val="24"/>
        </w:rPr>
      </w:pPr>
      <w:r>
        <w:rPr>
          <w:rFonts w:ascii="Times New Roman" w:hAnsi="Times New Roman"/>
          <w:noProof/>
          <w:sz w:val="24"/>
        </w:rPr>
        <w:t xml:space="preserve">1 500 000 – 1 749 000 </w:t>
      </w:r>
    </w:p>
    <w:p>
      <w:pPr>
        <w:ind w:left="1134"/>
        <w:jc w:val="both"/>
        <w:rPr>
          <w:rFonts w:ascii="Times New Roman" w:hAnsi="Times New Roman" w:cs="Times New Roman"/>
          <w:noProof/>
          <w:sz w:val="24"/>
          <w:szCs w:val="24"/>
        </w:rPr>
      </w:pPr>
      <w:r>
        <w:rPr>
          <w:rFonts w:ascii="Times New Roman" w:hAnsi="Times New Roman"/>
          <w:noProof/>
          <w:sz w:val="24"/>
        </w:rPr>
        <w:t xml:space="preserve">1 750 000 – 1 999 999 </w:t>
      </w:r>
    </w:p>
    <w:p>
      <w:pPr>
        <w:ind w:left="1134"/>
        <w:jc w:val="both"/>
        <w:rPr>
          <w:rFonts w:ascii="Times New Roman" w:hAnsi="Times New Roman" w:cs="Times New Roman"/>
          <w:noProof/>
          <w:sz w:val="24"/>
          <w:szCs w:val="24"/>
        </w:rPr>
      </w:pPr>
      <w:r>
        <w:rPr>
          <w:rFonts w:ascii="Times New Roman" w:hAnsi="Times New Roman"/>
          <w:noProof/>
          <w:sz w:val="24"/>
        </w:rPr>
        <w:t xml:space="preserve">2 000 000 – 2 249 999 </w:t>
      </w:r>
    </w:p>
    <w:p>
      <w:pPr>
        <w:ind w:left="1134"/>
        <w:jc w:val="both"/>
        <w:rPr>
          <w:rFonts w:ascii="Times New Roman" w:hAnsi="Times New Roman" w:cs="Times New Roman"/>
          <w:noProof/>
          <w:sz w:val="24"/>
          <w:szCs w:val="24"/>
        </w:rPr>
      </w:pPr>
      <w:r>
        <w:rPr>
          <w:rFonts w:ascii="Times New Roman" w:hAnsi="Times New Roman"/>
          <w:noProof/>
          <w:sz w:val="24"/>
        </w:rPr>
        <w:t xml:space="preserve">2 250 000 – 2 499 999 </w:t>
      </w:r>
    </w:p>
    <w:p>
      <w:pPr>
        <w:ind w:left="1134"/>
        <w:jc w:val="both"/>
        <w:rPr>
          <w:rFonts w:ascii="Times New Roman" w:hAnsi="Times New Roman" w:cs="Times New Roman"/>
          <w:noProof/>
          <w:sz w:val="24"/>
          <w:szCs w:val="24"/>
        </w:rPr>
      </w:pPr>
      <w:r>
        <w:rPr>
          <w:rFonts w:ascii="Times New Roman" w:hAnsi="Times New Roman"/>
          <w:noProof/>
          <w:sz w:val="24"/>
        </w:rPr>
        <w:t xml:space="preserve">2 500 000 – 2 749 000 </w:t>
      </w:r>
    </w:p>
    <w:p>
      <w:pPr>
        <w:ind w:left="1134"/>
        <w:jc w:val="both"/>
        <w:rPr>
          <w:rFonts w:ascii="Times New Roman" w:hAnsi="Times New Roman" w:cs="Times New Roman"/>
          <w:noProof/>
          <w:sz w:val="24"/>
          <w:szCs w:val="24"/>
        </w:rPr>
      </w:pPr>
      <w:r>
        <w:rPr>
          <w:rFonts w:ascii="Times New Roman" w:hAnsi="Times New Roman"/>
          <w:noProof/>
          <w:sz w:val="24"/>
        </w:rPr>
        <w:t xml:space="preserve">2 750 000 – 2 999 999 </w:t>
      </w:r>
    </w:p>
    <w:p>
      <w:pPr>
        <w:ind w:left="1134"/>
        <w:jc w:val="both"/>
        <w:rPr>
          <w:rFonts w:ascii="Times New Roman" w:hAnsi="Times New Roman" w:cs="Times New Roman"/>
          <w:noProof/>
          <w:sz w:val="24"/>
          <w:szCs w:val="24"/>
        </w:rPr>
      </w:pPr>
      <w:r>
        <w:rPr>
          <w:rFonts w:ascii="Times New Roman" w:hAnsi="Times New Roman"/>
          <w:noProof/>
          <w:sz w:val="24"/>
        </w:rPr>
        <w:t xml:space="preserve">3 000 000 – 3 499 999 </w:t>
      </w:r>
    </w:p>
    <w:p>
      <w:pPr>
        <w:ind w:left="1134"/>
        <w:jc w:val="both"/>
        <w:rPr>
          <w:rFonts w:ascii="Times New Roman" w:hAnsi="Times New Roman" w:cs="Times New Roman"/>
          <w:noProof/>
          <w:sz w:val="24"/>
          <w:szCs w:val="24"/>
        </w:rPr>
      </w:pPr>
      <w:r>
        <w:rPr>
          <w:rFonts w:ascii="Times New Roman" w:hAnsi="Times New Roman"/>
          <w:noProof/>
          <w:sz w:val="24"/>
        </w:rPr>
        <w:t xml:space="preserve">3 500 000 – 3 999 999 </w:t>
      </w:r>
    </w:p>
    <w:p>
      <w:pPr>
        <w:ind w:left="1134"/>
        <w:jc w:val="both"/>
        <w:rPr>
          <w:rFonts w:ascii="Times New Roman" w:hAnsi="Times New Roman" w:cs="Times New Roman"/>
          <w:noProof/>
          <w:sz w:val="24"/>
          <w:szCs w:val="24"/>
        </w:rPr>
      </w:pPr>
      <w:r>
        <w:rPr>
          <w:rFonts w:ascii="Times New Roman" w:hAnsi="Times New Roman"/>
          <w:noProof/>
          <w:sz w:val="24"/>
        </w:rPr>
        <w:t xml:space="preserve">4 000 000 – 4 499 999 </w:t>
      </w:r>
    </w:p>
    <w:p>
      <w:pPr>
        <w:ind w:left="1134"/>
        <w:jc w:val="both"/>
        <w:rPr>
          <w:rFonts w:ascii="Times New Roman" w:hAnsi="Times New Roman" w:cs="Times New Roman"/>
          <w:noProof/>
          <w:sz w:val="24"/>
          <w:szCs w:val="24"/>
        </w:rPr>
      </w:pPr>
      <w:r>
        <w:rPr>
          <w:rFonts w:ascii="Times New Roman" w:hAnsi="Times New Roman"/>
          <w:noProof/>
          <w:sz w:val="24"/>
        </w:rPr>
        <w:t xml:space="preserve">4 500 000 – 4 999 999 </w:t>
      </w:r>
    </w:p>
    <w:p>
      <w:pPr>
        <w:ind w:left="1134"/>
        <w:jc w:val="both"/>
        <w:rPr>
          <w:rFonts w:ascii="Times New Roman" w:hAnsi="Times New Roman" w:cs="Times New Roman"/>
          <w:noProof/>
          <w:sz w:val="24"/>
          <w:szCs w:val="24"/>
        </w:rPr>
      </w:pPr>
      <w:r>
        <w:rPr>
          <w:rFonts w:ascii="Times New Roman" w:hAnsi="Times New Roman"/>
          <w:noProof/>
          <w:sz w:val="24"/>
        </w:rPr>
        <w:t xml:space="preserve">5 000 000 – 5 499 999 </w:t>
      </w:r>
    </w:p>
    <w:p>
      <w:pPr>
        <w:ind w:left="1134"/>
        <w:jc w:val="both"/>
        <w:rPr>
          <w:rFonts w:ascii="Times New Roman" w:hAnsi="Times New Roman" w:cs="Times New Roman"/>
          <w:noProof/>
          <w:sz w:val="24"/>
          <w:szCs w:val="24"/>
        </w:rPr>
      </w:pPr>
      <w:r>
        <w:rPr>
          <w:rFonts w:ascii="Times New Roman" w:hAnsi="Times New Roman"/>
          <w:noProof/>
          <w:sz w:val="24"/>
        </w:rPr>
        <w:t xml:space="preserve">5 500 000 – 5 999 999 </w:t>
      </w:r>
    </w:p>
    <w:p>
      <w:pPr>
        <w:ind w:left="1134"/>
        <w:jc w:val="both"/>
        <w:rPr>
          <w:rFonts w:ascii="Times New Roman" w:hAnsi="Times New Roman" w:cs="Times New Roman"/>
          <w:noProof/>
          <w:sz w:val="24"/>
          <w:szCs w:val="24"/>
        </w:rPr>
      </w:pPr>
      <w:r>
        <w:rPr>
          <w:rFonts w:ascii="Times New Roman" w:hAnsi="Times New Roman"/>
          <w:noProof/>
          <w:sz w:val="24"/>
        </w:rPr>
        <w:t xml:space="preserve">6 000 000 – 6 499 999 </w:t>
      </w:r>
    </w:p>
    <w:p>
      <w:pPr>
        <w:ind w:left="1134"/>
        <w:jc w:val="both"/>
        <w:rPr>
          <w:rFonts w:ascii="Times New Roman" w:hAnsi="Times New Roman" w:cs="Times New Roman"/>
          <w:noProof/>
          <w:sz w:val="24"/>
          <w:szCs w:val="24"/>
        </w:rPr>
      </w:pPr>
      <w:r>
        <w:rPr>
          <w:rFonts w:ascii="Times New Roman" w:hAnsi="Times New Roman"/>
          <w:noProof/>
          <w:sz w:val="24"/>
        </w:rPr>
        <w:t xml:space="preserve">6 500 000 – 6 999 999 </w:t>
      </w:r>
    </w:p>
    <w:p>
      <w:pPr>
        <w:ind w:left="1134"/>
        <w:jc w:val="both"/>
        <w:rPr>
          <w:rFonts w:ascii="Times New Roman" w:hAnsi="Times New Roman" w:cs="Times New Roman"/>
          <w:noProof/>
          <w:sz w:val="24"/>
          <w:szCs w:val="24"/>
        </w:rPr>
      </w:pPr>
      <w:r>
        <w:rPr>
          <w:rFonts w:ascii="Times New Roman" w:hAnsi="Times New Roman"/>
          <w:noProof/>
          <w:sz w:val="24"/>
        </w:rPr>
        <w:t xml:space="preserve">7 000 000 – 7 999 999 </w:t>
      </w:r>
    </w:p>
    <w:p>
      <w:pPr>
        <w:ind w:left="1134"/>
        <w:jc w:val="both"/>
        <w:rPr>
          <w:rFonts w:ascii="Times New Roman" w:hAnsi="Times New Roman" w:cs="Times New Roman"/>
          <w:noProof/>
          <w:sz w:val="24"/>
          <w:szCs w:val="24"/>
        </w:rPr>
      </w:pPr>
      <w:r>
        <w:rPr>
          <w:rFonts w:ascii="Times New Roman" w:hAnsi="Times New Roman"/>
          <w:noProof/>
          <w:sz w:val="24"/>
        </w:rPr>
        <w:t xml:space="preserve">8 000 000 – 8 999 999 </w:t>
      </w:r>
    </w:p>
    <w:p>
      <w:pPr>
        <w:ind w:left="1134"/>
        <w:jc w:val="both"/>
        <w:rPr>
          <w:rFonts w:ascii="Times New Roman" w:hAnsi="Times New Roman" w:cs="Times New Roman"/>
          <w:noProof/>
          <w:sz w:val="24"/>
          <w:szCs w:val="24"/>
        </w:rPr>
      </w:pPr>
      <w:r>
        <w:rPr>
          <w:rFonts w:ascii="Times New Roman" w:hAnsi="Times New Roman"/>
          <w:noProof/>
          <w:sz w:val="24"/>
        </w:rPr>
        <w:t xml:space="preserve">9 000 000 – 9 999 999 </w:t>
      </w:r>
    </w:p>
    <w:p>
      <w:pPr>
        <w:ind w:left="1134"/>
        <w:jc w:val="both"/>
        <w:rPr>
          <w:rFonts w:ascii="Times New Roman" w:hAnsi="Times New Roman" w:cs="Times New Roman"/>
          <w:noProof/>
          <w:sz w:val="24"/>
          <w:szCs w:val="24"/>
        </w:rPr>
      </w:pPr>
      <w:r>
        <w:rPr>
          <w:rFonts w:ascii="Times New Roman" w:hAnsi="Times New Roman"/>
          <w:noProof/>
          <w:sz w:val="24"/>
        </w:rPr>
        <w:t xml:space="preserve">&gt; 10 000 000 </w:t>
      </w:r>
    </w:p>
    <w:p>
      <w:pPr>
        <w:jc w:val="both"/>
        <w:rPr>
          <w:rFonts w:ascii="Times New Roman" w:hAnsi="Times New Roman" w:cs="Times New Roman"/>
          <w:noProof/>
          <w:sz w:val="24"/>
          <w:szCs w:val="24"/>
        </w:rPr>
      </w:pPr>
      <w:r>
        <w:rPr>
          <w:rFonts w:ascii="Times New Roman" w:hAnsi="Times New Roman"/>
          <w:noProof/>
          <w:sz w:val="24"/>
        </w:rPr>
        <w:t>Les clients déclarent tous les intermédiaires exerçant des activités couvertes par le registre en leur nom ainsi que le coût de chaque intermédiaire conformément à la grille ci-dessous. Le devis des coûts annuels couvre une année complète de fonctionnement et se rapporte au dernier exercice financier clos, à compter de la date d’enregistrement ou de la mise à jour annuelle des données de l’enregistrement.</w:t>
      </w:r>
    </w:p>
    <w:p>
      <w:pPr>
        <w:jc w:val="both"/>
        <w:rPr>
          <w:rFonts w:ascii="Times New Roman" w:hAnsi="Times New Roman" w:cs="Times New Roman"/>
          <w:noProof/>
          <w:sz w:val="24"/>
          <w:szCs w:val="24"/>
        </w:rPr>
      </w:pPr>
      <w:r>
        <w:rPr>
          <w:rFonts w:ascii="Times New Roman" w:hAnsi="Times New Roman"/>
          <w:noProof/>
          <w:sz w:val="24"/>
        </w:rPr>
        <w:t>Fourchette des coûts de représentation par intermédiaire:</w:t>
      </w:r>
    </w:p>
    <w:p>
      <w:pPr>
        <w:ind w:left="1134"/>
        <w:jc w:val="both"/>
        <w:rPr>
          <w:rFonts w:ascii="Times New Roman" w:hAnsi="Times New Roman" w:cs="Times New Roman"/>
          <w:noProof/>
          <w:sz w:val="24"/>
          <w:szCs w:val="24"/>
        </w:rPr>
      </w:pPr>
      <w:r>
        <w:rPr>
          <w:rFonts w:ascii="Times New Roman" w:hAnsi="Times New Roman"/>
          <w:noProof/>
          <w:sz w:val="24"/>
        </w:rPr>
        <w:t>&lt; 10 000</w:t>
      </w:r>
    </w:p>
    <w:p>
      <w:pPr>
        <w:ind w:left="1134"/>
        <w:jc w:val="both"/>
        <w:rPr>
          <w:rFonts w:ascii="Times New Roman" w:hAnsi="Times New Roman" w:cs="Times New Roman"/>
          <w:noProof/>
          <w:sz w:val="24"/>
          <w:szCs w:val="24"/>
        </w:rPr>
      </w:pPr>
      <w:r>
        <w:rPr>
          <w:rFonts w:ascii="Times New Roman" w:hAnsi="Times New Roman"/>
          <w:noProof/>
          <w:sz w:val="24"/>
        </w:rPr>
        <w:t>10 000 – 24 999</w:t>
      </w:r>
    </w:p>
    <w:p>
      <w:pPr>
        <w:ind w:left="1134"/>
        <w:jc w:val="both"/>
        <w:rPr>
          <w:rFonts w:ascii="Times New Roman" w:hAnsi="Times New Roman" w:cs="Times New Roman"/>
          <w:noProof/>
          <w:sz w:val="24"/>
          <w:szCs w:val="24"/>
        </w:rPr>
      </w:pPr>
      <w:r>
        <w:rPr>
          <w:rFonts w:ascii="Times New Roman" w:hAnsi="Times New Roman"/>
          <w:noProof/>
          <w:sz w:val="24"/>
        </w:rPr>
        <w:t>25 000 – 49 999</w:t>
      </w:r>
    </w:p>
    <w:p>
      <w:pPr>
        <w:ind w:left="1134"/>
        <w:jc w:val="both"/>
        <w:rPr>
          <w:rFonts w:ascii="Times New Roman" w:hAnsi="Times New Roman" w:cs="Times New Roman"/>
          <w:noProof/>
          <w:sz w:val="24"/>
          <w:szCs w:val="24"/>
        </w:rPr>
      </w:pPr>
      <w:r>
        <w:rPr>
          <w:rFonts w:ascii="Times New Roman" w:hAnsi="Times New Roman"/>
          <w:noProof/>
          <w:sz w:val="24"/>
        </w:rPr>
        <w:t>50 000 – 99 999</w:t>
      </w:r>
    </w:p>
    <w:p>
      <w:pPr>
        <w:ind w:left="1134"/>
        <w:jc w:val="both"/>
        <w:rPr>
          <w:rFonts w:ascii="Times New Roman" w:hAnsi="Times New Roman" w:cs="Times New Roman"/>
          <w:noProof/>
          <w:sz w:val="24"/>
          <w:szCs w:val="24"/>
        </w:rPr>
      </w:pPr>
      <w:r>
        <w:rPr>
          <w:rFonts w:ascii="Times New Roman" w:hAnsi="Times New Roman"/>
          <w:noProof/>
          <w:sz w:val="24"/>
        </w:rPr>
        <w:t>100 000 – 199 999</w:t>
      </w:r>
    </w:p>
    <w:p>
      <w:pPr>
        <w:ind w:left="1134"/>
        <w:jc w:val="both"/>
        <w:rPr>
          <w:rFonts w:ascii="Times New Roman" w:hAnsi="Times New Roman" w:cs="Times New Roman"/>
          <w:noProof/>
          <w:sz w:val="24"/>
          <w:szCs w:val="24"/>
        </w:rPr>
      </w:pPr>
      <w:r>
        <w:rPr>
          <w:rFonts w:ascii="Times New Roman" w:hAnsi="Times New Roman"/>
          <w:noProof/>
          <w:sz w:val="24"/>
        </w:rPr>
        <w:t>200 000 – 299 999</w:t>
      </w:r>
    </w:p>
    <w:p>
      <w:pPr>
        <w:ind w:left="1134"/>
        <w:jc w:val="both"/>
        <w:rPr>
          <w:rFonts w:ascii="Times New Roman" w:hAnsi="Times New Roman" w:cs="Times New Roman"/>
          <w:noProof/>
          <w:sz w:val="24"/>
          <w:szCs w:val="24"/>
        </w:rPr>
      </w:pPr>
      <w:r>
        <w:rPr>
          <w:rFonts w:ascii="Times New Roman" w:hAnsi="Times New Roman"/>
          <w:noProof/>
          <w:sz w:val="24"/>
        </w:rPr>
        <w:t>300 000 – 399 999</w:t>
      </w:r>
    </w:p>
    <w:p>
      <w:pPr>
        <w:ind w:left="1134"/>
        <w:jc w:val="both"/>
        <w:rPr>
          <w:rFonts w:ascii="Times New Roman" w:hAnsi="Times New Roman" w:cs="Times New Roman"/>
          <w:noProof/>
          <w:sz w:val="24"/>
          <w:szCs w:val="24"/>
        </w:rPr>
      </w:pPr>
      <w:r>
        <w:rPr>
          <w:rFonts w:ascii="Times New Roman" w:hAnsi="Times New Roman"/>
          <w:noProof/>
          <w:sz w:val="24"/>
        </w:rPr>
        <w:t>400 000 – 499 999</w:t>
      </w:r>
    </w:p>
    <w:p>
      <w:pPr>
        <w:ind w:left="1134"/>
        <w:jc w:val="both"/>
        <w:rPr>
          <w:rFonts w:ascii="Times New Roman" w:hAnsi="Times New Roman" w:cs="Times New Roman"/>
          <w:noProof/>
          <w:sz w:val="24"/>
          <w:szCs w:val="24"/>
        </w:rPr>
      </w:pPr>
      <w:r>
        <w:rPr>
          <w:rFonts w:ascii="Times New Roman" w:hAnsi="Times New Roman"/>
          <w:noProof/>
          <w:sz w:val="24"/>
        </w:rPr>
        <w:t>500 000 – 599 999</w:t>
      </w:r>
    </w:p>
    <w:p>
      <w:pPr>
        <w:ind w:left="1134"/>
        <w:jc w:val="both"/>
        <w:rPr>
          <w:rFonts w:ascii="Times New Roman" w:hAnsi="Times New Roman" w:cs="Times New Roman"/>
          <w:noProof/>
          <w:sz w:val="24"/>
          <w:szCs w:val="24"/>
        </w:rPr>
      </w:pPr>
      <w:r>
        <w:rPr>
          <w:rFonts w:ascii="Times New Roman" w:hAnsi="Times New Roman"/>
          <w:noProof/>
          <w:sz w:val="24"/>
        </w:rPr>
        <w:t>600 000 – 699 999</w:t>
      </w:r>
    </w:p>
    <w:p>
      <w:pPr>
        <w:ind w:left="1134"/>
        <w:jc w:val="both"/>
        <w:rPr>
          <w:rFonts w:ascii="Times New Roman" w:hAnsi="Times New Roman" w:cs="Times New Roman"/>
          <w:noProof/>
          <w:sz w:val="24"/>
          <w:szCs w:val="24"/>
        </w:rPr>
      </w:pPr>
      <w:r>
        <w:rPr>
          <w:rFonts w:ascii="Times New Roman" w:hAnsi="Times New Roman"/>
          <w:noProof/>
          <w:sz w:val="24"/>
        </w:rPr>
        <w:t>700 000 – 799 999</w:t>
      </w:r>
    </w:p>
    <w:p>
      <w:pPr>
        <w:ind w:left="1134"/>
        <w:jc w:val="both"/>
        <w:rPr>
          <w:rFonts w:ascii="Times New Roman" w:hAnsi="Times New Roman" w:cs="Times New Roman"/>
          <w:noProof/>
          <w:sz w:val="24"/>
          <w:szCs w:val="24"/>
        </w:rPr>
      </w:pPr>
      <w:r>
        <w:rPr>
          <w:rFonts w:ascii="Times New Roman" w:hAnsi="Times New Roman"/>
          <w:noProof/>
          <w:sz w:val="24"/>
        </w:rPr>
        <w:t>800 000 – 899 999</w:t>
      </w:r>
    </w:p>
    <w:p>
      <w:pPr>
        <w:ind w:left="1134"/>
        <w:jc w:val="both"/>
        <w:rPr>
          <w:rFonts w:ascii="Times New Roman" w:hAnsi="Times New Roman" w:cs="Times New Roman"/>
          <w:noProof/>
          <w:sz w:val="24"/>
          <w:szCs w:val="24"/>
        </w:rPr>
      </w:pPr>
      <w:r>
        <w:rPr>
          <w:rFonts w:ascii="Times New Roman" w:hAnsi="Times New Roman"/>
          <w:noProof/>
          <w:sz w:val="24"/>
        </w:rPr>
        <w:t>900 000 – 1 000 000</w:t>
      </w:r>
    </w:p>
    <w:p>
      <w:pPr>
        <w:ind w:left="1134"/>
        <w:jc w:val="both"/>
        <w:rPr>
          <w:rFonts w:ascii="Times New Roman" w:hAnsi="Times New Roman" w:cs="Times New Roman"/>
          <w:noProof/>
          <w:sz w:val="24"/>
          <w:szCs w:val="24"/>
        </w:rPr>
      </w:pPr>
      <w:r>
        <w:rPr>
          <w:rFonts w:ascii="Times New Roman" w:hAnsi="Times New Roman"/>
          <w:noProof/>
          <w:sz w:val="24"/>
        </w:rPr>
        <w:t>&gt; 1 000 000</w:t>
      </w:r>
    </w:p>
    <w:p>
      <w:pPr>
        <w:jc w:val="both"/>
        <w:rPr>
          <w:rFonts w:ascii="Times New Roman" w:hAnsi="Times New Roman" w:cs="Times New Roman"/>
          <w:noProof/>
          <w:sz w:val="24"/>
          <w:szCs w:val="24"/>
        </w:rPr>
      </w:pPr>
      <w:r>
        <w:rPr>
          <w:rFonts w:ascii="Times New Roman" w:hAnsi="Times New Roman"/>
          <w:noProof/>
          <w:sz w:val="24"/>
        </w:rPr>
        <w:t>Tout intermédiaire actuel qui n’est pas couvert par le dernier exercice financier clos est déclaré séparément de manière nominative.</w:t>
      </w:r>
    </w:p>
    <w:p>
      <w:pPr>
        <w:jc w:val="both"/>
        <w:rPr>
          <w:rFonts w:ascii="Times New Roman" w:hAnsi="Times New Roman" w:cs="Times New Roman"/>
          <w:noProof/>
          <w:sz w:val="24"/>
          <w:szCs w:val="24"/>
        </w:rPr>
      </w:pPr>
    </w:p>
    <w:p>
      <w:pPr>
        <w:jc w:val="both"/>
        <w:rPr>
          <w:rFonts w:ascii="Times New Roman" w:hAnsi="Times New Roman" w:cs="Times New Roman"/>
          <w:b/>
          <w:noProof/>
          <w:sz w:val="24"/>
          <w:szCs w:val="24"/>
          <w:u w:val="single"/>
        </w:rPr>
      </w:pPr>
      <w:r>
        <w:rPr>
          <w:rFonts w:ascii="Times New Roman" w:hAnsi="Times New Roman"/>
          <w:b/>
          <w:noProof/>
          <w:sz w:val="24"/>
          <w:u w:val="single"/>
        </w:rPr>
        <w:t>Revenus</w:t>
      </w:r>
    </w:p>
    <w:p>
      <w:pPr>
        <w:jc w:val="both"/>
        <w:rPr>
          <w:rFonts w:ascii="Times New Roman" w:hAnsi="Times New Roman" w:cs="Times New Roman"/>
          <w:noProof/>
          <w:sz w:val="24"/>
          <w:szCs w:val="24"/>
        </w:rPr>
      </w:pPr>
      <w:r>
        <w:rPr>
          <w:rFonts w:ascii="Times New Roman" w:hAnsi="Times New Roman"/>
          <w:noProof/>
          <w:sz w:val="24"/>
        </w:rPr>
        <w:t>Les intermédiaires déclarent les revenus annuels générés imputables aux activités couvertes par le registre conformément à la grille ci-dessous. Les revenus annuels générés couvrent une année complète de fonctionnement et se rapportent au dernier exercice financier clos, à compter de la date d’enregistrement ou de la mise à jour annuelle des données de l’enregistrement.</w:t>
      </w:r>
    </w:p>
    <w:p>
      <w:pPr>
        <w:jc w:val="both"/>
        <w:rPr>
          <w:rFonts w:ascii="Times New Roman" w:hAnsi="Times New Roman" w:cs="Times New Roman"/>
          <w:noProof/>
          <w:sz w:val="24"/>
          <w:szCs w:val="24"/>
        </w:rPr>
      </w:pPr>
      <w:r>
        <w:rPr>
          <w:rFonts w:ascii="Times New Roman" w:hAnsi="Times New Roman"/>
          <w:noProof/>
          <w:sz w:val="24"/>
        </w:rPr>
        <w:t>Les revenus provenant de clients spécifiques pour les activités couvertes par le registre sont répertoriés conformément à la grille ci-dessous:</w:t>
      </w:r>
    </w:p>
    <w:p>
      <w:pPr>
        <w:jc w:val="both"/>
        <w:rPr>
          <w:rFonts w:ascii="Times New Roman" w:hAnsi="Times New Roman" w:cs="Times New Roman"/>
          <w:noProof/>
          <w:sz w:val="24"/>
          <w:szCs w:val="24"/>
        </w:rPr>
      </w:pPr>
      <w:r>
        <w:rPr>
          <w:rFonts w:ascii="Times New Roman" w:hAnsi="Times New Roman"/>
          <w:noProof/>
          <w:sz w:val="24"/>
        </w:rPr>
        <w:t>Fourchette de revenus générés par client:</w:t>
      </w:r>
    </w:p>
    <w:p>
      <w:pPr>
        <w:ind w:left="1134"/>
        <w:jc w:val="both"/>
        <w:rPr>
          <w:rFonts w:ascii="Times New Roman" w:hAnsi="Times New Roman" w:cs="Times New Roman"/>
          <w:noProof/>
          <w:sz w:val="24"/>
          <w:szCs w:val="24"/>
        </w:rPr>
      </w:pPr>
      <w:r>
        <w:rPr>
          <w:rFonts w:ascii="Times New Roman" w:hAnsi="Times New Roman"/>
          <w:noProof/>
          <w:sz w:val="24"/>
        </w:rPr>
        <w:t>&lt; 10 000</w:t>
      </w:r>
    </w:p>
    <w:p>
      <w:pPr>
        <w:ind w:left="1134"/>
        <w:jc w:val="both"/>
        <w:rPr>
          <w:rFonts w:ascii="Times New Roman" w:hAnsi="Times New Roman" w:cs="Times New Roman"/>
          <w:noProof/>
          <w:sz w:val="24"/>
          <w:szCs w:val="24"/>
        </w:rPr>
      </w:pPr>
      <w:r>
        <w:rPr>
          <w:rFonts w:ascii="Times New Roman" w:hAnsi="Times New Roman"/>
          <w:noProof/>
          <w:sz w:val="24"/>
        </w:rPr>
        <w:t>10 000 – 24 999</w:t>
      </w:r>
    </w:p>
    <w:p>
      <w:pPr>
        <w:ind w:left="1134"/>
        <w:jc w:val="both"/>
        <w:rPr>
          <w:rFonts w:ascii="Times New Roman" w:hAnsi="Times New Roman" w:cs="Times New Roman"/>
          <w:noProof/>
          <w:sz w:val="24"/>
          <w:szCs w:val="24"/>
        </w:rPr>
      </w:pPr>
      <w:r>
        <w:rPr>
          <w:rFonts w:ascii="Times New Roman" w:hAnsi="Times New Roman"/>
          <w:noProof/>
          <w:sz w:val="24"/>
        </w:rPr>
        <w:t>25 000 – 49 999</w:t>
      </w:r>
    </w:p>
    <w:p>
      <w:pPr>
        <w:ind w:left="1134"/>
        <w:jc w:val="both"/>
        <w:rPr>
          <w:rFonts w:ascii="Times New Roman" w:hAnsi="Times New Roman" w:cs="Times New Roman"/>
          <w:noProof/>
          <w:sz w:val="24"/>
          <w:szCs w:val="24"/>
        </w:rPr>
      </w:pPr>
      <w:r>
        <w:rPr>
          <w:rFonts w:ascii="Times New Roman" w:hAnsi="Times New Roman"/>
          <w:noProof/>
          <w:sz w:val="24"/>
        </w:rPr>
        <w:t>50 000 – 99 999</w:t>
      </w:r>
    </w:p>
    <w:p>
      <w:pPr>
        <w:ind w:left="1134"/>
        <w:jc w:val="both"/>
        <w:rPr>
          <w:rFonts w:ascii="Times New Roman" w:hAnsi="Times New Roman" w:cs="Times New Roman"/>
          <w:noProof/>
          <w:sz w:val="24"/>
          <w:szCs w:val="24"/>
        </w:rPr>
      </w:pPr>
      <w:r>
        <w:rPr>
          <w:rFonts w:ascii="Times New Roman" w:hAnsi="Times New Roman"/>
          <w:noProof/>
          <w:sz w:val="24"/>
        </w:rPr>
        <w:t>100 000 – 199 999</w:t>
      </w:r>
    </w:p>
    <w:p>
      <w:pPr>
        <w:ind w:left="1134"/>
        <w:jc w:val="both"/>
        <w:rPr>
          <w:rFonts w:ascii="Times New Roman" w:hAnsi="Times New Roman" w:cs="Times New Roman"/>
          <w:noProof/>
          <w:sz w:val="24"/>
          <w:szCs w:val="24"/>
        </w:rPr>
      </w:pPr>
      <w:r>
        <w:rPr>
          <w:rFonts w:ascii="Times New Roman" w:hAnsi="Times New Roman"/>
          <w:noProof/>
          <w:sz w:val="24"/>
        </w:rPr>
        <w:t>200 000 – 299 999</w:t>
      </w:r>
    </w:p>
    <w:p>
      <w:pPr>
        <w:ind w:left="1134"/>
        <w:jc w:val="both"/>
        <w:rPr>
          <w:rFonts w:ascii="Times New Roman" w:hAnsi="Times New Roman" w:cs="Times New Roman"/>
          <w:noProof/>
          <w:sz w:val="24"/>
          <w:szCs w:val="24"/>
        </w:rPr>
      </w:pPr>
      <w:r>
        <w:rPr>
          <w:rFonts w:ascii="Times New Roman" w:hAnsi="Times New Roman"/>
          <w:noProof/>
          <w:sz w:val="24"/>
        </w:rPr>
        <w:t>300 000 – 399 999</w:t>
      </w:r>
    </w:p>
    <w:p>
      <w:pPr>
        <w:ind w:left="1134"/>
        <w:jc w:val="both"/>
        <w:rPr>
          <w:rFonts w:ascii="Times New Roman" w:hAnsi="Times New Roman" w:cs="Times New Roman"/>
          <w:noProof/>
          <w:sz w:val="24"/>
          <w:szCs w:val="24"/>
        </w:rPr>
      </w:pPr>
      <w:r>
        <w:rPr>
          <w:rFonts w:ascii="Times New Roman" w:hAnsi="Times New Roman"/>
          <w:noProof/>
          <w:sz w:val="24"/>
        </w:rPr>
        <w:t>400 000 – 499 999</w:t>
      </w:r>
    </w:p>
    <w:p>
      <w:pPr>
        <w:ind w:left="1134"/>
        <w:jc w:val="both"/>
        <w:rPr>
          <w:rFonts w:ascii="Times New Roman" w:hAnsi="Times New Roman" w:cs="Times New Roman"/>
          <w:noProof/>
          <w:sz w:val="24"/>
          <w:szCs w:val="24"/>
        </w:rPr>
      </w:pPr>
      <w:r>
        <w:rPr>
          <w:rFonts w:ascii="Times New Roman" w:hAnsi="Times New Roman"/>
          <w:noProof/>
          <w:sz w:val="24"/>
        </w:rPr>
        <w:t>500 000 – 599 999</w:t>
      </w:r>
    </w:p>
    <w:p>
      <w:pPr>
        <w:ind w:left="1134"/>
        <w:jc w:val="both"/>
        <w:rPr>
          <w:rFonts w:ascii="Times New Roman" w:hAnsi="Times New Roman" w:cs="Times New Roman"/>
          <w:noProof/>
          <w:sz w:val="24"/>
          <w:szCs w:val="24"/>
        </w:rPr>
      </w:pPr>
      <w:r>
        <w:rPr>
          <w:rFonts w:ascii="Times New Roman" w:hAnsi="Times New Roman"/>
          <w:noProof/>
          <w:sz w:val="24"/>
        </w:rPr>
        <w:t>600 000 – 699 999</w:t>
      </w:r>
    </w:p>
    <w:p>
      <w:pPr>
        <w:ind w:left="1134"/>
        <w:jc w:val="both"/>
        <w:rPr>
          <w:rFonts w:ascii="Times New Roman" w:hAnsi="Times New Roman" w:cs="Times New Roman"/>
          <w:noProof/>
          <w:sz w:val="24"/>
          <w:szCs w:val="24"/>
        </w:rPr>
      </w:pPr>
      <w:r>
        <w:rPr>
          <w:rFonts w:ascii="Times New Roman" w:hAnsi="Times New Roman"/>
          <w:noProof/>
          <w:sz w:val="24"/>
        </w:rPr>
        <w:t>700 000 – 799 999</w:t>
      </w:r>
    </w:p>
    <w:p>
      <w:pPr>
        <w:ind w:left="1134"/>
        <w:jc w:val="both"/>
        <w:rPr>
          <w:rFonts w:ascii="Times New Roman" w:hAnsi="Times New Roman" w:cs="Times New Roman"/>
          <w:noProof/>
          <w:sz w:val="24"/>
          <w:szCs w:val="24"/>
        </w:rPr>
      </w:pPr>
      <w:r>
        <w:rPr>
          <w:rFonts w:ascii="Times New Roman" w:hAnsi="Times New Roman"/>
          <w:noProof/>
          <w:sz w:val="24"/>
        </w:rPr>
        <w:t>800 000 – 899 999</w:t>
      </w:r>
    </w:p>
    <w:p>
      <w:pPr>
        <w:ind w:left="1134"/>
        <w:jc w:val="both"/>
        <w:rPr>
          <w:rFonts w:ascii="Times New Roman" w:hAnsi="Times New Roman" w:cs="Times New Roman"/>
          <w:noProof/>
          <w:sz w:val="24"/>
          <w:szCs w:val="24"/>
        </w:rPr>
      </w:pPr>
      <w:r>
        <w:rPr>
          <w:rFonts w:ascii="Times New Roman" w:hAnsi="Times New Roman"/>
          <w:noProof/>
          <w:sz w:val="24"/>
        </w:rPr>
        <w:t>900 000 – 999 999</w:t>
      </w:r>
    </w:p>
    <w:p>
      <w:pPr>
        <w:ind w:left="1134"/>
        <w:jc w:val="both"/>
        <w:rPr>
          <w:rFonts w:ascii="Times New Roman" w:hAnsi="Times New Roman" w:cs="Times New Roman"/>
          <w:noProof/>
          <w:sz w:val="24"/>
          <w:szCs w:val="24"/>
        </w:rPr>
      </w:pPr>
      <w:r>
        <w:rPr>
          <w:rFonts w:ascii="Times New Roman" w:hAnsi="Times New Roman"/>
          <w:noProof/>
          <w:sz w:val="24"/>
        </w:rPr>
        <w:t>&gt; 1 000 000</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Les revenus annuels totaux générés pour les activités couvertes par le registre sont calculés automatiquement par le système du registre sur la base du cumul des revenus estimés générés pour chaque client.</w:t>
      </w:r>
    </w:p>
    <w:p>
      <w:pPr>
        <w:jc w:val="both"/>
        <w:rPr>
          <w:rFonts w:ascii="Times New Roman" w:hAnsi="Times New Roman" w:cs="Times New Roman"/>
          <w:noProof/>
          <w:sz w:val="24"/>
          <w:szCs w:val="24"/>
        </w:rPr>
      </w:pPr>
      <w:r>
        <w:rPr>
          <w:rFonts w:ascii="Times New Roman" w:hAnsi="Times New Roman"/>
          <w:noProof/>
          <w:sz w:val="24"/>
        </w:rPr>
        <w:t>Les intermédiaires déclarent tous les clients au nom desquels les activités couvertes par le registre sont exercées.</w:t>
      </w:r>
    </w:p>
    <w:p>
      <w:pPr>
        <w:jc w:val="both"/>
        <w:rPr>
          <w:rFonts w:ascii="Times New Roman" w:hAnsi="Times New Roman" w:cs="Times New Roman"/>
          <w:noProof/>
          <w:sz w:val="24"/>
          <w:szCs w:val="24"/>
        </w:rPr>
      </w:pPr>
      <w:r>
        <w:rPr>
          <w:rFonts w:ascii="Times New Roman" w:hAnsi="Times New Roman"/>
          <w:noProof/>
          <w:sz w:val="24"/>
        </w:rPr>
        <w:t>Tout client actuel qui n’est pas couvert par le dernier exercice financier clos est déclaré séparément de manière nominative.</w:t>
      </w:r>
    </w:p>
    <w:p>
      <w:pPr>
        <w:jc w:val="both"/>
        <w:rPr>
          <w:rFonts w:ascii="Times New Roman" w:hAnsi="Times New Roman" w:cs="Times New Roman"/>
          <w:noProof/>
          <w:sz w:val="24"/>
          <w:szCs w:val="24"/>
        </w:rPr>
      </w:pPr>
      <w:r>
        <w:rPr>
          <w:rFonts w:ascii="Times New Roman" w:hAnsi="Times New Roman"/>
          <w:noProof/>
          <w:sz w:val="24"/>
        </w:rPr>
        <w:t xml:space="preserve">Les intermédiaires agissant dans leur propre intérêt (c’est-à-dire pas au nom de leurs clients) le déclarent dans leur formulaire d’enregistrement et indiquent séparément les coûts de ces activités conformément à la section «Coûts» ci-dessus. </w:t>
      </w:r>
    </w:p>
    <w:p>
      <w:pPr>
        <w:jc w:val="both"/>
        <w:rPr>
          <w:rFonts w:ascii="Times New Roman" w:hAnsi="Times New Roman" w:cs="Times New Roman"/>
          <w:noProof/>
          <w:sz w:val="24"/>
          <w:szCs w:val="24"/>
        </w:rPr>
      </w:pPr>
      <w:r>
        <w:rPr>
          <w:rFonts w:ascii="Times New Roman" w:hAnsi="Times New Roman"/>
          <w:noProof/>
          <w:sz w:val="24"/>
        </w:rPr>
        <w:t>Les déclarants, y compris les intermédiaires exerçant des activités relevant du champ d’application du présent accord, déclarent le montant et la source des contributions de l’UE à leurs coûts d’exploitation.</w:t>
      </w:r>
    </w:p>
    <w:p>
      <w:pPr>
        <w:jc w:val="both"/>
        <w:rPr>
          <w:rFonts w:ascii="Times New Roman" w:hAnsi="Times New Roman" w:cs="Times New Roman"/>
          <w:noProof/>
          <w:sz w:val="24"/>
          <w:szCs w:val="24"/>
        </w:rPr>
      </w:pPr>
    </w:p>
    <w:p>
      <w:pPr>
        <w:jc w:val="both"/>
        <w:rPr>
          <w:rFonts w:ascii="Times New Roman" w:hAnsi="Times New Roman" w:cs="Times New Roman"/>
          <w:b/>
          <w:noProof/>
          <w:sz w:val="24"/>
          <w:szCs w:val="24"/>
          <w:u w:val="single"/>
        </w:rPr>
      </w:pPr>
      <w:r>
        <w:rPr>
          <w:rFonts w:ascii="Times New Roman" w:hAnsi="Times New Roman"/>
          <w:b/>
          <w:noProof/>
          <w:sz w:val="24"/>
          <w:u w:val="single"/>
        </w:rPr>
        <w:t>Obligations spécifiques en matière d’informations</w:t>
      </w:r>
    </w:p>
    <w:p>
      <w:pPr>
        <w:ind w:left="709" w:hanging="709"/>
        <w:jc w:val="both"/>
        <w:rPr>
          <w:rFonts w:ascii="Times New Roman" w:hAnsi="Times New Roman" w:cs="Times New Roman"/>
          <w:noProof/>
          <w:sz w:val="24"/>
          <w:szCs w:val="24"/>
        </w:rPr>
      </w:pPr>
      <w:r>
        <w:rPr>
          <w:rFonts w:ascii="Times New Roman" w:hAnsi="Times New Roman"/>
          <w:noProof/>
          <w:sz w:val="24"/>
        </w:rPr>
        <w:t>Les organisations ou les personnes qui sont légalement enregistrées en tant qu’entités «à but non lucratif» communiquent:</w:t>
      </w:r>
    </w:p>
    <w:p>
      <w:pPr>
        <w:ind w:left="709" w:hanging="709"/>
        <w:jc w:val="both"/>
        <w:rPr>
          <w:rFonts w:ascii="Times New Roman" w:hAnsi="Times New Roman" w:cs="Times New Roman"/>
          <w:noProof/>
          <w:sz w:val="24"/>
          <w:szCs w:val="24"/>
        </w:rPr>
      </w:pPr>
      <w:r>
        <w:rPr>
          <w:rFonts w:ascii="Times New Roman" w:hAnsi="Times New Roman"/>
          <w:noProof/>
          <w:sz w:val="24"/>
        </w:rPr>
        <w:t>a)</w:t>
      </w:r>
      <w:r>
        <w:rPr>
          <w:noProof/>
        </w:rPr>
        <w:tab/>
      </w:r>
      <w:r>
        <w:rPr>
          <w:rFonts w:ascii="Times New Roman" w:hAnsi="Times New Roman"/>
          <w:noProof/>
          <w:sz w:val="24"/>
        </w:rPr>
        <w:t xml:space="preserve">le budget total de l’organisation ou de la personne enregistrée pour le dernier exercice financier clos; </w:t>
      </w:r>
    </w:p>
    <w:p>
      <w:pPr>
        <w:ind w:left="709" w:hanging="709"/>
        <w:jc w:val="both"/>
        <w:rPr>
          <w:rFonts w:ascii="Times New Roman" w:hAnsi="Times New Roman" w:cs="Times New Roman"/>
          <w:noProof/>
          <w:sz w:val="24"/>
          <w:szCs w:val="24"/>
        </w:rPr>
      </w:pPr>
      <w:r>
        <w:rPr>
          <w:rFonts w:ascii="Times New Roman" w:hAnsi="Times New Roman"/>
          <w:noProof/>
          <w:sz w:val="24"/>
        </w:rPr>
        <w:t>b)</w:t>
      </w:r>
      <w:r>
        <w:rPr>
          <w:noProof/>
        </w:rPr>
        <w:tab/>
      </w:r>
      <w:r>
        <w:rPr>
          <w:rFonts w:ascii="Times New Roman" w:hAnsi="Times New Roman"/>
          <w:noProof/>
          <w:sz w:val="24"/>
        </w:rPr>
        <w:t>les sources principales de financement par catégorie (par exemple financement public, contributions des membres, subventions, dons, etc.);</w:t>
      </w:r>
    </w:p>
    <w:p>
      <w:pPr>
        <w:ind w:left="709" w:hanging="709"/>
        <w:jc w:val="both"/>
        <w:rPr>
          <w:rFonts w:ascii="Times New Roman" w:hAnsi="Times New Roman" w:cs="Times New Roman"/>
          <w:noProof/>
          <w:sz w:val="24"/>
          <w:szCs w:val="24"/>
        </w:rPr>
      </w:pPr>
      <w:r>
        <w:rPr>
          <w:rFonts w:ascii="Times New Roman" w:hAnsi="Times New Roman"/>
          <w:noProof/>
          <w:sz w:val="24"/>
        </w:rPr>
        <w:t xml:space="preserve">c) </w:t>
      </w:r>
      <w:r>
        <w:rPr>
          <w:noProof/>
        </w:rPr>
        <w:tab/>
      </w:r>
      <w:r>
        <w:rPr>
          <w:rFonts w:ascii="Times New Roman" w:hAnsi="Times New Roman"/>
          <w:noProof/>
          <w:sz w:val="24"/>
        </w:rPr>
        <w:t>le montant de chaque contribution dépassant 10 % du budget total, si les contributions sont supérieures à 10 000 euros, ainsi que le nom de l’auteur de la contribution.</w:t>
      </w:r>
    </w:p>
    <w:p>
      <w:pPr>
        <w:jc w:val="both"/>
        <w:rPr>
          <w:rFonts w:ascii="Times New Roman" w:hAnsi="Times New Roman" w:cs="Times New Roman"/>
          <w:b/>
          <w:noProof/>
          <w:sz w:val="24"/>
          <w:szCs w:val="24"/>
          <w:u w:val="single"/>
        </w:rPr>
      </w:pPr>
      <w:r>
        <w:rPr>
          <w:rFonts w:ascii="Times New Roman" w:hAnsi="Times New Roman"/>
          <w:b/>
          <w:noProof/>
          <w:sz w:val="24"/>
          <w:u w:val="single"/>
        </w:rPr>
        <w:t>Mise en œuvre</w:t>
      </w:r>
    </w:p>
    <w:p>
      <w:pPr>
        <w:jc w:val="both"/>
        <w:rPr>
          <w:rFonts w:ascii="Times New Roman" w:hAnsi="Times New Roman" w:cs="Times New Roman"/>
          <w:noProof/>
          <w:sz w:val="24"/>
          <w:szCs w:val="24"/>
        </w:rPr>
      </w:pPr>
      <w:r>
        <w:rPr>
          <w:rFonts w:ascii="Times New Roman" w:hAnsi="Times New Roman"/>
          <w:noProof/>
          <w:sz w:val="24"/>
        </w:rPr>
        <w:t xml:space="preserve">Le secrétariat fournit aux déclarants un formulaire d’enregistrement en ligne et des directives selon les modalités financières à déclarer en vertu de la présente annexe. </w:t>
      </w:r>
      <w:r>
        <w:rPr>
          <w:noProof/>
        </w:rPr>
        <w:br w:type="page"/>
      </w:r>
    </w:p>
    <w:p>
      <w:pPr>
        <w:jc w:val="both"/>
        <w:rPr>
          <w:rFonts w:ascii="Times New Roman" w:hAnsi="Times New Roman" w:cs="Times New Roman"/>
          <w:b/>
          <w:noProof/>
          <w:sz w:val="24"/>
          <w:szCs w:val="24"/>
        </w:rPr>
      </w:pPr>
      <w:r>
        <w:rPr>
          <w:rFonts w:ascii="Times New Roman" w:hAnsi="Times New Roman"/>
          <w:b/>
          <w:noProof/>
          <w:sz w:val="24"/>
        </w:rPr>
        <w:t>ANNEXE III</w:t>
      </w:r>
    </w:p>
    <w:p>
      <w:pPr>
        <w:rPr>
          <w:rFonts w:ascii="Times New Roman" w:hAnsi="Times New Roman" w:cs="Times New Roman"/>
          <w:noProof/>
          <w:color w:val="0070C0"/>
          <w:sz w:val="24"/>
          <w:szCs w:val="24"/>
        </w:rPr>
      </w:pPr>
    </w:p>
    <w:p>
      <w:pPr>
        <w:jc w:val="both"/>
        <w:rPr>
          <w:rFonts w:ascii="Times New Roman" w:hAnsi="Times New Roman" w:cs="Times New Roman"/>
          <w:b/>
          <w:noProof/>
          <w:sz w:val="24"/>
          <w:szCs w:val="24"/>
        </w:rPr>
      </w:pPr>
      <w:r>
        <w:rPr>
          <w:rFonts w:ascii="Times New Roman" w:hAnsi="Times New Roman"/>
          <w:b/>
          <w:noProof/>
          <w:sz w:val="24"/>
        </w:rPr>
        <w:t>CODE DE CONDUITE</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Les trois institutions considèrent que les représentants d’intérêts enregistrés interagissant avec elles, que ce soit sur une base ponctuelle ou régulière, doivent agir en conformité avec le présent code de conduite.</w:t>
      </w:r>
    </w:p>
    <w:p>
      <w:pPr>
        <w:jc w:val="both"/>
        <w:rPr>
          <w:rFonts w:ascii="Times New Roman" w:hAnsi="Times New Roman" w:cs="Times New Roman"/>
          <w:noProof/>
          <w:sz w:val="24"/>
          <w:szCs w:val="24"/>
        </w:rPr>
      </w:pPr>
      <w:r>
        <w:rPr>
          <w:rFonts w:ascii="Times New Roman" w:hAnsi="Times New Roman"/>
          <w:noProof/>
          <w:sz w:val="24"/>
        </w:rPr>
        <w:t xml:space="preserve">Les déclarants reconnaissent l’ensemble de règles et de principes ci-dessous, et conviennent de les observer. Les déclarants devront notamment: </w:t>
      </w:r>
    </w:p>
    <w:p>
      <w:pPr>
        <w:ind w:left="567"/>
        <w:jc w:val="both"/>
        <w:rPr>
          <w:rFonts w:ascii="Times New Roman" w:hAnsi="Times New Roman" w:cs="Times New Roman"/>
          <w:noProof/>
          <w:sz w:val="24"/>
          <w:szCs w:val="24"/>
        </w:rPr>
      </w:pPr>
      <w:r>
        <w:rPr>
          <w:rFonts w:ascii="Times New Roman" w:hAnsi="Times New Roman"/>
          <w:noProof/>
          <w:sz w:val="24"/>
        </w:rPr>
        <w:t>(a) dans leurs relations avec l’une ou l’autre des trois institutions, toujours s’identifier par leur nom, leur numéro d’enregistrement, l’entité ou les entités pour laquelle ou lesquelles ils travaillent ou qu’ils représentent; déclarer les intérêts et objectifs qu’ils servent et préciser les clients ou membres qu’ils représentent et, le cas échéant, leur numéro d’enregistrement;</w:t>
      </w:r>
    </w:p>
    <w:p>
      <w:pPr>
        <w:ind w:left="567"/>
        <w:jc w:val="both"/>
        <w:rPr>
          <w:rFonts w:ascii="Times New Roman" w:hAnsi="Times New Roman" w:cs="Times New Roman"/>
          <w:noProof/>
          <w:sz w:val="24"/>
          <w:szCs w:val="24"/>
        </w:rPr>
      </w:pPr>
      <w:r>
        <w:rPr>
          <w:rFonts w:ascii="Times New Roman" w:hAnsi="Times New Roman"/>
          <w:noProof/>
          <w:sz w:val="24"/>
        </w:rPr>
        <w:t>(b) ne pas se procurer ou essayer de se procurer des informations ou des décisions de manière malhonnête, en exerçant une pression indue ou en faisant preuve d’un comportement inapproprié;</w:t>
      </w:r>
    </w:p>
    <w:p>
      <w:pPr>
        <w:ind w:left="567"/>
        <w:jc w:val="both"/>
        <w:rPr>
          <w:rFonts w:ascii="Times New Roman" w:hAnsi="Times New Roman" w:cs="Times New Roman"/>
          <w:noProof/>
          <w:sz w:val="24"/>
          <w:szCs w:val="24"/>
        </w:rPr>
      </w:pPr>
      <w:r>
        <w:rPr>
          <w:rFonts w:ascii="Times New Roman" w:hAnsi="Times New Roman"/>
          <w:noProof/>
          <w:sz w:val="24"/>
        </w:rPr>
        <w:t>(c) ne pas présenter sous un faux jour les conséquences d’un enregistrement de manière à induire en erreur ou à porter atteinte à la réputation du registre, et ne pas utiliser les logos de l’Union et de l’une ou l’autre des trois institutions sans autorisation explicite;</w:t>
      </w:r>
    </w:p>
    <w:p>
      <w:pPr>
        <w:ind w:left="567"/>
        <w:jc w:val="both"/>
        <w:rPr>
          <w:rFonts w:ascii="Times New Roman" w:hAnsi="Times New Roman" w:cs="Times New Roman"/>
          <w:noProof/>
          <w:sz w:val="24"/>
          <w:szCs w:val="24"/>
        </w:rPr>
      </w:pPr>
      <w:r>
        <w:rPr>
          <w:rFonts w:ascii="Times New Roman" w:hAnsi="Times New Roman"/>
          <w:noProof/>
          <w:sz w:val="24"/>
        </w:rPr>
        <w:t>(d) veiller à ce que, pour autant qu’ils le sachent, les informations qu’ils communiquent au moment de l’enregistrement, puis gèrent dans le cadre de leurs activités couvertes par le registre, soient complètes et à jour et ne soient pas trompeuses: ils acceptent que ces informations soient dans le domaine public;</w:t>
      </w:r>
    </w:p>
    <w:p>
      <w:pPr>
        <w:ind w:left="567"/>
        <w:jc w:val="both"/>
        <w:rPr>
          <w:rFonts w:ascii="Times New Roman" w:hAnsi="Times New Roman" w:cs="Times New Roman"/>
          <w:noProof/>
          <w:sz w:val="24"/>
          <w:szCs w:val="24"/>
        </w:rPr>
      </w:pPr>
      <w:r>
        <w:rPr>
          <w:rFonts w:ascii="Times New Roman" w:hAnsi="Times New Roman"/>
          <w:noProof/>
          <w:sz w:val="24"/>
        </w:rPr>
        <w:t>(e) ne pas distribuer à des tiers contre paiement des documents obtenus auprès des institutions;</w:t>
      </w:r>
    </w:p>
    <w:p>
      <w:pPr>
        <w:ind w:left="567"/>
        <w:jc w:val="both"/>
        <w:rPr>
          <w:rFonts w:ascii="Times New Roman" w:hAnsi="Times New Roman" w:cs="Times New Roman"/>
          <w:noProof/>
          <w:sz w:val="24"/>
          <w:szCs w:val="24"/>
        </w:rPr>
      </w:pPr>
      <w:r>
        <w:rPr>
          <w:rFonts w:ascii="Times New Roman" w:hAnsi="Times New Roman"/>
          <w:noProof/>
          <w:sz w:val="24"/>
        </w:rPr>
        <w:t>(f) respecter et éviter toute obstruction à la mise en œuvre et l’application de l’ensemble des règles, codes et pratiques en matière de bonne gouvernance et de transparence définis par les trois institutions et figurant sur le site Internet du registre;</w:t>
      </w:r>
    </w:p>
    <w:p>
      <w:pPr>
        <w:ind w:left="567"/>
        <w:jc w:val="both"/>
        <w:rPr>
          <w:rFonts w:ascii="Times New Roman" w:hAnsi="Times New Roman" w:cs="Times New Roman"/>
          <w:noProof/>
          <w:sz w:val="24"/>
          <w:szCs w:val="24"/>
        </w:rPr>
      </w:pPr>
      <w:r>
        <w:rPr>
          <w:rFonts w:ascii="Times New Roman" w:hAnsi="Times New Roman"/>
          <w:noProof/>
          <w:sz w:val="24"/>
        </w:rPr>
        <w:t>(g) ne pas inciter des députés au Parlement européen, des membres de la Commission ou des agents de l'une quelconque des trois institutions à enfreindre les règles et normes de comportement qui leur sont applicables;</w:t>
      </w:r>
    </w:p>
    <w:p>
      <w:pPr>
        <w:ind w:left="567"/>
        <w:jc w:val="both"/>
        <w:rPr>
          <w:rFonts w:ascii="Times New Roman" w:hAnsi="Times New Roman" w:cs="Times New Roman"/>
          <w:noProof/>
          <w:sz w:val="24"/>
          <w:szCs w:val="24"/>
        </w:rPr>
      </w:pPr>
      <w:r>
        <w:rPr>
          <w:rFonts w:ascii="Times New Roman" w:hAnsi="Times New Roman"/>
          <w:noProof/>
          <w:sz w:val="24"/>
        </w:rPr>
        <w:t>(h) s’ils emploient d’anciens députés au Parlement européen, d’anciens membres de la Commission ou d’anciens agents de l'une quelconque des trois institutions, respecter le fait que ces personnes sont tenues par une obligation de confidentialité et doivent observer les règles qui leur sont applicables après leur départ de l’institution concernée;</w:t>
      </w:r>
    </w:p>
    <w:p>
      <w:pPr>
        <w:ind w:left="567"/>
        <w:jc w:val="both"/>
        <w:rPr>
          <w:rFonts w:ascii="Times New Roman" w:hAnsi="Times New Roman" w:cs="Times New Roman"/>
          <w:noProof/>
          <w:sz w:val="24"/>
          <w:szCs w:val="24"/>
        </w:rPr>
      </w:pPr>
      <w:r>
        <w:rPr>
          <w:rFonts w:ascii="Times New Roman" w:hAnsi="Times New Roman"/>
          <w:noProof/>
          <w:sz w:val="24"/>
        </w:rPr>
        <w:t>(i) pour autant qu’ils soient engagés dans une relation client-intermédiaire: i) veiller à ce que toutes les parties engagées dans une telle relation soient inscrites au registre, et ii) en tant que clients ou intermédiaires, autoriser la publication concernée au registre des informations relatives à la relation, conformément à l’annexe II du présent accord interinstitutionnel;</w:t>
      </w:r>
    </w:p>
    <w:p>
      <w:pPr>
        <w:ind w:left="567"/>
        <w:jc w:val="both"/>
        <w:rPr>
          <w:rFonts w:ascii="Times New Roman" w:hAnsi="Times New Roman" w:cs="Times New Roman"/>
          <w:noProof/>
          <w:sz w:val="24"/>
          <w:szCs w:val="24"/>
        </w:rPr>
      </w:pPr>
      <w:r>
        <w:rPr>
          <w:rFonts w:ascii="Times New Roman" w:hAnsi="Times New Roman"/>
          <w:noProof/>
          <w:sz w:val="24"/>
        </w:rPr>
        <w:t>(j) convenir: i) de présenter au secrétariat, s’ils y sont invités, les documents et toute autre documentation à l’appui prouvant leur éligibilité et attestant du fait que les informations présentées sont exactes, et ii) de coopérer de manière sincère et constructive avec le secrétariat;</w:t>
      </w:r>
    </w:p>
    <w:p>
      <w:pPr>
        <w:ind w:left="567"/>
        <w:jc w:val="both"/>
        <w:rPr>
          <w:rFonts w:ascii="Times New Roman" w:hAnsi="Times New Roman" w:cs="Times New Roman"/>
          <w:noProof/>
          <w:sz w:val="24"/>
          <w:szCs w:val="24"/>
        </w:rPr>
      </w:pPr>
      <w:r>
        <w:rPr>
          <w:rFonts w:ascii="Times New Roman" w:hAnsi="Times New Roman"/>
          <w:noProof/>
          <w:sz w:val="24"/>
        </w:rPr>
        <w:t>(k) convenir qu’ils peuvent faire l’objet de procédures d’enquête et, le cas échéant, des mesures exposées à l’annexe IV;</w:t>
      </w:r>
    </w:p>
    <w:p>
      <w:pPr>
        <w:ind w:left="567"/>
        <w:jc w:val="both"/>
        <w:rPr>
          <w:rFonts w:ascii="Times New Roman" w:hAnsi="Times New Roman" w:cs="Times New Roman"/>
          <w:noProof/>
          <w:sz w:val="24"/>
          <w:szCs w:val="24"/>
        </w:rPr>
      </w:pPr>
      <w:r>
        <w:rPr>
          <w:rFonts w:ascii="Times New Roman" w:hAnsi="Times New Roman"/>
          <w:noProof/>
          <w:sz w:val="24"/>
        </w:rPr>
        <w:t>(l) prendre des mesures appropriées pour veiller à ce que leurs employés participant à des activités couvertes par le registre soient informés des engagements du déclarant en vertu du présent code de conduite;</w:t>
      </w:r>
    </w:p>
    <w:p>
      <w:pPr>
        <w:ind w:left="567"/>
        <w:jc w:val="both"/>
        <w:rPr>
          <w:rFonts w:ascii="Times New Roman" w:hAnsi="Times New Roman" w:cs="Times New Roman"/>
          <w:noProof/>
          <w:sz w:val="24"/>
          <w:szCs w:val="24"/>
        </w:rPr>
      </w:pPr>
      <w:r>
        <w:rPr>
          <w:rFonts w:ascii="Times New Roman" w:hAnsi="Times New Roman"/>
          <w:noProof/>
          <w:sz w:val="24"/>
        </w:rPr>
        <w:t>(m) informer toute personne qu’ils représentent dans le cadre des activités couvertes par l’accord interinstitutionnel de leurs obligations envers les institutions de l’UE découlant du code de conduite;</w:t>
      </w:r>
    </w:p>
    <w:p>
      <w:pPr>
        <w:ind w:left="567"/>
        <w:jc w:val="both"/>
        <w:rPr>
          <w:rFonts w:ascii="Times New Roman" w:hAnsi="Times New Roman" w:cs="Times New Roman"/>
          <w:noProof/>
          <w:sz w:val="24"/>
          <w:szCs w:val="24"/>
        </w:rPr>
      </w:pPr>
      <w:r>
        <w:rPr>
          <w:rFonts w:ascii="Times New Roman" w:hAnsi="Times New Roman"/>
          <w:noProof/>
          <w:sz w:val="24"/>
        </w:rPr>
        <w:t>(n) accepter de respecter les règles et modalités d’accès et de sécurité définies par les institutions signataires, et éviter d’y faire obstacle d’une manière ou d'une autre.</w:t>
      </w:r>
    </w:p>
    <w:p>
      <w:pPr>
        <w:rPr>
          <w:rFonts w:ascii="Times New Roman" w:hAnsi="Times New Roman" w:cs="Times New Roman"/>
          <w:noProof/>
          <w:sz w:val="24"/>
          <w:szCs w:val="24"/>
        </w:rPr>
      </w:pPr>
      <w:r>
        <w:rPr>
          <w:noProof/>
        </w:rPr>
        <w:br w:type="page"/>
      </w:r>
    </w:p>
    <w:p>
      <w:pPr>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ANNEXE IV</w:t>
      </w:r>
    </w:p>
    <w:p>
      <w:pPr>
        <w:rPr>
          <w:rFonts w:ascii="Times New Roman" w:hAnsi="Times New Roman" w:cs="Times New Roman"/>
          <w:noProof/>
          <w:color w:val="0070C0"/>
          <w:sz w:val="24"/>
          <w:szCs w:val="24"/>
        </w:rPr>
      </w:pPr>
    </w:p>
    <w:p>
      <w:pPr>
        <w:jc w:val="both"/>
        <w:rPr>
          <w:rFonts w:ascii="Times New Roman" w:hAnsi="Times New Roman" w:cs="Times New Roman"/>
          <w:b/>
          <w:noProof/>
          <w:sz w:val="24"/>
          <w:szCs w:val="24"/>
        </w:rPr>
      </w:pPr>
      <w:r>
        <w:rPr>
          <w:rFonts w:ascii="Times New Roman" w:hAnsi="Times New Roman"/>
          <w:b/>
          <w:noProof/>
          <w:sz w:val="24"/>
        </w:rPr>
        <w:t>ENQUÊTES ET MESURES</w:t>
      </w:r>
    </w:p>
    <w:p>
      <w:pPr>
        <w:pStyle w:val="ListParagraph"/>
        <w:spacing w:after="240"/>
        <w:ind w:left="357"/>
        <w:contextualSpacing w:val="0"/>
        <w:jc w:val="both"/>
        <w:rPr>
          <w:rFonts w:ascii="Times New Roman" w:hAnsi="Times New Roman" w:cs="Times New Roman"/>
          <w:b/>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Observations d’ordre général</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Lorsque le secrétariat prend connaissance d’un possible manquement aux dispositions du code de conduite, il peut ouvrir une enquête.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L’enquête peut être ouverte soit sur le fondement d’une plainte reçue soit à l’initiative même du secrétariat.</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L’enquête est une procédure administrative concernant le secrétariat et le déclarant.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Les dispositions relatives aux enquêtes s’appliquent à la fois aux enquêtes ouvertes à la suite de plaintes reçues et aux enquêtes ouvertes à l’initiative même du secrétariat. </w:t>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Plaintes et ouverture d’enquêtes</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Toute personne physique ou morale peut déposer une plainte auprès du secrétariat. Les plaintes sont présentées par écrit. Afin d’être recevable, la plainte doit:</w:t>
      </w:r>
    </w:p>
    <w:p>
      <w:pPr>
        <w:pStyle w:val="ListParagraph"/>
        <w:numPr>
          <w:ilvl w:val="0"/>
          <w:numId w:val="1"/>
        </w:numPr>
        <w:spacing w:before="120" w:after="120"/>
        <w:ind w:left="851" w:hanging="284"/>
        <w:contextualSpacing w:val="0"/>
        <w:jc w:val="both"/>
        <w:rPr>
          <w:rFonts w:ascii="Times New Roman" w:hAnsi="Times New Roman" w:cs="Times New Roman"/>
          <w:noProof/>
          <w:sz w:val="24"/>
          <w:szCs w:val="24"/>
        </w:rPr>
      </w:pPr>
      <w:r>
        <w:rPr>
          <w:rFonts w:ascii="Times New Roman" w:hAnsi="Times New Roman"/>
          <w:noProof/>
          <w:sz w:val="24"/>
        </w:rPr>
        <w:t>identifier le déclarant concerné et décrire clairement le contenu de la plainte;</w:t>
      </w:r>
    </w:p>
    <w:p>
      <w:pPr>
        <w:pStyle w:val="ListParagraph"/>
        <w:numPr>
          <w:ilvl w:val="0"/>
          <w:numId w:val="1"/>
        </w:numPr>
        <w:spacing w:before="120" w:after="120"/>
        <w:ind w:left="851" w:hanging="284"/>
        <w:contextualSpacing w:val="0"/>
        <w:jc w:val="both"/>
        <w:rPr>
          <w:rFonts w:ascii="Times New Roman" w:hAnsi="Times New Roman" w:cs="Times New Roman"/>
          <w:noProof/>
          <w:sz w:val="24"/>
          <w:szCs w:val="24"/>
        </w:rPr>
      </w:pPr>
      <w:r>
        <w:rPr>
          <w:rFonts w:ascii="Times New Roman" w:hAnsi="Times New Roman"/>
          <w:noProof/>
          <w:sz w:val="24"/>
        </w:rPr>
        <w:t>indiquer le nom et les coordonnées du plaignant;</w:t>
      </w:r>
    </w:p>
    <w:p>
      <w:pPr>
        <w:pStyle w:val="ListParagraph"/>
        <w:numPr>
          <w:ilvl w:val="0"/>
          <w:numId w:val="1"/>
        </w:numPr>
        <w:spacing w:before="120" w:after="120"/>
        <w:ind w:left="851" w:hanging="284"/>
        <w:contextualSpacing w:val="0"/>
        <w:jc w:val="both"/>
        <w:rPr>
          <w:rFonts w:ascii="Times New Roman" w:hAnsi="Times New Roman" w:cs="Times New Roman"/>
          <w:noProof/>
          <w:sz w:val="24"/>
          <w:szCs w:val="24"/>
        </w:rPr>
      </w:pPr>
      <w:r>
        <w:rPr>
          <w:rFonts w:ascii="Times New Roman" w:hAnsi="Times New Roman"/>
          <w:noProof/>
          <w:sz w:val="24"/>
        </w:rPr>
        <w:t xml:space="preserve">être déposée dans l’année suivant la violation présumée; </w:t>
      </w:r>
    </w:p>
    <w:p>
      <w:pPr>
        <w:pStyle w:val="ListParagraph"/>
        <w:numPr>
          <w:ilvl w:val="0"/>
          <w:numId w:val="1"/>
        </w:numPr>
        <w:spacing w:before="120" w:after="120"/>
        <w:ind w:left="851" w:hanging="284"/>
        <w:contextualSpacing w:val="0"/>
        <w:jc w:val="both"/>
        <w:rPr>
          <w:rFonts w:ascii="Times New Roman" w:hAnsi="Times New Roman" w:cs="Times New Roman"/>
          <w:noProof/>
          <w:sz w:val="24"/>
          <w:szCs w:val="24"/>
        </w:rPr>
      </w:pPr>
      <w:r>
        <w:rPr>
          <w:rFonts w:ascii="Times New Roman" w:hAnsi="Times New Roman"/>
          <w:noProof/>
          <w:sz w:val="24"/>
        </w:rPr>
        <w:t>être étayée de manière appropriée par des données factuelles attestant d’une probabilité raisonnable de non-respect des dispositions du code de conduite.</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Le secrétariat informe le plaignant de la recevabilité ou non de la plainte. Pour les plaintes irrecevables, le secrétariat informe dans la mesure du possible le plaignant de la manière de présenter une plainte recevable.</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Sans préjudice des paragraphes précédents, si le secrétariat considère qu’une plainte irrecevable indique la possibilité d’un non-respect des dispositions du code de conduite suffisamment grave, il peut ouvrir une enquête de sa propre initiative. </w:t>
      </w:r>
    </w:p>
    <w:p>
      <w:pPr>
        <w:rPr>
          <w:rFonts w:ascii="Times New Roman" w:hAnsi="Times New Roman" w:cs="Times New Roman"/>
          <w:noProof/>
          <w:sz w:val="24"/>
          <w:szCs w:val="24"/>
        </w:rPr>
      </w:pPr>
      <w:r>
        <w:rPr>
          <w:noProof/>
        </w:rPr>
        <w:br w:type="page"/>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Demandes de clarification</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Si le secrétariat prend connaissance d’un possible non-respect des dispositions du code de conduite pouvant donner lieu à une enquête, il peut, s’il le juge approprié et utile, contacter le déclarant concerné en lui demandant de clarifier le possible manquement et d’y remédier.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 secrétariat fixe un délai raisonnable au déclarant pour satisfaire la demande compte tenu des circonstances factuelles du possible manquement.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Si la réponse du déclarant est satisfaisante et que le secrétariat considère l’affaire réglée, il peut clore la demande et, le cas échéant, en informe le plaignant.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Si la réponse du déclarant n'est pas satisfaisante, le secrétariat ouvre une enquête, de la manière décrite à la section 5 de la présente annexe.</w:t>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Pouvoirs en matière d’enquête</w:t>
      </w:r>
    </w:p>
    <w:p>
      <w:pPr>
        <w:pStyle w:val="ListParagraph"/>
        <w:numPr>
          <w:ilvl w:val="1"/>
          <w:numId w:val="2"/>
        </w:numPr>
        <w:spacing w:before="120" w:after="120"/>
        <w:ind w:left="425" w:hanging="425"/>
        <w:contextualSpacing w:val="0"/>
        <w:jc w:val="both"/>
        <w:rPr>
          <w:rFonts w:ascii="Times New Roman" w:hAnsi="Times New Roman" w:cs="Times New Roman"/>
          <w:noProof/>
          <w:sz w:val="24"/>
          <w:szCs w:val="24"/>
        </w:rPr>
      </w:pPr>
      <w:r>
        <w:rPr>
          <w:rFonts w:ascii="Times New Roman" w:hAnsi="Times New Roman"/>
          <w:noProof/>
          <w:sz w:val="24"/>
        </w:rPr>
        <w:t xml:space="preserve">Le déclarant coopère pleinement en rapport avec toute demande d’information et de documents dans le cadre de l’enquête. </w:t>
      </w:r>
    </w:p>
    <w:p>
      <w:pPr>
        <w:pStyle w:val="ListParagraph"/>
        <w:numPr>
          <w:ilvl w:val="1"/>
          <w:numId w:val="2"/>
        </w:numPr>
        <w:spacing w:before="120" w:after="120"/>
        <w:ind w:left="425" w:hanging="425"/>
        <w:contextualSpacing w:val="0"/>
        <w:jc w:val="both"/>
        <w:rPr>
          <w:rFonts w:ascii="Times New Roman" w:hAnsi="Times New Roman" w:cs="Times New Roman"/>
          <w:noProof/>
          <w:sz w:val="24"/>
          <w:szCs w:val="24"/>
        </w:rPr>
      </w:pPr>
      <w:r>
        <w:rPr>
          <w:rFonts w:ascii="Times New Roman" w:hAnsi="Times New Roman"/>
          <w:noProof/>
          <w:sz w:val="24"/>
        </w:rPr>
        <w:t xml:space="preserve">Le déclarant met à la disposition du secrétariat, à la demande de ce dernier, les documents utiles aux fins de l’enquête. Le secrétariat peut décider d’inspecter et/ou de faire des copies des documents en possession du déclarant. </w:t>
      </w:r>
    </w:p>
    <w:p>
      <w:pPr>
        <w:pStyle w:val="ListParagraph"/>
        <w:numPr>
          <w:ilvl w:val="1"/>
          <w:numId w:val="2"/>
        </w:numPr>
        <w:spacing w:before="120" w:after="120"/>
        <w:ind w:left="425" w:hanging="425"/>
        <w:contextualSpacing w:val="0"/>
        <w:jc w:val="both"/>
        <w:rPr>
          <w:rFonts w:ascii="Times New Roman" w:hAnsi="Times New Roman" w:cs="Times New Roman"/>
          <w:noProof/>
          <w:sz w:val="24"/>
          <w:szCs w:val="24"/>
        </w:rPr>
      </w:pPr>
      <w:r>
        <w:rPr>
          <w:rFonts w:ascii="Times New Roman" w:hAnsi="Times New Roman"/>
          <w:noProof/>
          <w:sz w:val="24"/>
        </w:rPr>
        <w:t xml:space="preserve">Si le secrétariat inspecte des documents, il établit un rapport contenant les informations factuelles utiles aux fins de l’enquête. Une copie du rapport est fournie au déclarant. </w:t>
      </w:r>
    </w:p>
    <w:p>
      <w:pPr>
        <w:pStyle w:val="ListParagraph"/>
        <w:numPr>
          <w:ilvl w:val="1"/>
          <w:numId w:val="2"/>
        </w:numPr>
        <w:spacing w:before="120" w:after="120"/>
        <w:ind w:left="425" w:hanging="425"/>
        <w:contextualSpacing w:val="0"/>
        <w:jc w:val="both"/>
        <w:rPr>
          <w:rFonts w:ascii="Times New Roman" w:hAnsi="Times New Roman" w:cs="Times New Roman"/>
          <w:noProof/>
          <w:sz w:val="24"/>
          <w:szCs w:val="24"/>
        </w:rPr>
      </w:pPr>
      <w:r>
        <w:rPr>
          <w:rFonts w:ascii="Times New Roman" w:hAnsi="Times New Roman"/>
          <w:noProof/>
          <w:sz w:val="24"/>
        </w:rPr>
        <w:t>Le secrétariat peut décider d’entendre le déclarant concerné et/ou le plaignant.</w:t>
      </w:r>
    </w:p>
    <w:p>
      <w:pPr>
        <w:pStyle w:val="ListParagraph"/>
        <w:numPr>
          <w:ilvl w:val="1"/>
          <w:numId w:val="2"/>
        </w:numPr>
        <w:spacing w:before="120" w:after="120"/>
        <w:ind w:left="425" w:hanging="425"/>
        <w:contextualSpacing w:val="0"/>
        <w:jc w:val="both"/>
        <w:rPr>
          <w:rFonts w:ascii="Times New Roman" w:hAnsi="Times New Roman" w:cs="Times New Roman"/>
          <w:noProof/>
          <w:sz w:val="24"/>
          <w:szCs w:val="24"/>
        </w:rPr>
      </w:pPr>
      <w:r>
        <w:rPr>
          <w:rFonts w:ascii="Times New Roman" w:hAnsi="Times New Roman"/>
          <w:noProof/>
          <w:sz w:val="24"/>
        </w:rPr>
        <w:t>Le déclarant et le plaignant peuvent indiquer quel document (ou quelles parties de celui-ci) et/ou quelles informations fournies par eux sur la base des sections 4.2 à 4.4 ci-dessus doivent être considérées confidentielles par référence aux exceptions visées à l’article 4 du règlement (CE) n° 1049/2001.</w:t>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Enquêtes</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Lors de l’ouverture d’une enquête, le secrétariat informe le déclarant du non-respect présumé des dispositions spécifiques du code de conduite, du raisonnement l’ayant motivé et de tout élément de preuve  pertinent. </w:t>
      </w:r>
    </w:p>
    <w:p>
      <w:pPr>
        <w:pStyle w:val="ListParagraph"/>
        <w:spacing w:before="120" w:after="120"/>
        <w:ind w:left="567"/>
        <w:contextualSpacing w:val="0"/>
        <w:jc w:val="both"/>
        <w:rPr>
          <w:rFonts w:ascii="Times New Roman" w:hAnsi="Times New Roman" w:cs="Times New Roman"/>
          <w:noProof/>
          <w:sz w:val="24"/>
          <w:szCs w:val="24"/>
        </w:rPr>
      </w:pPr>
      <w:r>
        <w:rPr>
          <w:rFonts w:ascii="Times New Roman" w:hAnsi="Times New Roman"/>
          <w:noProof/>
          <w:sz w:val="24"/>
        </w:rPr>
        <w:t>Dans des cas exceptionnels et dûment justifiés, le secrétariat peut, dans l’attente de la décision prévue à la section 9, retirer un enregistrement du site Internet public du registre pour éviter toute atteinte à la réputation des institutions de l’Union européenne, du registre ou de tiers. Dans ces cas, le secrétariat informe au même moment le déclarant des raisons de ce retrait et de tout élément de preuve pertinent.</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 déclarant envoie une réponse dans les 20 jours ouvrables suivants.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 secrétariat peut décider d’accorder un délai supplémentaire pour l’envoi de la réponse si cela se justifie par les caractéristiques objectives de l’enquête spécifique.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Si le déclarant ne respecte pas le délai d’envoi d’une réponse, le secrétariat peut, s’il ne l’a pas encore fait, retirer l’enregistrement en question du site Internet public du registre. Le secrétariat peut décider de réintroduire l’enregistrement une fois que le déclarant aura transmis sa réponse.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Si le secrétariat a besoin d’informations complémentaires ou de clarifications, il peut les demander au déclarant, conformément aux sections 5.1 à 5.3 ci-dessus.</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 plaignant est informé de l’ouverture de l’enquête. </w:t>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Recherche de solutions</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Si, après avoir examiné tous les éléments pertinents lors de l’enquête, le secrétariat est d’avis que le déclarant n’a pas respecté le code de conduite, il peut rechercher toute solution qu’il jugera appropriée pour corriger ce manquement et/ou atténuer ses conséquences dans le futur.</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Si le déclarant concerné coopère pour mettre cette solution à exécution, l’enquête est close. Le secrétariat peut décider d’appliquer une mesure plus clémente aux déclarants coopérants, ou de clore l’enquête sans appliquer aucune mesure.</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Si le déclarant ne met pas la solution à exécution de manière satisfaisante, le secrétariat peut clore l’enquête et rendre une décision sur la base des informations à sa disposition.</w:t>
      </w:r>
    </w:p>
    <w:p>
      <w:pPr>
        <w:jc w:val="both"/>
        <w:rPr>
          <w:rFonts w:ascii="Times New Roman" w:hAnsi="Times New Roman" w:cs="Times New Roman"/>
          <w:noProof/>
          <w:sz w:val="24"/>
          <w:szCs w:val="24"/>
        </w:rPr>
      </w:pPr>
    </w:p>
    <w:p>
      <w:pPr>
        <w:pStyle w:val="ListParagraph"/>
        <w:numPr>
          <w:ilvl w:val="0"/>
          <w:numId w:val="2"/>
        </w:numPr>
        <w:spacing w:after="240"/>
        <w:contextualSpacing w:val="0"/>
        <w:jc w:val="both"/>
        <w:rPr>
          <w:rFonts w:ascii="Times New Roman" w:hAnsi="Times New Roman" w:cs="Times New Roman"/>
          <w:b/>
          <w:noProof/>
          <w:sz w:val="24"/>
          <w:szCs w:val="24"/>
        </w:rPr>
      </w:pPr>
      <w:r>
        <w:rPr>
          <w:rFonts w:ascii="Times New Roman" w:hAnsi="Times New Roman"/>
          <w:b/>
          <w:noProof/>
          <w:sz w:val="24"/>
        </w:rPr>
        <w:t>Absence de coopération sincère et constructive avec le secrétariat</w:t>
      </w:r>
    </w:p>
    <w:p>
      <w:pPr>
        <w:jc w:val="both"/>
        <w:rPr>
          <w:rFonts w:ascii="Times New Roman" w:hAnsi="Times New Roman" w:cs="Times New Roman"/>
          <w:noProof/>
          <w:sz w:val="24"/>
          <w:szCs w:val="24"/>
        </w:rPr>
      </w:pPr>
      <w:r>
        <w:rPr>
          <w:rFonts w:ascii="Times New Roman" w:hAnsi="Times New Roman"/>
          <w:noProof/>
          <w:sz w:val="24"/>
        </w:rPr>
        <w:t>Si le secrétariat estime que l’organisation ou le déclarant concerné ne coopère pas de manière sincère et constructive lors des différents stades de l’enquête énoncés à la section 5 ci-dessus, le secrétariat peut, après avoir donné au déclarant la possibilité de faire connaître son point de vue par écrit, clore l’enquête en insérant une constatation de violation du point (j) du code de conduite et en appliquant les mesures visées à la section 10 ci-dessous sur la base des informations à sa disposition.</w:t>
      </w:r>
    </w:p>
    <w:p>
      <w:pPr>
        <w:jc w:val="both"/>
        <w:rPr>
          <w:rFonts w:ascii="Times New Roman" w:hAnsi="Times New Roman" w:cs="Times New Roman"/>
          <w:b/>
          <w:noProof/>
          <w:sz w:val="24"/>
          <w:szCs w:val="24"/>
        </w:rPr>
      </w:pPr>
    </w:p>
    <w:p>
      <w:pPr>
        <w:pStyle w:val="ListParagraph"/>
        <w:numPr>
          <w:ilvl w:val="0"/>
          <w:numId w:val="2"/>
        </w:numPr>
        <w:spacing w:after="240"/>
        <w:contextualSpacing w:val="0"/>
        <w:jc w:val="both"/>
        <w:rPr>
          <w:rFonts w:ascii="Times New Roman" w:hAnsi="Times New Roman" w:cs="Times New Roman"/>
          <w:noProof/>
          <w:sz w:val="24"/>
          <w:szCs w:val="24"/>
        </w:rPr>
      </w:pPr>
      <w:r>
        <w:rPr>
          <w:rFonts w:ascii="Times New Roman" w:hAnsi="Times New Roman"/>
          <w:b/>
          <w:noProof/>
          <w:sz w:val="24"/>
        </w:rPr>
        <w:t>Droit à être entendu</w:t>
      </w:r>
    </w:p>
    <w:p>
      <w:pPr>
        <w:jc w:val="both"/>
        <w:rPr>
          <w:rFonts w:ascii="Times New Roman" w:hAnsi="Times New Roman" w:cs="Times New Roman"/>
          <w:noProof/>
          <w:sz w:val="24"/>
          <w:szCs w:val="24"/>
        </w:rPr>
      </w:pPr>
      <w:r>
        <w:rPr>
          <w:rFonts w:ascii="Times New Roman" w:hAnsi="Times New Roman"/>
          <w:noProof/>
          <w:sz w:val="24"/>
        </w:rPr>
        <w:t>Le déclarant a la possibilité de faire connaître son point de vue par écrit avant qu’une décision concluant à un non-respect du code de conduite soit prise.</w:t>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 xml:space="preserve">Décision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 secrétariat clôt une enquête moyennant une décision motivée. La décision précise si le non-respect des dispositions du code de conduite a été constaté et, le cas échéant, quelle mesure a été appliquée.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Les déclarants sont informés de leur droit à présenter une demande de révision ou des moyens de recours à leur disposition.</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Le plaignant est informé de l’issue de la plainte.</w:t>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Mesures</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Si le secrétariat constate une violation du code de conduite, il peut imposer les mesures suivantes:</w:t>
      </w:r>
    </w:p>
    <w:p>
      <w:pPr>
        <w:ind w:left="851" w:hanging="284"/>
        <w:jc w:val="both"/>
        <w:rPr>
          <w:rFonts w:ascii="Times New Roman" w:hAnsi="Times New Roman" w:cs="Times New Roman"/>
          <w:noProof/>
          <w:sz w:val="24"/>
          <w:szCs w:val="24"/>
        </w:rPr>
      </w:pPr>
      <w:r>
        <w:rPr>
          <w:rFonts w:ascii="Times New Roman" w:hAnsi="Times New Roman"/>
          <w:noProof/>
          <w:sz w:val="24"/>
        </w:rPr>
        <w:t>a)</w:t>
      </w:r>
      <w:r>
        <w:rPr>
          <w:noProof/>
        </w:rPr>
        <w:tab/>
      </w:r>
      <w:r>
        <w:rPr>
          <w:rFonts w:ascii="Times New Roman" w:hAnsi="Times New Roman"/>
          <w:noProof/>
          <w:sz w:val="24"/>
        </w:rPr>
        <w:t>avertissement formel au déclarant, précisant la disposition du code de conduite enfreinte;</w:t>
      </w:r>
    </w:p>
    <w:p>
      <w:pPr>
        <w:ind w:left="851" w:hanging="284"/>
        <w:jc w:val="both"/>
        <w:rPr>
          <w:rFonts w:ascii="Times New Roman" w:hAnsi="Times New Roman" w:cs="Times New Roman"/>
          <w:noProof/>
          <w:sz w:val="24"/>
          <w:szCs w:val="24"/>
        </w:rPr>
      </w:pPr>
      <w:r>
        <w:rPr>
          <w:rFonts w:ascii="Times New Roman" w:hAnsi="Times New Roman"/>
          <w:noProof/>
          <w:sz w:val="24"/>
        </w:rPr>
        <w:t>b) suspension d’un ou plusieurs types d’interaction à la disposition du déclarant répertoriés à l’article 5 du présent accord interinstitutionnel pendant une période comprise entre 15 jours et 1 an;</w:t>
      </w:r>
    </w:p>
    <w:p>
      <w:pPr>
        <w:ind w:left="851" w:hanging="284"/>
        <w:jc w:val="both"/>
        <w:rPr>
          <w:rFonts w:ascii="Times New Roman" w:hAnsi="Times New Roman" w:cs="Times New Roman"/>
          <w:noProof/>
          <w:sz w:val="24"/>
          <w:szCs w:val="24"/>
        </w:rPr>
      </w:pPr>
      <w:r>
        <w:rPr>
          <w:rFonts w:ascii="Times New Roman" w:hAnsi="Times New Roman"/>
          <w:noProof/>
          <w:sz w:val="24"/>
        </w:rPr>
        <w:t>c)</w:t>
      </w:r>
      <w:r>
        <w:rPr>
          <w:noProof/>
        </w:rPr>
        <w:tab/>
      </w:r>
      <w:r>
        <w:rPr>
          <w:rFonts w:ascii="Times New Roman" w:hAnsi="Times New Roman"/>
          <w:noProof/>
          <w:sz w:val="24"/>
        </w:rPr>
        <w:t>retrait de l’enregistrement du registre pendant une période comprise entre 15 jours et 2 ans.</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Lorsqu’il décide de la sévérité de la mesure, le secrétariat prend dûment en compte toutes les circonstances pertinentes d’une situation donnée ainsi que les objectifs recherchés par l’accord interinstitutionnel.</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Les déclarants dont un ou plusieurs types d’interaction ont été suspendus ne peuvent pas bénéficier desdits types d’interaction tant que leur période de suspension n’a pas expiré et qu’ils n’ont pas remédié aux causes ayant entraîné la suspension, la période la plus longue s’appliquant.</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Les enregistrements retirés du registre ne peuvent pas être réintroduits tant que leur période de suspension n’a pas expiré et que le déclarant n’a pas remédié aux causes ayant entraîné la suspension.</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 plaignant est informé de l’issue définitive de la plainte et, le cas échéant, de la mesure au titre de la section 10.1 qui a été appliquée au déclarant. </w:t>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Révision</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Les déclarants qui ont fait l’objet des mesures visées à la section 10.1 peuvent présenter une demande motivée de révision de la décision du secrétariat. L’épuisement de la procédure de révision donne droit aux déclarants d’utiliser les recours prévus à la section 12 de la présente annexe.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La demande de révision est envoyée au conseil d’administration dans les 15 jours ouvrables suivant la réception de la notification de la mesure.</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Les demandes de révision devront être réexaminées par le conseil d’administration.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Une demande de révision ne suspend pas la mesure, à moins que le conseil d’administration en décide autrement sur la base de la demande de révision motivée. </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Le conseil d’administration informe le déclarant de l’issue de la procédure de révision dans les 20 jours ouvrables suivants. L’absence de réponse durant cette période est considérée comme un rejet implicite de la demande de révision.</w:t>
      </w:r>
    </w:p>
    <w:p>
      <w:pPr>
        <w:pStyle w:val="ListParagraph"/>
        <w:numPr>
          <w:ilvl w:val="1"/>
          <w:numId w:val="2"/>
        </w:numPr>
        <w:spacing w:before="120" w:after="120"/>
        <w:ind w:left="567" w:hanging="567"/>
        <w:contextualSpacing w:val="0"/>
        <w:jc w:val="both"/>
        <w:rPr>
          <w:rFonts w:ascii="Times New Roman" w:hAnsi="Times New Roman" w:cs="Times New Roman"/>
          <w:noProof/>
          <w:sz w:val="24"/>
          <w:szCs w:val="24"/>
        </w:rPr>
      </w:pPr>
      <w:r>
        <w:rPr>
          <w:rFonts w:ascii="Times New Roman" w:hAnsi="Times New Roman"/>
          <w:noProof/>
          <w:sz w:val="24"/>
        </w:rPr>
        <w:t xml:space="preserve">Les déclarants qui ne sont pas satisfaits de l’issue de la procédure de révision peuvent utiliser les recours visés à la section 12.  </w:t>
      </w:r>
    </w:p>
    <w:p>
      <w:pPr>
        <w:jc w:val="both"/>
        <w:rPr>
          <w:rFonts w:ascii="Times New Roman" w:hAnsi="Times New Roman" w:cs="Times New Roman"/>
          <w:noProof/>
          <w:sz w:val="24"/>
          <w:szCs w:val="24"/>
        </w:rPr>
      </w:pPr>
    </w:p>
    <w:p>
      <w:pPr>
        <w:pStyle w:val="ListParagraph"/>
        <w:numPr>
          <w:ilvl w:val="0"/>
          <w:numId w:val="2"/>
        </w:numPr>
        <w:spacing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Mesures correctives</w:t>
      </w:r>
    </w:p>
    <w:p>
      <w:pPr>
        <w:jc w:val="both"/>
        <w:rPr>
          <w:rFonts w:ascii="Times New Roman" w:hAnsi="Times New Roman" w:cs="Times New Roman"/>
          <w:noProof/>
          <w:sz w:val="24"/>
          <w:szCs w:val="24"/>
        </w:rPr>
      </w:pPr>
      <w:r>
        <w:rPr>
          <w:rFonts w:ascii="Times New Roman" w:hAnsi="Times New Roman"/>
          <w:noProof/>
          <w:sz w:val="24"/>
        </w:rPr>
        <w:t>Les déclarants qui ne sont pas satisfaits de la décision du conseil d’administration peuvent présenter une demande à la Cour de justice ou déposer une plainte auprès du médiateur européen, conformément aux articles 263 et 228 du traité sur le fonctionnement de l’Union européenne.</w:t>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p>
    <w:p>
      <w:pPr>
        <w:rPr>
          <w:rFonts w:ascii="Times New Roman" w:hAnsi="Times New Roman" w:cs="Times New Roman"/>
          <w:noProof/>
          <w:sz w:val="24"/>
          <w:szCs w:val="24"/>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587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L’adresse électronique fournie ne sera pas publiée. </w:t>
      </w: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Les déclarants peuvent demander une autorisation d’accès aux bâtiments du Parlement européen à la fin du processus d’enregistrement. Les noms des personnes auxquelles ont été attribués des titres d’accès sont insérés dans le registre. L’enregistrement ne confère pas un droit automatique à un tel titre.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8444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4387673"/>
    <w:multiLevelType w:val="hybridMultilevel"/>
    <w:tmpl w:val="B760633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à la proposition d'accord interinstitutionnel"/>
    <w:docVar w:name="LW_ANNEX_NBR_FIRST" w:val="1"/>
    <w:docVar w:name="LW_ANNEX_NBR_LAST" w:val="4"/>
    <w:docVar w:name="LW_CONFIDENCE" w:val=" "/>
    <w:docVar w:name="LW_CONST_RESTREINT_UE" w:val="RESTREINT UE"/>
    <w:docVar w:name="LW_CORRIGENDUM" w:val="&lt;UNUSED&gt;"/>
    <w:docVar w:name="LW_COVERPAGE_GUID" w:val="AC192C43A5844F10BF448094A287B7D7"/>
    <w:docVar w:name="LW_CROSSREFERENCE" w:val="&lt;UNUSED&gt;"/>
    <w:docVar w:name="LW_DocType" w:val="NORMAL"/>
    <w:docVar w:name="LW_EMISSION" w:val="28.9.2016"/>
    <w:docVar w:name="LW_EMISSION_ISODATE" w:val="2016-09-28"/>
    <w:docVar w:name="LW_EMISSION_LOCATION" w:val="BRX"/>
    <w:docVar w:name="LW_EMISSION_PREFIX" w:val="Bruxelles, le "/>
    <w:docVar w:name="LW_EMISSION_SUFFIX" w:val=" "/>
    <w:docVar w:name="LW_ID_DOCTYPE_NONLW" w:val="CP-036"/>
    <w:docVar w:name="LW_LANGUE" w:val="FR"/>
    <w:docVar w:name="LW_MARKING" w:val="&lt;UNUSED&gt;"/>
    <w:docVar w:name="LW_NOM.INST" w:val="COMMISSION EUROPÉENNE"/>
    <w:docVar w:name="LW_NOM.INST_JOINTDOC" w:val="&lt;EMPTY&gt;"/>
    <w:docVar w:name="LW_OBJETACTEPRINCIPAL.CP" w:val="sur un registre de transparence obligatoire"/>
    <w:docVar w:name="LW_PART_NBR" w:val="&lt;UNUSED&gt;"/>
    <w:docVar w:name="LW_PART_NBR_TOTAL" w:val="&lt;UNUSED&gt;"/>
    <w:docVar w:name="LW_REF.INST.NEW" w:val="COM"/>
    <w:docVar w:name="LW_REF.INST.NEW_ADOPTED" w:val="final"/>
    <w:docVar w:name="LW_REF.INST.NEW_TEXT" w:val="(2016) 627"/>
    <w:docVar w:name="LW_REF.INTERNE" w:val="&lt;UNUSED&gt;"/>
    <w:docVar w:name="LW_SUPERTITRE" w:val="&lt;UNUSED&gt;"/>
    <w:docVar w:name="LW_TITRE.OBJ.CP" w:val="&lt;UNUSED&gt;"/>
    <w:docVar w:name="LW_TYPE.DOC.CP" w:val="ANNEXES_x000b_"/>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lang w:val="en-GB"/>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lang w:val="en-GB"/>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rPr>
      <w:rFonts w:eastAsiaTheme="minorEastAsia"/>
      <w:lang w:eastAsia="zh-C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lang w:val="en-GB"/>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lang w:val="en-GB"/>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rPr>
      <w:rFonts w:eastAsiaTheme="minorEastAsia"/>
      <w:lang w:eastAsia="zh-C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3220</Words>
  <Characters>17489</Characters>
  <Application>Microsoft Office Word</Application>
  <DocSecurity>0</DocSecurity>
  <Lines>416</Lines>
  <Paragraphs>272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DE LANDA Rosa Maria (SG)</dc:creator>
  <cp:lastModifiedBy>DIGIT/A3</cp:lastModifiedBy>
  <cp:revision>9</cp:revision>
  <cp:lastPrinted>2016-09-21T14:58:00Z</cp:lastPrinted>
  <dcterms:created xsi:type="dcterms:W3CDTF">2016-09-23T10:07:00Z</dcterms:created>
  <dcterms:modified xsi:type="dcterms:W3CDTF">2016-10-03T15:17:00Z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4</vt:lpwstr>
  </property>
  <property fmtid="{D5CDD505-2E9C-101B-9397-08002B2CF9AE}" pid="4" name="Part">
    <vt:lpwstr>&lt;UNUSED&gt;</vt:lpwstr>
  </property>
  <property fmtid="{D5CDD505-2E9C-101B-9397-08002B2CF9AE}" pid="5" name="Total parts">
    <vt:lpwstr>&lt;UNUSED&gt;</vt:lpwstr>
  </property>
  <property fmtid="{D5CDD505-2E9C-101B-9397-08002B2CF9AE}" pid="6" name="DocStatus">
    <vt:lpwstr>Green</vt:lpwstr>
  </property>
  <property fmtid="{D5CDD505-2E9C-101B-9397-08002B2CF9AE}" pid="7" name="Classification">
    <vt:lpwstr> </vt:lpwstr>
  </property>
</Properties>
</file>