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60F99BF5F54FAE9AFAD829505540D5" style="width:450.75pt;height:32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rFonts w:ascii="Times New Roman" w:hAnsi="Times New Roman" w:cs="Times New Roman"/>
          <w:noProof/>
          <w:sz w:val="24"/>
          <w:szCs w:val="24"/>
        </w:rPr>
      </w:pPr>
      <w:bookmarkStart w:id="1" w:name="_GoBack"/>
      <w:bookmarkEnd w:id="1"/>
    </w:p>
    <w:tbl>
      <w:tblPr>
        <w:tblW w:w="9322" w:type="dxa"/>
        <w:tblBorders>
          <w:insideH w:val="single" w:sz="4" w:space="0" w:color="auto"/>
        </w:tblBorders>
        <w:tblLook w:val="04A0" w:firstRow="1" w:lastRow="0" w:firstColumn="1" w:lastColumn="0" w:noHBand="0" w:noVBand="1"/>
      </w:tblPr>
      <w:tblGrid>
        <w:gridCol w:w="6771"/>
        <w:gridCol w:w="2518"/>
        <w:gridCol w:w="33"/>
      </w:tblGrid>
      <w:tr>
        <w:tc>
          <w:tcPr>
            <w:tcW w:w="9322" w:type="dxa"/>
            <w:gridSpan w:val="3"/>
            <w:tcBorders>
              <w:bottom w:val="nil"/>
            </w:tcBorders>
            <w:shd w:val="clear" w:color="auto" w:fill="auto"/>
          </w:tcPr>
          <w:p>
            <w:pPr>
              <w:rPr>
                <w:rFonts w:ascii="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Въведение</w:t>
            </w:r>
          </w:p>
        </w:tc>
      </w:tr>
      <w:tr>
        <w:trPr>
          <w:gridAfter w:val="1"/>
          <w:wAfter w:w="33" w:type="dxa"/>
        </w:trPr>
        <w:tc>
          <w:tcPr>
            <w:tcW w:w="6771" w:type="dxa"/>
            <w:tcBorders>
              <w:top w:val="nil"/>
              <w:bottom w:val="nil"/>
            </w:tcBorders>
            <w:shd w:val="clear" w:color="auto" w:fill="auto"/>
          </w:tcPr>
          <w:p>
            <w:pPr>
              <w:spacing w:after="120"/>
              <w:jc w:val="both"/>
              <w:rPr>
                <w:rFonts w:ascii="Times New Roman" w:hAnsi="Times New Roman" w:cs="Times New Roman"/>
                <w:noProof/>
                <w:sz w:val="24"/>
                <w:szCs w:val="24"/>
              </w:rPr>
            </w:pPr>
            <w:r>
              <w:rPr>
                <w:rFonts w:ascii="Times New Roman" w:hAnsi="Times New Roman"/>
                <w:noProof/>
                <w:sz w:val="24"/>
              </w:rPr>
              <w:t>Комисията редовно изготвя доклад за Европейския парламент и Съвета относно функционирането на системата за контрол на традиционните собствени ресурси (ТСР).</w:t>
            </w:r>
            <w:r>
              <w:rPr>
                <w:rFonts w:ascii="Times New Roman" w:hAnsi="Times New Roman"/>
                <w:noProof/>
                <w:sz w:val="24"/>
                <w:vertAlign w:val="superscript"/>
              </w:rPr>
              <w:footnoteReference w:id="1"/>
            </w:r>
          </w:p>
          <w:p>
            <w:pPr>
              <w:spacing w:after="120"/>
              <w:jc w:val="both"/>
              <w:rPr>
                <w:rFonts w:ascii="Times New Roman" w:hAnsi="Times New Roman" w:cs="Times New Roman"/>
                <w:noProof/>
                <w:sz w:val="24"/>
                <w:szCs w:val="24"/>
              </w:rPr>
            </w:pPr>
            <w:r>
              <w:rPr>
                <w:rFonts w:ascii="Times New Roman" w:hAnsi="Times New Roman"/>
                <w:noProof/>
                <w:sz w:val="24"/>
              </w:rPr>
              <w:t>Проверките на ТСР се основават на Решение 2007/436/ЕО, Евратом на Съвета от 7 юни 2007 г.</w:t>
            </w:r>
            <w:r>
              <w:rPr>
                <w:rFonts w:ascii="Times New Roman" w:hAnsi="Times New Roman"/>
                <w:noProof/>
                <w:sz w:val="24"/>
                <w:vertAlign w:val="superscript"/>
              </w:rPr>
              <w:footnoteReference w:id="2"/>
            </w:r>
            <w:r>
              <w:rPr>
                <w:rFonts w:ascii="Times New Roman" w:hAnsi="Times New Roman"/>
                <w:noProof/>
                <w:sz w:val="24"/>
              </w:rPr>
              <w:t>, Регламент № 1150/2000 на Съвета от 22 май 2000 г.</w:t>
            </w:r>
            <w:r>
              <w:rPr>
                <w:rFonts w:ascii="Times New Roman" w:hAnsi="Times New Roman"/>
                <w:noProof/>
                <w:sz w:val="24"/>
                <w:vertAlign w:val="superscript"/>
              </w:rPr>
              <w:footnoteReference w:id="3"/>
            </w:r>
            <w:r>
              <w:rPr>
                <w:rFonts w:ascii="Times New Roman" w:hAnsi="Times New Roman"/>
                <w:noProof/>
                <w:sz w:val="24"/>
              </w:rPr>
              <w:t xml:space="preserve"> и Регламент № 1026/1999 на Съвета от 10 май 1999 г.</w:t>
            </w:r>
            <w:r>
              <w:rPr>
                <w:rFonts w:ascii="Times New Roman" w:hAnsi="Times New Roman"/>
                <w:noProof/>
                <w:sz w:val="24"/>
                <w:vertAlign w:val="superscript"/>
              </w:rPr>
              <w:footnoteReference w:id="4"/>
            </w:r>
          </w:p>
        </w:tc>
        <w:tc>
          <w:tcPr>
            <w:tcW w:w="2518" w:type="dxa"/>
            <w:tcBorders>
              <w:top w:val="nil"/>
              <w:bottom w:val="nil"/>
            </w:tcBorders>
            <w:shd w:val="clear" w:color="auto" w:fill="auto"/>
          </w:tcPr>
          <w:p>
            <w:pPr>
              <w:spacing w:after="120"/>
              <w:jc w:val="both"/>
              <w:rPr>
                <w:rFonts w:ascii="Times New Roman" w:hAnsi="Times New Roman" w:cs="Times New Roman"/>
                <w:noProof/>
                <w:spacing w:val="-6"/>
                <w:sz w:val="18"/>
                <w:szCs w:val="18"/>
              </w:rPr>
            </w:pPr>
            <w:r>
              <w:rPr>
                <w:rFonts w:ascii="Times New Roman" w:hAnsi="Times New Roman"/>
                <w:b/>
                <w:i/>
                <w:noProof/>
                <w:spacing w:val="-6"/>
                <w:sz w:val="18"/>
              </w:rPr>
              <w:t>Традиционни собствени ресурси (ТСР)</w:t>
            </w:r>
            <w:r>
              <w:rPr>
                <w:rFonts w:ascii="Times New Roman" w:hAnsi="Times New Roman"/>
                <w:i/>
                <w:noProof/>
                <w:spacing w:val="-6"/>
                <w:sz w:val="18"/>
              </w:rPr>
              <w:t xml:space="preserve">: мита върху продукти, внесени от трети държави, както и налози върху захарта. През периода 2013—2015 г. са осигурени повече от </w:t>
            </w:r>
            <w:r>
              <w:rPr>
                <w:rFonts w:ascii="Times New Roman" w:hAnsi="Times New Roman"/>
                <w:b/>
                <w:i/>
                <w:noProof/>
                <w:spacing w:val="-6"/>
                <w:sz w:val="18"/>
              </w:rPr>
              <w:t>50 милиарда EUR</w:t>
            </w:r>
            <w:r>
              <w:rPr>
                <w:rFonts w:ascii="Times New Roman" w:hAnsi="Times New Roman"/>
                <w:i/>
                <w:noProof/>
                <w:spacing w:val="-6"/>
                <w:sz w:val="18"/>
              </w:rPr>
              <w:t xml:space="preserve"> (нетна сума). Средногодишната сума е 16,8 милиарда EUR.</w:t>
            </w:r>
          </w:p>
        </w:tc>
      </w:tr>
    </w:tbl>
    <w:p>
      <w:pPr>
        <w:spacing w:after="120"/>
        <w:jc w:val="both"/>
        <w:rPr>
          <w:rFonts w:ascii="Times New Roman" w:hAnsi="Times New Roman" w:cs="Times New Roman"/>
          <w:noProof/>
          <w:sz w:val="24"/>
          <w:szCs w:val="24"/>
        </w:rPr>
      </w:pPr>
      <w:r>
        <w:rPr>
          <w:rFonts w:ascii="Times New Roman" w:hAnsi="Times New Roman"/>
          <w:noProof/>
          <w:sz w:val="24"/>
        </w:rPr>
        <w:t>Настоящият доклад, осмият от този вид, описва и анализира функционирането на системата за контрол на ТСР за периода от 2013 до 2015 г.</w:t>
      </w:r>
      <w:r>
        <w:rPr>
          <w:rFonts w:ascii="Times New Roman" w:hAnsi="Times New Roman"/>
          <w:noProof/>
          <w:sz w:val="24"/>
          <w:vertAlign w:val="superscript"/>
        </w:rPr>
        <w:footnoteReference w:id="5"/>
      </w:r>
      <w:r>
        <w:rPr>
          <w:rFonts w:ascii="Times New Roman" w:hAnsi="Times New Roman"/>
          <w:noProof/>
          <w:sz w:val="24"/>
        </w:rPr>
        <w:t>Той предоставя информация за проведените от Европейската комисия проверки на традиционните собствени ресурси през този период и включва:</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проверките, проведени от Комисията на място в държавите членки, и последващите действия във връзка с тях;</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последващите действия във връзка с писмата с предварителни констатации на Европейската сметна палата;</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разглеждането на отписаните несъбираеми вземания;</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третирането на грешките на държавите членки, довели до загуба на традиционни собствени ресурси;</w:t>
      </w:r>
    </w:p>
    <w:p>
      <w:pPr>
        <w:numPr>
          <w:ilvl w:val="0"/>
          <w:numId w:val="1"/>
        </w:numPr>
        <w:spacing w:after="120"/>
        <w:jc w:val="both"/>
        <w:rPr>
          <w:rFonts w:ascii="Times New Roman" w:hAnsi="Times New Roman" w:cs="Times New Roman"/>
          <w:noProof/>
          <w:spacing w:val="-6"/>
          <w:sz w:val="24"/>
          <w:szCs w:val="24"/>
        </w:rPr>
      </w:pPr>
      <w:r>
        <w:rPr>
          <w:rFonts w:ascii="Times New Roman" w:hAnsi="Times New Roman"/>
          <w:noProof/>
          <w:spacing w:val="-6"/>
          <w:sz w:val="24"/>
        </w:rPr>
        <w:t>управлението на базата данни относно случаите на измама и нередности (OWNRES);</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пилотната дейност относно одита на счетоводни сметки от раздели А и Б от страна на държавите членки;</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подпомагането на държавите кандидати.</w:t>
      </w:r>
    </w:p>
    <w:p>
      <w:pPr>
        <w:spacing w:before="360"/>
        <w:jc w:val="both"/>
        <w:rPr>
          <w:rFonts w:ascii="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Рамка и методология на проверките на ТСР</w:t>
      </w:r>
    </w:p>
    <w:p>
      <w:pPr>
        <w:jc w:val="both"/>
        <w:rPr>
          <w:rFonts w:ascii="Times New Roman" w:hAnsi="Times New Roman" w:cs="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 xml:space="preserve">Регулаторна и оперативна рамка на ТСР </w:t>
      </w:r>
    </w:p>
    <w:tbl>
      <w:tblPr>
        <w:tblW w:w="9322" w:type="dxa"/>
        <w:tblLook w:val="04A0" w:firstRow="1" w:lastRow="0" w:firstColumn="1" w:lastColumn="0" w:noHBand="0" w:noVBand="1"/>
      </w:tblPr>
      <w:tblGrid>
        <w:gridCol w:w="6629"/>
        <w:gridCol w:w="2693"/>
      </w:tblGrid>
      <w:tr>
        <w:tc>
          <w:tcPr>
            <w:tcW w:w="6629" w:type="dxa"/>
            <w:shd w:val="clear" w:color="auto" w:fill="auto"/>
          </w:tcPr>
          <w:p>
            <w:pPr>
              <w:jc w:val="both"/>
              <w:rPr>
                <w:rFonts w:ascii="Times New Roman" w:hAnsi="Times New Roman" w:cs="Times New Roman"/>
                <w:noProof/>
                <w:sz w:val="24"/>
                <w:szCs w:val="24"/>
              </w:rPr>
            </w:pPr>
            <w:r>
              <w:rPr>
                <w:rFonts w:ascii="Times New Roman" w:hAnsi="Times New Roman"/>
                <w:noProof/>
                <w:sz w:val="24"/>
              </w:rPr>
              <w:t xml:space="preserve">Отговорността за събирането на ТСР е делегирана на държавите членки. Те са задължени да предоставят събраните </w:t>
            </w:r>
            <w:r>
              <w:rPr>
                <w:rFonts w:ascii="Times New Roman" w:hAnsi="Times New Roman"/>
                <w:noProof/>
                <w:sz w:val="24"/>
              </w:rPr>
              <w:lastRenderedPageBreak/>
              <w:t>мита на разположение на бюджета на ЕС и имат право да задържат като разходи по събирането 25 % от всички суми ТСР, предоставени на Комисията.</w:t>
            </w:r>
            <w:r>
              <w:rPr>
                <w:rFonts w:ascii="Times New Roman" w:hAnsi="Times New Roman"/>
                <w:noProof/>
                <w:sz w:val="24"/>
                <w:vertAlign w:val="superscript"/>
              </w:rPr>
              <w:footnoteReference w:id="6"/>
            </w:r>
            <w:r>
              <w:rPr>
                <w:rFonts w:ascii="Times New Roman" w:hAnsi="Times New Roman"/>
                <w:noProof/>
                <w:sz w:val="24"/>
              </w:rPr>
              <w:t>Държавите членки са задължени да извършват самостоятелни проверки и да докладват на Комисията.</w:t>
            </w:r>
          </w:p>
          <w:p>
            <w:pPr>
              <w:jc w:val="both"/>
              <w:rPr>
                <w:rFonts w:ascii="Times New Roman" w:hAnsi="Times New Roman" w:cs="Times New Roman"/>
                <w:noProof/>
                <w:sz w:val="24"/>
                <w:szCs w:val="24"/>
              </w:rPr>
            </w:pPr>
            <w:r>
              <w:rPr>
                <w:rFonts w:ascii="Times New Roman" w:hAnsi="Times New Roman"/>
                <w:noProof/>
                <w:sz w:val="24"/>
              </w:rPr>
              <w:t>Комисията обаче запазва важни правомощия за извършване на проверки в тази област. За осъществяването на надзор върху системата за събиране на ТСР са възможни няколко вида проверки от страна на Комисията: проверки на разпоредбите, проверки на документацията и проверки на място. В допълнение към това Комисията е задължена да отговаря на забележките, направени от Сметната палата в годишния ѝ доклад, специалните ѝ доклади или писмата ѝ с предварителни констатации, както и на забележките и препоръките, направени от Европейския парламент по време на процедурата за освобождаване от отговорност във връзка с изпълнението на бюджета. Комисията гарантира, че държавите членки прилагат правилно правилата на ЕС, и докладва на бюджетния орган.</w:t>
            </w:r>
          </w:p>
          <w:p>
            <w:pPr>
              <w:jc w:val="both"/>
              <w:rPr>
                <w:rFonts w:ascii="Times New Roman" w:hAnsi="Times New Roman" w:cs="Times New Roman"/>
                <w:noProof/>
                <w:sz w:val="24"/>
                <w:szCs w:val="24"/>
              </w:rPr>
            </w:pPr>
            <w:r>
              <w:rPr>
                <w:rFonts w:ascii="Times New Roman" w:hAnsi="Times New Roman"/>
                <w:noProof/>
                <w:sz w:val="24"/>
              </w:rPr>
              <w:t>Контролните дейности на Комисията имат три специфични цели:</w:t>
            </w:r>
          </w:p>
        </w:tc>
        <w:tc>
          <w:tcPr>
            <w:tcW w:w="2693" w:type="dxa"/>
            <w:shd w:val="clear" w:color="auto" w:fill="auto"/>
          </w:tcPr>
          <w:p>
            <w:pPr>
              <w:spacing w:after="120"/>
              <w:jc w:val="both"/>
              <w:rPr>
                <w:rFonts w:ascii="Times New Roman" w:hAnsi="Times New Roman" w:cs="Times New Roman"/>
                <w:b/>
                <w:i/>
                <w:noProof/>
                <w:sz w:val="18"/>
                <w:szCs w:val="18"/>
              </w:rPr>
            </w:pPr>
            <w:r>
              <w:rPr>
                <w:rFonts w:ascii="Times New Roman" w:hAnsi="Times New Roman"/>
                <w:b/>
                <w:i/>
                <w:noProof/>
                <w:sz w:val="18"/>
              </w:rPr>
              <w:lastRenderedPageBreak/>
              <w:t xml:space="preserve">Вид проверки: </w:t>
            </w:r>
          </w:p>
          <w:p>
            <w:pPr>
              <w:spacing w:after="60"/>
              <w:jc w:val="both"/>
              <w:rPr>
                <w:rFonts w:ascii="Times New Roman" w:hAnsi="Times New Roman" w:cs="Times New Roman"/>
                <w:i/>
                <w:noProof/>
                <w:sz w:val="18"/>
                <w:szCs w:val="18"/>
              </w:rPr>
            </w:pPr>
            <w:r>
              <w:rPr>
                <w:rFonts w:ascii="Times New Roman" w:hAnsi="Times New Roman"/>
                <w:b/>
                <w:i/>
                <w:noProof/>
                <w:sz w:val="18"/>
              </w:rPr>
              <w:t xml:space="preserve">Проверки на разпоредбите: </w:t>
            </w:r>
            <w:r>
              <w:rPr>
                <w:rFonts w:ascii="Times New Roman" w:hAnsi="Times New Roman"/>
                <w:i/>
                <w:noProof/>
                <w:sz w:val="18"/>
              </w:rPr>
              <w:lastRenderedPageBreak/>
              <w:t>проверки на разпоредбите на държавите членки относно системата за събиране на ТСР.</w:t>
            </w:r>
          </w:p>
          <w:p>
            <w:pPr>
              <w:spacing w:after="60"/>
              <w:jc w:val="both"/>
              <w:rPr>
                <w:rFonts w:ascii="Times New Roman" w:hAnsi="Times New Roman" w:cs="Times New Roman"/>
                <w:i/>
                <w:noProof/>
                <w:spacing w:val="-4"/>
                <w:sz w:val="18"/>
                <w:szCs w:val="18"/>
              </w:rPr>
            </w:pPr>
            <w:r>
              <w:rPr>
                <w:rFonts w:ascii="Times New Roman" w:hAnsi="Times New Roman"/>
                <w:b/>
                <w:i/>
                <w:noProof/>
                <w:spacing w:val="-4"/>
                <w:sz w:val="18"/>
              </w:rPr>
              <w:t xml:space="preserve">Проверки на документацията: </w:t>
            </w:r>
            <w:r>
              <w:rPr>
                <w:rFonts w:ascii="Times New Roman" w:hAnsi="Times New Roman"/>
                <w:i/>
                <w:noProof/>
                <w:spacing w:val="-4"/>
                <w:sz w:val="18"/>
              </w:rPr>
              <w:t>анализ на счетоводните отчети и всички видове счетоводни документи и регистри на държавите членки, включително доклади от държавите членки относно несъбираеми вземания.</w:t>
            </w:r>
          </w:p>
          <w:p>
            <w:pPr>
              <w:spacing w:after="120"/>
              <w:jc w:val="both"/>
              <w:rPr>
                <w:rFonts w:ascii="Times New Roman" w:hAnsi="Times New Roman" w:cs="Times New Roman"/>
                <w:noProof/>
                <w:sz w:val="24"/>
                <w:szCs w:val="24"/>
              </w:rPr>
            </w:pPr>
            <w:r>
              <w:rPr>
                <w:rFonts w:ascii="Times New Roman" w:hAnsi="Times New Roman"/>
                <w:b/>
                <w:i/>
                <w:noProof/>
                <w:sz w:val="18"/>
              </w:rPr>
              <w:t>Проверки на място:</w:t>
            </w:r>
            <w:r>
              <w:rPr>
                <w:rFonts w:ascii="Times New Roman" w:hAnsi="Times New Roman"/>
                <w:i/>
                <w:noProof/>
                <w:sz w:val="18"/>
              </w:rPr>
              <w:t xml:space="preserve"> проверка на съответствието на националните системи и съответната документация на законодателството на ЕС както от счетоводна гледна точка, така и от гледна точка на митническите въпроси. Тези проверки се провеждат съвместно със съответните държави членки или самостоятелно.</w:t>
            </w:r>
          </w:p>
        </w:tc>
      </w:tr>
    </w:tbl>
    <w:p>
      <w:pPr>
        <w:numPr>
          <w:ilvl w:val="0"/>
          <w:numId w:val="3"/>
        </w:numPr>
        <w:jc w:val="both"/>
        <w:rPr>
          <w:rFonts w:ascii="Times New Roman" w:hAnsi="Times New Roman" w:cs="Times New Roman"/>
          <w:noProof/>
          <w:sz w:val="24"/>
          <w:szCs w:val="24"/>
        </w:rPr>
      </w:pPr>
      <w:r>
        <w:rPr>
          <w:rFonts w:ascii="Times New Roman" w:hAnsi="Times New Roman"/>
          <w:noProof/>
          <w:sz w:val="24"/>
        </w:rPr>
        <w:lastRenderedPageBreak/>
        <w:t>Поддържане на равнопоставеност между държавите членки и икономическите оператори, независимо къде в ЕС се извършва митническото оформяне на стоките. Комисията трябва да гарантира единно прилагане на правилата на ЕС с оглед предотвратяване на нарушения на конкуренцията;</w:t>
      </w:r>
    </w:p>
    <w:p>
      <w:pPr>
        <w:numPr>
          <w:ilvl w:val="0"/>
          <w:numId w:val="3"/>
        </w:numPr>
        <w:jc w:val="both"/>
        <w:rPr>
          <w:rFonts w:ascii="Times New Roman" w:hAnsi="Times New Roman" w:cs="Times New Roman"/>
          <w:noProof/>
          <w:sz w:val="24"/>
          <w:szCs w:val="24"/>
        </w:rPr>
      </w:pPr>
      <w:r>
        <w:rPr>
          <w:rFonts w:ascii="Times New Roman" w:hAnsi="Times New Roman"/>
          <w:noProof/>
          <w:sz w:val="24"/>
        </w:rPr>
        <w:t>Подобряване на ситуацията относно събирането. Комисията трябва да се увери, че държавите членки изпълняват своите отговорностипо отношение на събирането и предоставянето на ТСР. Всякакви административни и финансови последици също следва да бъдат пропорционално разпределени между държавите членки;</w:t>
      </w:r>
    </w:p>
    <w:p>
      <w:pPr>
        <w:numPr>
          <w:ilvl w:val="0"/>
          <w:numId w:val="3"/>
        </w:numPr>
        <w:jc w:val="both"/>
        <w:rPr>
          <w:rFonts w:ascii="Times New Roman" w:hAnsi="Times New Roman" w:cs="Times New Roman"/>
          <w:noProof/>
          <w:sz w:val="24"/>
          <w:szCs w:val="24"/>
        </w:rPr>
      </w:pPr>
      <w:r>
        <w:rPr>
          <w:rFonts w:ascii="Times New Roman" w:hAnsi="Times New Roman"/>
          <w:noProof/>
          <w:sz w:val="24"/>
        </w:rPr>
        <w:t>Информиране на бюджетния орган. Въз основа на констатациите от проверките Комисията може да прецени ефективността и старанието на държавите членки по отношение на събирането и предоставянето на ТСР, да предприеме необходимите мерки за отстраняването на всякакви пропуски и съответно да докладва на бюджетния орган.</w:t>
      </w:r>
    </w:p>
    <w:p>
      <w:pPr>
        <w:spacing w:before="240"/>
        <w:jc w:val="both"/>
        <w:rPr>
          <w:rFonts w:ascii="Times New Roman" w:hAnsi="Times New Roman" w:cs="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Цели и методология на проверките на място на ТСР</w:t>
      </w:r>
    </w:p>
    <w:p>
      <w:pPr>
        <w:jc w:val="both"/>
        <w:rPr>
          <w:rFonts w:ascii="Times New Roman" w:hAnsi="Times New Roman" w:cs="Times New Roman"/>
          <w:noProof/>
          <w:sz w:val="24"/>
          <w:szCs w:val="24"/>
        </w:rPr>
      </w:pPr>
      <w:r>
        <w:rPr>
          <w:rFonts w:ascii="Times New Roman" w:hAnsi="Times New Roman"/>
          <w:noProof/>
          <w:sz w:val="24"/>
        </w:rPr>
        <w:t>Общата цел на проверките на традиционните собствени ресурси е да се постигне увереност, че въведените в държавите членки процедури отговарят на съответното законодателство на ЕС, както и че финансовите интереси на ЕС са защитени по подходящ начин. Всяка година се разглеждат различни теми в областта на митническите въпроси и счетоводството.</w:t>
      </w:r>
    </w:p>
    <w:p>
      <w:pPr>
        <w:spacing w:after="240"/>
        <w:jc w:val="both"/>
        <w:rPr>
          <w:rFonts w:ascii="Times New Roman" w:hAnsi="Times New Roman" w:cs="Times New Roman"/>
          <w:noProof/>
          <w:sz w:val="24"/>
          <w:szCs w:val="24"/>
        </w:rPr>
      </w:pPr>
      <w:r>
        <w:rPr>
          <w:rFonts w:ascii="Times New Roman" w:hAnsi="Times New Roman"/>
          <w:noProof/>
          <w:sz w:val="24"/>
        </w:rPr>
        <w:t>Проверките на място, които Комисията извършва, се основават на прецизна методология, чиято цел е да се провери съответствието на процедурите по отношение на стандартите на ЕС. Те се планират в рамките на годишна програма за проверки, която взема предвид различни теми на контрол, който трябва да се извърши в една или повече държави членки. Програмата за проверки се планира и включените в нея теми се избират въз основа на анализ на риска. Всички проверки се извършват с помощта на стандартизирани процедури и включват използването на адаптирани за всеки случай инструменти за одит, т.е. въпросници, изпращани предварително на държавите членки, и контролни листове (включително програми за тестове), които да бъдат използвани на място. Целта е да се гарантира съгласуваност при извършването на проверките и изготвянето на докладите.</w:t>
      </w:r>
    </w:p>
    <w:p>
      <w:pPr>
        <w:spacing w:before="240" w:after="360"/>
        <w:ind w:left="720" w:hanging="720"/>
        <w:jc w:val="both"/>
        <w:rPr>
          <w:rFonts w:ascii="Times New Roman" w:hAnsi="Times New Roman" w:cs="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проверки, извършени от Комисията през периода 2013—2015 г.</w:t>
      </w:r>
    </w:p>
    <w:tbl>
      <w:tblPr>
        <w:tblW w:w="9038" w:type="dxa"/>
        <w:tblBorders>
          <w:insideH w:val="single" w:sz="4" w:space="0" w:color="auto"/>
        </w:tblBorders>
        <w:tblLook w:val="04A0" w:firstRow="1" w:lastRow="0" w:firstColumn="1" w:lastColumn="0" w:noHBand="0" w:noVBand="1"/>
      </w:tblPr>
      <w:tblGrid>
        <w:gridCol w:w="6912"/>
        <w:gridCol w:w="2126"/>
      </w:tblGrid>
      <w:tr>
        <w:tc>
          <w:tcPr>
            <w:tcW w:w="6912" w:type="dxa"/>
            <w:shd w:val="clear" w:color="auto" w:fill="auto"/>
          </w:tcPr>
          <w:p>
            <w:pPr>
              <w:jc w:val="both"/>
              <w:rPr>
                <w:rFonts w:ascii="Times New Roman" w:hAnsi="Times New Roman" w:cs="Times New Roman"/>
                <w:noProof/>
                <w:sz w:val="24"/>
                <w:szCs w:val="24"/>
              </w:rPr>
            </w:pPr>
            <w:r>
              <w:rPr>
                <w:rFonts w:ascii="Times New Roman" w:hAnsi="Times New Roman"/>
                <w:noProof/>
                <w:sz w:val="24"/>
              </w:rPr>
              <w:t xml:space="preserve">През периода 2013—2015 г. Комисията извърши </w:t>
            </w:r>
            <w:r>
              <w:rPr>
                <w:rFonts w:ascii="Times New Roman" w:hAnsi="Times New Roman"/>
                <w:b/>
                <w:noProof/>
                <w:sz w:val="24"/>
              </w:rPr>
              <w:t>86 проверки</w:t>
            </w:r>
            <w:r>
              <w:rPr>
                <w:rFonts w:ascii="Times New Roman" w:hAnsi="Times New Roman"/>
                <w:noProof/>
                <w:sz w:val="24"/>
              </w:rPr>
              <w:t xml:space="preserve"> съгласно член 18 от Регламент № 1150/2000. Шест от тези проверки бяха проведени съгласно подхода за съвместен одит.</w:t>
            </w:r>
            <w:r>
              <w:rPr>
                <w:rFonts w:ascii="Times New Roman" w:hAnsi="Times New Roman"/>
                <w:noProof/>
                <w:sz w:val="24"/>
                <w:vertAlign w:val="superscript"/>
              </w:rPr>
              <w:footnoteReference w:id="7"/>
            </w:r>
          </w:p>
          <w:p>
            <w:pPr>
              <w:jc w:val="both"/>
              <w:rPr>
                <w:rFonts w:ascii="Times New Roman" w:hAnsi="Times New Roman" w:cs="Times New Roman"/>
                <w:noProof/>
                <w:sz w:val="24"/>
                <w:szCs w:val="24"/>
              </w:rPr>
            </w:pPr>
            <w:r>
              <w:rPr>
                <w:rFonts w:ascii="Times New Roman" w:hAnsi="Times New Roman"/>
                <w:noProof/>
                <w:sz w:val="24"/>
              </w:rPr>
              <w:t xml:space="preserve">От общо 288 направени констатации 122 имат пряко финансово въздействие (42,36 %), а 63 — регулаторно въздействие (21,88 %). Комисията е предприела надлежни мерки, за да гарантира, че държавите членки предоставят въпросните суми на разположение на бюджета на ЕС, когато това е целесъобразно. </w:t>
            </w:r>
          </w:p>
        </w:tc>
        <w:tc>
          <w:tcPr>
            <w:tcW w:w="2126" w:type="dxa"/>
            <w:shd w:val="clear" w:color="auto" w:fill="auto"/>
          </w:tcPr>
          <w:p>
            <w:pPr>
              <w:spacing w:after="120"/>
              <w:jc w:val="both"/>
              <w:rPr>
                <w:rFonts w:ascii="Times New Roman" w:hAnsi="Times New Roman" w:cs="Times New Roman"/>
                <w:i/>
                <w:noProof/>
                <w:sz w:val="18"/>
                <w:szCs w:val="18"/>
              </w:rPr>
            </w:pPr>
            <w:r>
              <w:rPr>
                <w:rFonts w:ascii="Times New Roman" w:hAnsi="Times New Roman"/>
                <w:b/>
                <w:i/>
                <w:noProof/>
                <w:sz w:val="18"/>
              </w:rPr>
              <w:t>86 проверки</w:t>
            </w:r>
            <w:r>
              <w:rPr>
                <w:rFonts w:ascii="Times New Roman" w:hAnsi="Times New Roman"/>
                <w:i/>
                <w:noProof/>
                <w:sz w:val="18"/>
              </w:rPr>
              <w:t>, довели до 288 констатации.</w:t>
            </w:r>
          </w:p>
          <w:p>
            <w:pPr>
              <w:jc w:val="both"/>
              <w:rPr>
                <w:rFonts w:ascii="Times New Roman" w:hAnsi="Times New Roman" w:cs="Times New Roman"/>
                <w:i/>
                <w:noProof/>
                <w:sz w:val="18"/>
                <w:szCs w:val="18"/>
              </w:rPr>
            </w:pPr>
            <w:r>
              <w:rPr>
                <w:rFonts w:ascii="Times New Roman" w:hAnsi="Times New Roman"/>
                <w:b/>
                <w:i/>
                <w:noProof/>
                <w:sz w:val="18"/>
              </w:rPr>
              <w:t xml:space="preserve">Подход за съвместен одит: </w:t>
            </w:r>
            <w:r>
              <w:rPr>
                <w:rFonts w:ascii="Times New Roman" w:hAnsi="Times New Roman"/>
                <w:i/>
                <w:noProof/>
                <w:sz w:val="18"/>
              </w:rPr>
              <w:t>специални видове съвместен контрол, при който службите за вътрешен одит на държавите членки правят одит в съответствие с одобрен от Комисията метод.</w:t>
            </w:r>
          </w:p>
        </w:tc>
      </w:tr>
    </w:tbl>
    <w:p>
      <w:pPr>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Проверки по митнически въпроси</w:t>
      </w:r>
    </w:p>
    <w:p>
      <w:pPr>
        <w:jc w:val="both"/>
        <w:rPr>
          <w:rFonts w:ascii="Times New Roman" w:hAnsi="Times New Roman" w:cs="Times New Roman"/>
          <w:noProof/>
          <w:sz w:val="24"/>
          <w:szCs w:val="24"/>
        </w:rPr>
      </w:pPr>
      <w:r>
        <w:rPr>
          <w:rFonts w:ascii="Times New Roman" w:hAnsi="Times New Roman"/>
          <w:noProof/>
          <w:sz w:val="24"/>
        </w:rPr>
        <w:t xml:space="preserve">През 2013 и 2015 г. проверките бяха съсредоточени върху </w:t>
      </w:r>
      <w:r>
        <w:rPr>
          <w:rFonts w:ascii="Times New Roman" w:hAnsi="Times New Roman"/>
          <w:b/>
          <w:noProof/>
          <w:sz w:val="24"/>
        </w:rPr>
        <w:t>въвеждането на стоки в митническата територия на ЕС</w:t>
      </w:r>
      <w:r>
        <w:rPr>
          <w:rFonts w:ascii="Times New Roman" w:hAnsi="Times New Roman"/>
          <w:noProof/>
          <w:sz w:val="24"/>
        </w:rPr>
        <w:t xml:space="preserve">. Те обхващаха представянето на стоки пред митническите органи, определянето, обхвата и прецизността на обобщените декларации за временно складиране, разрешенията за съоръжения за временно складиране, наблюдението на стоки, поставени под режим на временно складиране, както и своевременното и правилното установяване на митата. </w:t>
      </w:r>
    </w:p>
    <w:p>
      <w:pPr>
        <w:jc w:val="both"/>
        <w:rPr>
          <w:rFonts w:ascii="Times New Roman" w:hAnsi="Times New Roman" w:cs="Times New Roman"/>
          <w:noProof/>
          <w:sz w:val="24"/>
          <w:szCs w:val="24"/>
        </w:rPr>
      </w:pPr>
      <w:r>
        <w:rPr>
          <w:rFonts w:ascii="Times New Roman" w:hAnsi="Times New Roman"/>
          <w:noProof/>
          <w:sz w:val="24"/>
        </w:rPr>
        <w:t xml:space="preserve">Често се изготвят тематични доклади с цел консолидиране на констатациите, направени по време на проверките по определена тема, както и последващите действия във връзка с тези констатации. </w:t>
      </w:r>
      <w:r>
        <w:rPr>
          <w:rFonts w:ascii="Times New Roman" w:hAnsi="Times New Roman"/>
          <w:b/>
          <w:noProof/>
          <w:sz w:val="24"/>
        </w:rPr>
        <w:t>Тематичен доклад относно въвеждането</w:t>
      </w:r>
      <w:r>
        <w:rPr>
          <w:rFonts w:ascii="Times New Roman" w:hAnsi="Times New Roman"/>
          <w:noProof/>
          <w:sz w:val="24"/>
        </w:rPr>
        <w:t xml:space="preserve"> беше изготвен от Генерална дирекция „Бюджет“ и беше представен на държавите членки в рамките на Консултативния комитет по собствените ресурси (ККСР) на 4 декември 2014 г. и на Групата за митническа политика (ГМП)</w:t>
      </w:r>
      <w:r>
        <w:rPr>
          <w:rStyle w:val="FootnoteReference"/>
          <w:rFonts w:ascii="Times New Roman" w:hAnsi="Times New Roman"/>
          <w:noProof/>
          <w:sz w:val="24"/>
        </w:rPr>
        <w:footnoteReference w:id="8"/>
      </w:r>
      <w:r>
        <w:rPr>
          <w:rFonts w:ascii="Times New Roman" w:hAnsi="Times New Roman"/>
          <w:noProof/>
          <w:sz w:val="24"/>
        </w:rPr>
        <w:t xml:space="preserve"> на 16—17 декември 2014 г. Осемте проверки, проведени през 2013 г., и трите проверки, проведени през 2015 г., показаха, че в посетените държави членки по-голяма част от определените цели са надлежно съблюдавани. Въпреки това на държавите членки бяха изпратени 32 констатации, включително проблеми, свързани със съответствието, и искания за подобрения на процедурите им. </w:t>
      </w:r>
    </w:p>
    <w:p>
      <w:pPr>
        <w:jc w:val="both"/>
        <w:rPr>
          <w:rFonts w:ascii="Times New Roman" w:hAnsi="Times New Roman" w:cs="Times New Roman"/>
          <w:noProof/>
          <w:sz w:val="24"/>
          <w:szCs w:val="24"/>
        </w:rPr>
      </w:pPr>
      <w:r>
        <w:rPr>
          <w:rFonts w:ascii="Times New Roman" w:hAnsi="Times New Roman"/>
          <w:noProof/>
          <w:sz w:val="24"/>
        </w:rPr>
        <w:t xml:space="preserve">През 2013 и 2014 г. проверките бяха съсредоточени върху </w:t>
      </w:r>
      <w:r>
        <w:rPr>
          <w:rFonts w:ascii="Times New Roman" w:hAnsi="Times New Roman"/>
          <w:b/>
          <w:noProof/>
          <w:sz w:val="24"/>
        </w:rPr>
        <w:t>митническия режим „специфична употреба“</w:t>
      </w:r>
      <w:r>
        <w:rPr>
          <w:rFonts w:ascii="Times New Roman" w:hAnsi="Times New Roman"/>
          <w:noProof/>
          <w:sz w:val="24"/>
        </w:rPr>
        <w:t xml:space="preserve">, който беше проверен в 18 държави членки. Те обхващаха по-специално процедурите по издаване на разрешения, митническия надзор, контрола върху въвеждането на стоките в предписаната специфична употреба и своевременното и правилно вземане под отчет на вносни мита. Представените констатации се отнасяха предимно до слабости при издаването на разрешения за специфична употреба и при митническия надзор, както и недостатъчни проверки и несъответствия в митническите декларации. </w:t>
      </w:r>
    </w:p>
    <w:p>
      <w:pPr>
        <w:jc w:val="both"/>
        <w:rPr>
          <w:rFonts w:ascii="Times New Roman" w:hAnsi="Times New Roman" w:cs="Times New Roman"/>
          <w:noProof/>
          <w:sz w:val="24"/>
          <w:szCs w:val="24"/>
        </w:rPr>
      </w:pPr>
      <w:r>
        <w:rPr>
          <w:rFonts w:ascii="Times New Roman" w:hAnsi="Times New Roman"/>
          <w:noProof/>
          <w:sz w:val="24"/>
        </w:rPr>
        <w:t xml:space="preserve">През 2014 г. проверките бяха съсредоточени предимно върху </w:t>
      </w:r>
      <w:r>
        <w:rPr>
          <w:rFonts w:ascii="Times New Roman" w:hAnsi="Times New Roman"/>
          <w:b/>
          <w:noProof/>
          <w:sz w:val="24"/>
        </w:rPr>
        <w:t>последващите действия от страна на държавите членки във връзка със случаи на измама и нередности</w:t>
      </w:r>
      <w:r>
        <w:rPr>
          <w:rFonts w:ascii="Times New Roman" w:hAnsi="Times New Roman"/>
          <w:noProof/>
          <w:sz w:val="24"/>
        </w:rPr>
        <w:t>. Сред разгледаните области бяха управлението, оценката и последващите действия във връзка с информацията за риска относно потенциални случаи на измама и нередности, функционирането на областта на контрол от общ приоритет „</w:t>
      </w:r>
      <w:r>
        <w:rPr>
          <w:rFonts w:ascii="Times New Roman" w:hAnsi="Times New Roman" w:cs="Times New Roman"/>
          <w:noProof/>
          <w:sz w:val="24"/>
          <w:szCs w:val="24"/>
        </w:rPr>
        <w:t>Discount</w:t>
      </w:r>
      <w:r>
        <w:rPr>
          <w:rFonts w:ascii="Times New Roman" w:hAnsi="Times New Roman"/>
          <w:noProof/>
          <w:sz w:val="24"/>
        </w:rPr>
        <w:t xml:space="preserve">“ и своевременното установяване и събиране на вземанията. </w:t>
      </w:r>
    </w:p>
    <w:p>
      <w:pPr>
        <w:jc w:val="both"/>
        <w:rPr>
          <w:rFonts w:ascii="Times New Roman" w:hAnsi="Times New Roman" w:cs="Times New Roman"/>
          <w:noProof/>
          <w:sz w:val="24"/>
          <w:szCs w:val="24"/>
        </w:rPr>
      </w:pPr>
      <w:r>
        <w:rPr>
          <w:rFonts w:ascii="Times New Roman" w:hAnsi="Times New Roman"/>
          <w:noProof/>
          <w:sz w:val="24"/>
        </w:rPr>
        <w:t xml:space="preserve">В допълнение към това </w:t>
      </w:r>
      <w:r>
        <w:rPr>
          <w:rFonts w:ascii="Times New Roman" w:hAnsi="Times New Roman"/>
          <w:b/>
          <w:noProof/>
          <w:sz w:val="24"/>
        </w:rPr>
        <w:t xml:space="preserve">тематичен доклад </w:t>
      </w:r>
      <w:r>
        <w:rPr>
          <w:rFonts w:ascii="Times New Roman" w:hAnsi="Times New Roman"/>
          <w:noProof/>
          <w:sz w:val="24"/>
        </w:rPr>
        <w:t>на тази тема беше изготвен от Генерална дирекция „Бюджет“ и беше представен на държавите членки в рамките на Консултативния комитет по собствените ресурси (ККСР) на 7 юли 2015 г. и на Групата за митническа политика (ГМП) на 4 декември 2015 г. Проведените 20 проверки доведоха до изпращането до посетените държави членки на 37 констатации, в по-голяма част от които се изискваха подобрения в процедурите за мониторинг и контрол с оглед управление на информационните формуляри относно рисковете и на комуникациите за взаимна помощ чрез своевременно изготвяне на обстойни рискови профили, които да обхванат идентифицирания риск. Констатациите и свързаните с тях последващи действия се отнасяха също така до старанието на държавите членки, мониторинга върху последващите проверки и други последващи мерки.</w:t>
      </w:r>
    </w:p>
    <w:p>
      <w:pPr>
        <w:jc w:val="both"/>
        <w:rPr>
          <w:rFonts w:ascii="Times New Roman" w:hAnsi="Times New Roman" w:cs="Times New Roman"/>
          <w:noProof/>
          <w:sz w:val="24"/>
          <w:szCs w:val="24"/>
        </w:rPr>
      </w:pPr>
      <w:r>
        <w:rPr>
          <w:rFonts w:ascii="Times New Roman" w:hAnsi="Times New Roman"/>
          <w:noProof/>
          <w:sz w:val="24"/>
        </w:rPr>
        <w:t xml:space="preserve">През 2015 г. бяха проведени пет проверки относно </w:t>
      </w:r>
      <w:r>
        <w:rPr>
          <w:rFonts w:ascii="Times New Roman" w:hAnsi="Times New Roman"/>
          <w:b/>
          <w:noProof/>
          <w:sz w:val="24"/>
        </w:rPr>
        <w:t>управлението на суспендирането на мита и тарифните квоти</w:t>
      </w:r>
      <w:r>
        <w:rPr>
          <w:rFonts w:ascii="Times New Roman" w:hAnsi="Times New Roman"/>
          <w:noProof/>
          <w:sz w:val="24"/>
        </w:rPr>
        <w:t xml:space="preserve">, за да се прецени по-специално дали предимствата от суспендирането на митата и от тарифните квоти са предоставени само на отговарящи на критериите лица и само за наличните количества, дали е извършен достатъчен митнически контрол и дали съответните мита са правилно изчислени и своевременно предоставени. Беше установено, че по-голяма част от държавите членки спазват законодателството на ЕС, осигурявайки достатъчна защита на финансовите интереси на ЕС. При все това бяха установени пропуски по отношение на управлението на тарифните квоти, извършените проверки и предоставянето на сумите ТСР в случай на частично разпределяне или отказ на квота. Комисията поиска от съответните държави членки своевременно да отстранят пропуските. </w:t>
      </w:r>
    </w:p>
    <w:p>
      <w:pPr>
        <w:jc w:val="both"/>
        <w:rPr>
          <w:rFonts w:ascii="Times New Roman" w:hAnsi="Times New Roman" w:cs="Times New Roman"/>
          <w:noProof/>
          <w:sz w:val="24"/>
          <w:szCs w:val="24"/>
        </w:rPr>
      </w:pPr>
      <w:r>
        <w:rPr>
          <w:rFonts w:ascii="Times New Roman" w:hAnsi="Times New Roman"/>
          <w:noProof/>
          <w:sz w:val="24"/>
        </w:rPr>
        <w:t xml:space="preserve">Освен това в четири държави беше разгледано </w:t>
      </w:r>
      <w:r>
        <w:rPr>
          <w:rFonts w:ascii="Times New Roman" w:hAnsi="Times New Roman"/>
          <w:b/>
          <w:noProof/>
          <w:sz w:val="24"/>
        </w:rPr>
        <w:t>управлението на преференциалните тарифни мерки</w:t>
      </w:r>
      <w:r>
        <w:rPr>
          <w:rFonts w:ascii="Times New Roman" w:hAnsi="Times New Roman"/>
          <w:noProof/>
          <w:sz w:val="24"/>
        </w:rPr>
        <w:t>. В това отношение акцентът беше поставен върху процедурите и условията за предоставянето на преференциално третиране, мониторинга върху непълните декларации и липсващите доказателства за произход, проверките и анализа на риска и последващите искания за проверка на произхода. Макар и като цяло да е осигурена достатъчна защита на финансовите интереси на ЕС, бяха установени пропуски по отношение на последващите проверки на доказателствата за произход и съдържанието и обработката на митнически декларации с преференциален произход. Следва да се отбележи, че през 2014 г. Европейската сметна палата публикува специален доклад по тази тема.</w:t>
      </w:r>
      <w:r>
        <w:rPr>
          <w:rStyle w:val="FootnoteReference"/>
          <w:rFonts w:ascii="Times New Roman" w:hAnsi="Times New Roman"/>
          <w:noProof/>
          <w:sz w:val="24"/>
        </w:rPr>
        <w:footnoteReference w:id="9"/>
      </w:r>
    </w:p>
    <w:p>
      <w:pPr>
        <w:jc w:val="both"/>
        <w:rPr>
          <w:rFonts w:ascii="Times New Roman" w:hAnsi="Times New Roman" w:cs="Times New Roman"/>
          <w:noProof/>
          <w:sz w:val="24"/>
          <w:szCs w:val="24"/>
        </w:rPr>
      </w:pPr>
      <w:r>
        <w:rPr>
          <w:rFonts w:ascii="Times New Roman" w:hAnsi="Times New Roman"/>
          <w:noProof/>
          <w:sz w:val="24"/>
        </w:rPr>
        <w:t>Като цяло държавите членки са поели ангажимент да подобрят своите системи. По отношение на по-голяма част от горепосочените констатации вече са предприети или в момента се предприемат действия.</w:t>
      </w:r>
    </w:p>
    <w:tbl>
      <w:tblPr>
        <w:tblW w:w="9180" w:type="dxa"/>
        <w:tblBorders>
          <w:insideH w:val="single" w:sz="4" w:space="0" w:color="auto"/>
        </w:tblBorders>
        <w:tblLook w:val="04A0" w:firstRow="1" w:lastRow="0" w:firstColumn="1" w:lastColumn="0" w:noHBand="0" w:noVBand="1"/>
      </w:tblPr>
      <w:tblGrid>
        <w:gridCol w:w="6629"/>
        <w:gridCol w:w="2551"/>
      </w:tblGrid>
      <w:tr>
        <w:trPr>
          <w:trHeight w:val="6404"/>
        </w:trPr>
        <w:tc>
          <w:tcPr>
            <w:tcW w:w="6629" w:type="dxa"/>
            <w:shd w:val="clear" w:color="auto" w:fill="auto"/>
          </w:tcPr>
          <w:p>
            <w:pPr>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Проверки по счетоводни въпроси</w:t>
            </w:r>
          </w:p>
          <w:p>
            <w:pPr>
              <w:jc w:val="both"/>
              <w:rPr>
                <w:rFonts w:ascii="Times New Roman" w:hAnsi="Times New Roman" w:cs="Times New Roman"/>
                <w:noProof/>
                <w:sz w:val="24"/>
                <w:szCs w:val="24"/>
              </w:rPr>
            </w:pPr>
            <w:r>
              <w:rPr>
                <w:rFonts w:ascii="Times New Roman" w:hAnsi="Times New Roman"/>
                <w:b/>
                <w:noProof/>
                <w:sz w:val="24"/>
              </w:rPr>
              <w:t>Управлението на отделната сметка</w:t>
            </w:r>
            <w:r>
              <w:rPr>
                <w:rStyle w:val="FootnoteReference"/>
                <w:rFonts w:ascii="Times New Roman" w:hAnsi="Times New Roman"/>
                <w:b/>
                <w:noProof/>
                <w:sz w:val="24"/>
              </w:rPr>
              <w:footnoteReference w:id="10"/>
            </w:r>
            <w:r>
              <w:rPr>
                <w:rFonts w:ascii="Times New Roman" w:hAnsi="Times New Roman"/>
                <w:b/>
                <w:noProof/>
                <w:sz w:val="24"/>
              </w:rPr>
              <w:t>, в съчетание с корекциите на обичайната сметка</w:t>
            </w:r>
            <w:r>
              <w:rPr>
                <w:rFonts w:ascii="Times New Roman" w:hAnsi="Times New Roman"/>
                <w:noProof/>
                <w:sz w:val="24"/>
              </w:rPr>
              <w:t xml:space="preserve">, е тема, която присъства редовно в контролната дейност във всички посещавани държави членки, в допълнение към основната митническа тема. Тази сметка представлява ценен източник на информация за начина, по който администрациите изпълняват своите задължения по отношение на управлението на ТСР (установяване на вземанията, управление на обезпеченията, проследяване на събирането на вземанията, отмени, отписване на несъбираемите вземания). Обстойни проверки изцяло </w:t>
            </w:r>
            <w:r>
              <w:rPr>
                <w:rFonts w:ascii="Times New Roman" w:hAnsi="Times New Roman"/>
                <w:b/>
                <w:noProof/>
                <w:sz w:val="24"/>
              </w:rPr>
              <w:t xml:space="preserve">на тази тема </w:t>
            </w:r>
            <w:r>
              <w:rPr>
                <w:rFonts w:ascii="Times New Roman" w:hAnsi="Times New Roman"/>
                <w:noProof/>
                <w:sz w:val="24"/>
              </w:rPr>
              <w:t>бяха проведени в три държави членки. Проведените на тази тема проверки през периода 2013—2015 г. потвърдиха, че повечето грешки са еднократни и че системните грешки представляват изключение. Държавите членки поеха финансовите последици от направените констатации. Проверките на Комисията потвърдиха, че цялостната ситуация се подобрява благодарение на натиска, който упражняват проверките на Комисията, както и благодарение на въвеждането в повечето държави членки на електронни митнически и/или счетоводни системи, които намаляват риска от еднократни грешки. При все това държавите членки трябва да продължат своите усилия да гарантират надлежното управление на отделната сметка и корекциите на обичайната сметка. Комисията ще продължи да наблюдава внимателно старанието на държавите членки по отношение на усилията за събиране на вземанията.</w:t>
            </w:r>
          </w:p>
        </w:tc>
        <w:tc>
          <w:tcPr>
            <w:tcW w:w="2551" w:type="dxa"/>
            <w:shd w:val="clear" w:color="auto" w:fill="auto"/>
          </w:tcPr>
          <w:p>
            <w:pPr>
              <w:jc w:val="both"/>
              <w:rPr>
                <w:rFonts w:ascii="Times New Roman" w:hAnsi="Times New Roman" w:cs="Times New Roman"/>
                <w:i/>
                <w:noProof/>
                <w:sz w:val="18"/>
                <w:szCs w:val="18"/>
              </w:rPr>
            </w:pPr>
          </w:p>
          <w:p>
            <w:pPr>
              <w:spacing w:before="120"/>
              <w:jc w:val="both"/>
              <w:rPr>
                <w:rFonts w:ascii="Times New Roman" w:hAnsi="Times New Roman" w:cs="Times New Roman"/>
                <w:i/>
                <w:noProof/>
                <w:sz w:val="18"/>
                <w:szCs w:val="18"/>
              </w:rPr>
            </w:pPr>
            <w:r>
              <w:rPr>
                <w:rFonts w:ascii="Times New Roman" w:hAnsi="Times New Roman"/>
                <w:i/>
                <w:noProof/>
                <w:sz w:val="18"/>
              </w:rPr>
              <w:t xml:space="preserve">Държавите членки въвеждат ТСР в една от две сметки: </w:t>
            </w:r>
            <w:r>
              <w:rPr>
                <w:rFonts w:ascii="Times New Roman" w:hAnsi="Times New Roman" w:cs="Times New Roman"/>
                <w:i/>
                <w:noProof/>
                <w:sz w:val="18"/>
                <w:szCs w:val="18"/>
              </w:rPr>
              <w:br/>
            </w:r>
            <w:r>
              <w:rPr>
                <w:rFonts w:ascii="Times New Roman" w:hAnsi="Times New Roman"/>
                <w:i/>
                <w:noProof/>
                <w:sz w:val="18"/>
              </w:rPr>
              <w:t xml:space="preserve">- </w:t>
            </w:r>
            <w:r>
              <w:rPr>
                <w:rFonts w:ascii="Times New Roman" w:hAnsi="Times New Roman"/>
                <w:b/>
                <w:i/>
                <w:noProof/>
                <w:sz w:val="18"/>
              </w:rPr>
              <w:t>обичайната сметка</w:t>
            </w:r>
            <w:r>
              <w:rPr>
                <w:rFonts w:ascii="Times New Roman" w:hAnsi="Times New Roman"/>
                <w:i/>
                <w:noProof/>
                <w:sz w:val="18"/>
              </w:rPr>
              <w:t xml:space="preserve"> за събраните или обезпечените суми (тези суми се внасят в бюджета на ЕС)</w:t>
            </w:r>
            <w:r>
              <w:rPr>
                <w:rFonts w:ascii="Times New Roman" w:hAnsi="Times New Roman" w:cs="Times New Roman"/>
                <w:i/>
                <w:noProof/>
                <w:sz w:val="18"/>
                <w:szCs w:val="18"/>
              </w:rPr>
              <w:br/>
            </w:r>
            <w:r>
              <w:rPr>
                <w:rFonts w:ascii="Times New Roman" w:hAnsi="Times New Roman"/>
                <w:i/>
                <w:noProof/>
                <w:sz w:val="18"/>
              </w:rPr>
              <w:t xml:space="preserve">- </w:t>
            </w:r>
            <w:r>
              <w:rPr>
                <w:rFonts w:ascii="Times New Roman" w:hAnsi="Times New Roman"/>
                <w:b/>
                <w:i/>
                <w:noProof/>
                <w:sz w:val="18"/>
              </w:rPr>
              <w:t>отделната сметка</w:t>
            </w:r>
            <w:r>
              <w:rPr>
                <w:rFonts w:ascii="Times New Roman" w:hAnsi="Times New Roman"/>
                <w:i/>
                <w:noProof/>
                <w:sz w:val="18"/>
              </w:rPr>
              <w:t xml:space="preserve"> за несъбраните суми или за оспорените обезпечени суми.</w:t>
            </w:r>
          </w:p>
          <w:p>
            <w:pPr>
              <w:jc w:val="both"/>
              <w:rPr>
                <w:rFonts w:ascii="Times New Roman" w:hAnsi="Times New Roman" w:cs="Times New Roman"/>
                <w:i/>
                <w:noProof/>
                <w:spacing w:val="-2"/>
                <w:sz w:val="18"/>
                <w:szCs w:val="18"/>
              </w:rPr>
            </w:pPr>
            <w:r>
              <w:rPr>
                <w:rFonts w:ascii="Times New Roman" w:hAnsi="Times New Roman"/>
                <w:b/>
                <w:i/>
                <w:noProof/>
                <w:spacing w:val="-2"/>
                <w:sz w:val="18"/>
              </w:rPr>
              <w:t xml:space="preserve">Система за събиране на ТСР: </w:t>
            </w:r>
            <w:r>
              <w:rPr>
                <w:rFonts w:ascii="Times New Roman" w:hAnsi="Times New Roman"/>
                <w:i/>
                <w:noProof/>
                <w:spacing w:val="-2"/>
                <w:sz w:val="18"/>
              </w:rPr>
              <w:t>всички системи и процедури, въведени от държавите членки с цел осигуряване на установяването, вземането по отчет, събирането и изплащането на ТСР.</w:t>
            </w:r>
          </w:p>
          <w:p>
            <w:pPr>
              <w:jc w:val="both"/>
              <w:rPr>
                <w:rFonts w:ascii="Times New Roman" w:hAnsi="Times New Roman" w:cs="Times New Roman"/>
                <w:i/>
                <w:noProof/>
                <w:sz w:val="18"/>
                <w:szCs w:val="18"/>
              </w:rPr>
            </w:pPr>
            <w:r>
              <w:rPr>
                <w:rFonts w:ascii="Times New Roman" w:hAnsi="Times New Roman"/>
                <w:i/>
                <w:noProof/>
                <w:sz w:val="18"/>
              </w:rPr>
              <w:t xml:space="preserve">ТСР, които са </w:t>
            </w:r>
            <w:r>
              <w:rPr>
                <w:rFonts w:ascii="Times New Roman" w:hAnsi="Times New Roman"/>
                <w:b/>
                <w:i/>
                <w:noProof/>
                <w:sz w:val="18"/>
              </w:rPr>
              <w:t>несъбираеми</w:t>
            </w:r>
            <w:r>
              <w:rPr>
                <w:rFonts w:ascii="Times New Roman" w:hAnsi="Times New Roman"/>
                <w:i/>
                <w:noProof/>
                <w:sz w:val="18"/>
              </w:rPr>
              <w:t xml:space="preserve">, се изваждат от отделната сметка след определен период от време. Сумите трябва да бъдат предоставени (платени) на Комисията, освен ако не могат да бъдат събрани поради </w:t>
            </w:r>
            <w:r>
              <w:rPr>
                <w:rFonts w:ascii="Times New Roman" w:hAnsi="Times New Roman"/>
                <w:noProof/>
                <w:sz w:val="18"/>
              </w:rPr>
              <w:t>непреодолима сила</w:t>
            </w:r>
            <w:r>
              <w:rPr>
                <w:rFonts w:ascii="Times New Roman" w:hAnsi="Times New Roman"/>
                <w:i/>
                <w:noProof/>
                <w:sz w:val="18"/>
              </w:rPr>
              <w:t xml:space="preserve"> или по </w:t>
            </w:r>
            <w:r>
              <w:rPr>
                <w:rFonts w:ascii="Times New Roman" w:hAnsi="Times New Roman"/>
                <w:noProof/>
                <w:sz w:val="18"/>
              </w:rPr>
              <w:t>други независещи от държавата членка причини</w:t>
            </w:r>
            <w:r>
              <w:rPr>
                <w:rFonts w:ascii="Times New Roman" w:hAnsi="Times New Roman"/>
                <w:i/>
                <w:noProof/>
                <w:sz w:val="18"/>
              </w:rPr>
              <w:t>.</w:t>
            </w:r>
          </w:p>
        </w:tc>
      </w:tr>
    </w:tbl>
    <w:p>
      <w:pPr>
        <w:ind w:right="-46"/>
        <w:jc w:val="both"/>
        <w:rPr>
          <w:rFonts w:ascii="Times New Roman" w:hAnsi="Times New Roman" w:cs="Times New Roman"/>
          <w:noProof/>
          <w:sz w:val="24"/>
          <w:szCs w:val="24"/>
        </w:rPr>
      </w:pPr>
      <w:r>
        <w:rPr>
          <w:rFonts w:ascii="Times New Roman" w:hAnsi="Times New Roman"/>
          <w:noProof/>
          <w:sz w:val="24"/>
        </w:rPr>
        <w:t xml:space="preserve">В допълнение към това в шест държави членки беше проведена поредица от проверки относно </w:t>
      </w:r>
      <w:r>
        <w:rPr>
          <w:rFonts w:ascii="Times New Roman" w:hAnsi="Times New Roman"/>
          <w:b/>
          <w:noProof/>
          <w:sz w:val="24"/>
        </w:rPr>
        <w:t xml:space="preserve">достоверността на отчетите за обичайната и за отделната сметка. </w:t>
      </w:r>
      <w:r>
        <w:rPr>
          <w:rFonts w:ascii="Times New Roman" w:hAnsi="Times New Roman"/>
          <w:noProof/>
          <w:sz w:val="24"/>
        </w:rPr>
        <w:t>Общото заключение беше, че въведените процедури за изготвяне на тези отчети съответстват на разпоредбите на ЕС и осигуряват защитата на финансовите интереси на ЕС. Представените след тези проверки констатации се отнасят до еднократни грешки или системни слабости с ограничено финансово въздействие.</w:t>
      </w:r>
    </w:p>
    <w:p>
      <w:pPr>
        <w:jc w:val="both"/>
        <w:rPr>
          <w:rFonts w:ascii="Times New Roman" w:hAnsi="Times New Roman" w:cs="Times New Roman"/>
          <w:noProof/>
          <w:sz w:val="24"/>
          <w:szCs w:val="24"/>
        </w:rPr>
      </w:pPr>
      <w:r>
        <w:rPr>
          <w:rFonts w:ascii="Times New Roman" w:hAnsi="Times New Roman"/>
          <w:noProof/>
          <w:sz w:val="24"/>
        </w:rPr>
        <w:t xml:space="preserve">На последно място, като последваща мярка във връзка с предходни проблеми, установени в белгийската система за събиране на ТСР, проведеният външен одит относно митническото освобождаване и системите за осчетоводяване на ТСР (изискан от Комисията) беше разгледан и оценен като в общи линии приемлив. Външният одитор е стигнал до заключението, че белгийското осчетоводяване на ТСР и установените суми, прехвърлени на Комисията, не съдържат съществени грешки и че цялостната достоверност на счетоводните сметки не е засегната от установените грешки (някои от които с финансово въздействие). Понастоящем се осъществяват последващите мерки във връзка с коригиращите действия, поискани от Комисията. Въпреки това прегледът на външния одит позволи оттеглянето на резервите на генералния директор относно достоверността на белгийската счетоводна отчетност, изразени в неговите декларации за достоверността в годишните отчети за дейността на ГД „Бюджет“ за 2011 и 2012 г. </w:t>
      </w:r>
    </w:p>
    <w:p>
      <w:pPr>
        <w:jc w:val="both"/>
        <w:rPr>
          <w:rFonts w:ascii="Times New Roman" w:hAnsi="Times New Roman" w:cs="Times New Roman"/>
          <w:b/>
          <w:smallCaps/>
          <w:noProof/>
          <w:sz w:val="24"/>
          <w:szCs w:val="24"/>
        </w:rPr>
      </w:pPr>
      <w:r>
        <w:rPr>
          <w:rFonts w:ascii="Times New Roman" w:hAnsi="Times New Roman"/>
          <w:b/>
          <w:smallCaps/>
          <w:noProof/>
          <w:sz w:val="24"/>
        </w:rPr>
        <w:t>4.</w:t>
      </w:r>
      <w:r>
        <w:rPr>
          <w:noProof/>
        </w:rPr>
        <w:tab/>
      </w:r>
      <w:r>
        <w:rPr>
          <w:rFonts w:ascii="Times New Roman" w:hAnsi="Times New Roman"/>
          <w:b/>
          <w:smallCaps/>
          <w:noProof/>
          <w:sz w:val="24"/>
        </w:rPr>
        <w:t>Последващи действия във връзка с проверките на Комисията</w:t>
      </w:r>
    </w:p>
    <w:p>
      <w:pPr>
        <w:jc w:val="both"/>
        <w:rPr>
          <w:rFonts w:ascii="Times New Roman" w:hAnsi="Times New Roman" w:cs="Times New Roman"/>
          <w:b/>
          <w:noProof/>
          <w:sz w:val="24"/>
          <w:szCs w:val="24"/>
        </w:rPr>
      </w:pPr>
      <w:r>
        <w:rPr>
          <w:rFonts w:ascii="Times New Roman" w:hAnsi="Times New Roman"/>
          <w:b/>
          <w:noProof/>
          <w:sz w:val="24"/>
        </w:rPr>
        <w:t>4.1.</w:t>
      </w:r>
      <w:r>
        <w:rPr>
          <w:noProof/>
        </w:rPr>
        <w:tab/>
      </w:r>
      <w:r>
        <w:rPr>
          <w:rFonts w:ascii="Times New Roman" w:hAnsi="Times New Roman"/>
          <w:b/>
          <w:noProof/>
          <w:sz w:val="24"/>
        </w:rPr>
        <w:t>Регулаторни аспекти</w:t>
      </w:r>
    </w:p>
    <w:p>
      <w:pPr>
        <w:jc w:val="both"/>
        <w:rPr>
          <w:rFonts w:ascii="Times New Roman" w:hAnsi="Times New Roman" w:cs="Times New Roman"/>
          <w:noProof/>
          <w:sz w:val="24"/>
          <w:szCs w:val="24"/>
        </w:rPr>
      </w:pPr>
      <w:r>
        <w:rPr>
          <w:rFonts w:ascii="Times New Roman" w:hAnsi="Times New Roman"/>
          <w:noProof/>
          <w:sz w:val="24"/>
        </w:rPr>
        <w:t>Когато в хода на проверките бъде установено наличието на недостатъци или пропуски в националните нормативни или административни разпоредби, държавите членки се приканват да вземат необходимите мерки, включително от законодателно или нормативно естество, за да се съобразят с изискванията на ЕС. Тези корекции са важна последица от проверките на Комисията. Направените констатации също така представляват съществен източник на информация за проблемите, които срещат държавите членки при прилагането на митническите разпоредби, и тяхното отражение върху ТСР.</w:t>
      </w:r>
    </w:p>
    <w:p>
      <w:pPr>
        <w:jc w:val="both"/>
        <w:rPr>
          <w:rFonts w:ascii="Times New Roman" w:hAnsi="Times New Roman" w:cs="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Резултати при спорове</w:t>
      </w:r>
    </w:p>
    <w:p>
      <w:pPr>
        <w:jc w:val="both"/>
        <w:rPr>
          <w:rFonts w:ascii="Times New Roman" w:hAnsi="Times New Roman" w:cs="Times New Roman"/>
          <w:noProof/>
          <w:sz w:val="24"/>
          <w:szCs w:val="24"/>
        </w:rPr>
      </w:pPr>
      <w:r>
        <w:rPr>
          <w:rFonts w:ascii="Times New Roman" w:hAnsi="Times New Roman"/>
          <w:noProof/>
          <w:sz w:val="24"/>
        </w:rPr>
        <w:t xml:space="preserve">По някои елементи на законодателството позициите на държавите членки и Комисията все още се разминават. Поради това Комисията няма друг избор освен да прибегне към процедурата за установяване на неизпълнение на задължение (член 258 от Договора за функционирането на Европейския съюз). През периода 2013—2015 г. следните процедури за установяване на неизпълнение на задължение бяха или започнати, или приключени: </w:t>
      </w:r>
    </w:p>
    <w:p>
      <w:pPr>
        <w:numPr>
          <w:ilvl w:val="0"/>
          <w:numId w:val="2"/>
        </w:numPr>
        <w:jc w:val="both"/>
        <w:rPr>
          <w:rFonts w:ascii="Times New Roman" w:hAnsi="Times New Roman" w:cs="Times New Roman"/>
          <w:noProof/>
          <w:sz w:val="24"/>
          <w:szCs w:val="24"/>
        </w:rPr>
      </w:pPr>
      <w:r>
        <w:rPr>
          <w:rFonts w:ascii="Times New Roman" w:hAnsi="Times New Roman"/>
          <w:noProof/>
          <w:sz w:val="24"/>
        </w:rPr>
        <w:t>Дело № 2007/2230 (решение на СЕО</w:t>
      </w:r>
      <w:r>
        <w:rPr>
          <w:rStyle w:val="FootnoteReference"/>
          <w:rFonts w:ascii="Times New Roman" w:hAnsi="Times New Roman"/>
          <w:noProof/>
          <w:sz w:val="24"/>
        </w:rPr>
        <w:footnoteReference w:id="11"/>
      </w:r>
      <w:r>
        <w:rPr>
          <w:rFonts w:ascii="Times New Roman" w:hAnsi="Times New Roman"/>
          <w:noProof/>
          <w:sz w:val="24"/>
        </w:rPr>
        <w:t xml:space="preserve"> от 17 юли 2014 г., Комисия/Португалия, C-335/12): Съдът потвърди позицията на Комисията и заключи, че националните органи не са изпълнили своите задължения, отказвайки да предоставят сумите, съответстващи на мита по отношение на неизнесени превишени количества захар след тяхното въвеждане в Съюза. Поради факта, че изисканата лихва за забава беше платена в пълен размер, делото беше приключено.</w:t>
      </w:r>
    </w:p>
    <w:p>
      <w:pPr>
        <w:numPr>
          <w:ilvl w:val="0"/>
          <w:numId w:val="2"/>
        </w:numPr>
        <w:jc w:val="both"/>
        <w:rPr>
          <w:rFonts w:ascii="Times New Roman" w:hAnsi="Times New Roman" w:cs="Times New Roman"/>
          <w:noProof/>
          <w:sz w:val="24"/>
          <w:szCs w:val="24"/>
        </w:rPr>
      </w:pPr>
      <w:r>
        <w:rPr>
          <w:rFonts w:ascii="Times New Roman" w:hAnsi="Times New Roman"/>
          <w:noProof/>
          <w:sz w:val="24"/>
        </w:rPr>
        <w:t>Дело № 2013/2103 относно Обединеното кралство: държавата членка отказа да компенсира загубата на собствени ресурси, причинена от неправомерното издаване на сертификати за износ от Ангила — територия, намираща се под неин суверенитет.</w:t>
      </w:r>
      <w:r>
        <w:rPr>
          <w:noProof/>
        </w:rPr>
        <w:tab/>
      </w:r>
      <w:r>
        <w:rPr>
          <w:rFonts w:ascii="Times New Roman" w:hAnsi="Times New Roman"/>
          <w:noProof/>
          <w:sz w:val="24"/>
        </w:rPr>
        <w:t xml:space="preserve">Официалното уведомително писмо беше изпратено на 27.9.2013 г., а мотивираното становище — на 16.10.2014 г. </w:t>
      </w:r>
    </w:p>
    <w:p>
      <w:pPr>
        <w:numPr>
          <w:ilvl w:val="0"/>
          <w:numId w:val="2"/>
        </w:numPr>
        <w:jc w:val="both"/>
        <w:rPr>
          <w:rFonts w:ascii="Times New Roman" w:hAnsi="Times New Roman" w:cs="Times New Roman"/>
          <w:noProof/>
          <w:sz w:val="24"/>
          <w:szCs w:val="24"/>
        </w:rPr>
      </w:pPr>
      <w:r>
        <w:rPr>
          <w:rFonts w:ascii="Times New Roman" w:hAnsi="Times New Roman"/>
          <w:noProof/>
          <w:sz w:val="24"/>
        </w:rPr>
        <w:t>Дело № 2013/2165 относно Нидерландия: държавата членка отказа да компенсира загубата на собствени ресурси, причинена от неправомерното издаване на сертификати EUR.1 от Кюрасао и Аруба — територии, намиращи се под неин суверенитет.</w:t>
      </w:r>
      <w:r>
        <w:rPr>
          <w:noProof/>
        </w:rPr>
        <w:tab/>
      </w:r>
      <w:r>
        <w:rPr>
          <w:rFonts w:ascii="Times New Roman" w:hAnsi="Times New Roman"/>
          <w:noProof/>
          <w:sz w:val="24"/>
        </w:rPr>
        <w:t xml:space="preserve">Официалното уведомително писмо беше изпратено на 21.11.2013 г., а мотивираното становище — на 16.10.2014 г. </w:t>
      </w:r>
    </w:p>
    <w:p>
      <w:pPr>
        <w:numPr>
          <w:ilvl w:val="0"/>
          <w:numId w:val="2"/>
        </w:numPr>
        <w:jc w:val="both"/>
        <w:rPr>
          <w:rFonts w:ascii="Times New Roman" w:hAnsi="Times New Roman" w:cs="Times New Roman"/>
          <w:noProof/>
          <w:sz w:val="24"/>
          <w:szCs w:val="24"/>
        </w:rPr>
      </w:pPr>
      <w:r>
        <w:rPr>
          <w:rFonts w:ascii="Times New Roman" w:hAnsi="Times New Roman"/>
          <w:noProof/>
          <w:sz w:val="24"/>
        </w:rPr>
        <w:t>Дело № 2013/2251 относно Италия: държавата членка отказа да компенсира загубата на собствени ресурси, причинена от липсата на адекватни мерки за събиране на установена и взета под отчет сума на мита. Това дело е свързано със случаи на отписвания IT(07)08-917 във връзка с контрабанда на цигари. Официалното уведомително писмо беше изпратено на 21.11.2013 г., а мотивираното становище — на 28.4.2016 г.</w:t>
      </w:r>
    </w:p>
    <w:p>
      <w:pPr>
        <w:numPr>
          <w:ilvl w:val="0"/>
          <w:numId w:val="2"/>
        </w:numPr>
        <w:jc w:val="both"/>
        <w:rPr>
          <w:rFonts w:ascii="Times New Roman" w:hAnsi="Times New Roman" w:cs="Times New Roman"/>
          <w:noProof/>
          <w:sz w:val="24"/>
          <w:szCs w:val="24"/>
        </w:rPr>
      </w:pPr>
      <w:r>
        <w:rPr>
          <w:rFonts w:ascii="Times New Roman" w:hAnsi="Times New Roman"/>
          <w:noProof/>
          <w:sz w:val="24"/>
        </w:rPr>
        <w:t>Дело № 2014/2221 относно Белгия: държавата членка отказа да предостави лихвите за забава, свързани с четири случая, при които изисканите обезпечения са се оказали недостатъчни, за да покрият митническите задължения. Официалното уведомително писмо беше изпратено на 25.9.2014 г., а допълнително официално уведомително писмо — на 22.10.2015 г.</w:t>
      </w:r>
    </w:p>
    <w:p>
      <w:pPr>
        <w:jc w:val="both"/>
        <w:rPr>
          <w:rFonts w:ascii="Times New Roman" w:hAnsi="Times New Roman" w:cs="Times New Roman"/>
          <w:noProof/>
          <w:sz w:val="24"/>
          <w:szCs w:val="24"/>
        </w:rPr>
      </w:pPr>
      <w:r>
        <w:rPr>
          <w:rFonts w:ascii="Times New Roman" w:hAnsi="Times New Roman"/>
          <w:noProof/>
          <w:sz w:val="24"/>
        </w:rPr>
        <w:t xml:space="preserve">В своето решение от 3 април 2014 г. </w:t>
      </w:r>
      <w:r>
        <w:rPr>
          <w:rFonts w:ascii="Times New Roman" w:hAnsi="Times New Roman"/>
          <w:i/>
          <w:noProof/>
          <w:sz w:val="24"/>
        </w:rPr>
        <w:t xml:space="preserve">Комисия/Обединеното кралство </w:t>
      </w:r>
      <w:r>
        <w:rPr>
          <w:rFonts w:ascii="Times New Roman" w:hAnsi="Times New Roman"/>
          <w:noProof/>
          <w:sz w:val="24"/>
        </w:rPr>
        <w:t>Съдът потвърди също позицията на Комисията, потвърждавайки, че националните органи не са изпълнили своите задължения, отказвайки да предоставят сумите, съответстващи на дължимите за вноса на чесън в прясно състояние мита от неправилна обвързваща тарифна информация.</w:t>
      </w:r>
    </w:p>
    <w:p>
      <w:pPr>
        <w:jc w:val="both"/>
        <w:rPr>
          <w:rFonts w:ascii="Times New Roman" w:hAnsi="Times New Roman" w:cs="Times New Roman"/>
          <w:noProof/>
          <w:sz w:val="24"/>
          <w:szCs w:val="24"/>
        </w:rPr>
      </w:pPr>
      <w:r>
        <w:rPr>
          <w:rFonts w:ascii="Times New Roman" w:hAnsi="Times New Roman"/>
          <w:noProof/>
          <w:sz w:val="24"/>
        </w:rPr>
        <w:t>Съдът е взел също така няколко решения във връзка с молби на държави членки за отмяна на поканите за внасяне на средства, издадени от службите на Комисията. Общият съд постанови, че писмо на Комисията, приканващо държавите членки да платят собствени ресурси, не представлява мярка, срещу която може да бъде заведен иск за отмяна.</w:t>
      </w:r>
      <w:r>
        <w:rPr>
          <w:rStyle w:val="FootnoteReference"/>
          <w:rFonts w:ascii="Times New Roman" w:hAnsi="Times New Roman"/>
          <w:noProof/>
          <w:sz w:val="24"/>
        </w:rPr>
        <w:footnoteReference w:id="12"/>
      </w:r>
      <w:r>
        <w:rPr>
          <w:rFonts w:ascii="Times New Roman" w:hAnsi="Times New Roman"/>
          <w:noProof/>
          <w:sz w:val="24"/>
        </w:rPr>
        <w:t xml:space="preserve"> Пред Съда има висящи жалби, предявени срещу тези решения.</w:t>
      </w:r>
      <w:r>
        <w:rPr>
          <w:rStyle w:val="FootnoteReference"/>
          <w:rFonts w:ascii="Times New Roman" w:hAnsi="Times New Roman"/>
          <w:noProof/>
          <w:sz w:val="24"/>
        </w:rPr>
        <w:footnoteReference w:id="13"/>
      </w:r>
    </w:p>
    <w:p>
      <w:pPr>
        <w:jc w:val="both"/>
        <w:rPr>
          <w:rFonts w:ascii="Times New Roman" w:hAnsi="Times New Roman" w:cs="Times New Roman"/>
          <w:b/>
          <w:noProof/>
          <w:sz w:val="24"/>
          <w:szCs w:val="24"/>
        </w:rPr>
      </w:pPr>
      <w:r>
        <w:rPr>
          <w:rFonts w:ascii="Times New Roman" w:hAnsi="Times New Roman"/>
          <w:b/>
          <w:noProof/>
          <w:sz w:val="24"/>
        </w:rPr>
        <w:t>4.3.</w:t>
      </w:r>
      <w:r>
        <w:rPr>
          <w:noProof/>
        </w:rPr>
        <w:tab/>
      </w:r>
      <w:r>
        <w:rPr>
          <w:rFonts w:ascii="Times New Roman" w:hAnsi="Times New Roman"/>
          <w:b/>
          <w:noProof/>
          <w:sz w:val="24"/>
        </w:rPr>
        <w:t>Финансови аспекти</w:t>
      </w:r>
    </w:p>
    <w:p>
      <w:pPr>
        <w:jc w:val="both"/>
        <w:rPr>
          <w:rFonts w:ascii="Times New Roman" w:hAnsi="Times New Roman" w:cs="Times New Roman"/>
          <w:noProof/>
          <w:sz w:val="24"/>
          <w:szCs w:val="24"/>
        </w:rPr>
      </w:pPr>
      <w:r>
        <w:rPr>
          <w:rFonts w:ascii="Times New Roman" w:hAnsi="Times New Roman"/>
          <w:noProof/>
          <w:sz w:val="24"/>
        </w:rPr>
        <w:t xml:space="preserve">През референтния период (2013—2015 г.) на Комисията бяха изплатени допълнителни вземания на обща стойност над </w:t>
      </w:r>
      <w:r>
        <w:rPr>
          <w:rFonts w:ascii="Times New Roman" w:hAnsi="Times New Roman"/>
          <w:b/>
          <w:noProof/>
          <w:sz w:val="24"/>
        </w:rPr>
        <w:t>124 милиона EUR</w:t>
      </w:r>
      <w:r>
        <w:rPr>
          <w:rFonts w:ascii="Times New Roman" w:hAnsi="Times New Roman"/>
          <w:noProof/>
          <w:sz w:val="24"/>
        </w:rPr>
        <w:t xml:space="preserve"> вследствие на забележките, направени в докладите ѝ за проверка и при другите ѝ контролни дейности, както и в резултат на предприетите от нея действия във връзка с констатациите на Сметната палата и решенията на Съда относно процедурите за установяване на неизпълнение на задължение в областта на ТСР.</w:t>
      </w:r>
    </w:p>
    <w:p>
      <w:pPr>
        <w:jc w:val="both"/>
        <w:rPr>
          <w:rFonts w:ascii="Times New Roman" w:hAnsi="Times New Roman" w:cs="Times New Roman"/>
          <w:b/>
          <w:noProof/>
          <w:sz w:val="24"/>
          <w:szCs w:val="24"/>
        </w:rPr>
      </w:pPr>
      <w:r>
        <w:rPr>
          <w:rFonts w:ascii="Times New Roman" w:hAnsi="Times New Roman"/>
          <w:noProof/>
          <w:sz w:val="24"/>
        </w:rPr>
        <w:t xml:space="preserve">Общият размер на лихвите за забава, платени от държавите членки, възлиза на над </w:t>
      </w:r>
      <w:r>
        <w:rPr>
          <w:rFonts w:ascii="Times New Roman" w:hAnsi="Times New Roman"/>
          <w:b/>
          <w:noProof/>
          <w:sz w:val="24"/>
        </w:rPr>
        <w:t>104 милиона EUR</w:t>
      </w:r>
      <w:r>
        <w:rPr>
          <w:rFonts w:ascii="Times New Roman" w:hAnsi="Times New Roman"/>
          <w:noProof/>
          <w:sz w:val="24"/>
        </w:rPr>
        <w:t>.</w:t>
      </w:r>
    </w:p>
    <w:p>
      <w:pPr>
        <w:spacing w:after="0"/>
        <w:jc w:val="both"/>
        <w:rPr>
          <w:rFonts w:ascii="Times New Roman" w:hAnsi="Times New Roman" w:cs="Times New Roman"/>
          <w:b/>
          <w:noProof/>
          <w:sz w:val="24"/>
          <w:szCs w:val="24"/>
        </w:rPr>
      </w:pPr>
    </w:p>
    <w:p>
      <w:pPr>
        <w:ind w:left="720" w:hanging="720"/>
        <w:jc w:val="both"/>
        <w:rPr>
          <w:rFonts w:ascii="Times New Roman" w:hAnsi="Times New Roman" w:cs="Times New Roman"/>
          <w:b/>
          <w:smallCaps/>
          <w:noProof/>
          <w:sz w:val="24"/>
          <w:szCs w:val="24"/>
        </w:rPr>
      </w:pPr>
      <w:r>
        <w:rPr>
          <w:rFonts w:ascii="Times New Roman" w:hAnsi="Times New Roman"/>
          <w:b/>
          <w:smallCaps/>
          <w:noProof/>
          <w:sz w:val="24"/>
        </w:rPr>
        <w:t>5.</w:t>
      </w:r>
      <w:r>
        <w:rPr>
          <w:noProof/>
        </w:rPr>
        <w:tab/>
      </w:r>
      <w:r>
        <w:rPr>
          <w:rFonts w:ascii="Times New Roman" w:hAnsi="Times New Roman"/>
          <w:b/>
          <w:smallCaps/>
          <w:noProof/>
          <w:sz w:val="24"/>
        </w:rPr>
        <w:t>Мерки на Комисията за подобряване на събирането на традиционните собствени ресурси</w:t>
      </w:r>
    </w:p>
    <w:p>
      <w:pPr>
        <w:jc w:val="both"/>
        <w:rPr>
          <w:rFonts w:ascii="Times New Roman" w:hAnsi="Times New Roman" w:cs="Times New Roman"/>
          <w:noProof/>
          <w:sz w:val="24"/>
          <w:szCs w:val="24"/>
        </w:rPr>
      </w:pPr>
      <w:r>
        <w:rPr>
          <w:rFonts w:ascii="Times New Roman" w:hAnsi="Times New Roman"/>
          <w:noProof/>
          <w:sz w:val="24"/>
        </w:rPr>
        <w:t>Освен проверките на място в държавите членки Комисията разполага с няколко други начина за контролиране на събирането на ТСР. Правилното използване на тези начини реално подобрява събирането.</w:t>
      </w:r>
    </w:p>
    <w:p>
      <w:pPr>
        <w:jc w:val="both"/>
        <w:rPr>
          <w:rFonts w:ascii="Times New Roman" w:hAnsi="Times New Roman" w:cs="Times New Roman"/>
          <w:b/>
          <w:noProof/>
          <w:sz w:val="24"/>
          <w:szCs w:val="24"/>
        </w:rPr>
      </w:pPr>
      <w:r>
        <w:rPr>
          <w:rFonts w:ascii="Times New Roman" w:hAnsi="Times New Roman"/>
          <w:b/>
          <w:noProof/>
          <w:sz w:val="24"/>
        </w:rPr>
        <w:t>5.1.</w:t>
      </w:r>
      <w:r>
        <w:rPr>
          <w:noProof/>
        </w:rPr>
        <w:tab/>
      </w:r>
      <w:r>
        <w:rPr>
          <w:rFonts w:ascii="Times New Roman" w:hAnsi="Times New Roman"/>
          <w:b/>
          <w:noProof/>
          <w:sz w:val="24"/>
        </w:rPr>
        <w:t>Разглеждане на отписаните несъбираеми вземания</w:t>
      </w:r>
    </w:p>
    <w:tbl>
      <w:tblPr>
        <w:tblW w:w="9322" w:type="dxa"/>
        <w:tblBorders>
          <w:insideH w:val="single" w:sz="4" w:space="0" w:color="auto"/>
        </w:tblBorders>
        <w:tblLook w:val="04A0" w:firstRow="1" w:lastRow="0" w:firstColumn="1" w:lastColumn="0" w:noHBand="0" w:noVBand="1"/>
      </w:tblPr>
      <w:tblGrid>
        <w:gridCol w:w="7054"/>
        <w:gridCol w:w="2268"/>
      </w:tblGrid>
      <w:tr>
        <w:trPr>
          <w:trHeight w:val="2280"/>
        </w:trPr>
        <w:tc>
          <w:tcPr>
            <w:tcW w:w="7054" w:type="dxa"/>
            <w:shd w:val="clear" w:color="auto" w:fill="auto"/>
          </w:tcPr>
          <w:p>
            <w:pPr>
              <w:jc w:val="both"/>
              <w:rPr>
                <w:rFonts w:ascii="Times New Roman" w:hAnsi="Times New Roman" w:cs="Times New Roman"/>
                <w:noProof/>
                <w:sz w:val="24"/>
                <w:szCs w:val="24"/>
              </w:rPr>
            </w:pPr>
            <w:r>
              <w:rPr>
                <w:rFonts w:ascii="Times New Roman" w:hAnsi="Times New Roman"/>
                <w:noProof/>
                <w:sz w:val="24"/>
              </w:rPr>
              <w:t>Държавите членки трябва да вземат необходимите мерки за предоставяне на ТСР, освен когато събирането на ТСР се окаже невъзможно поради непреодолима сила или по независещи от държавите членки причини (член 17, параграф 2 от Регламент № 1150/2000).</w:t>
            </w:r>
          </w:p>
          <w:p>
            <w:pPr>
              <w:jc w:val="both"/>
              <w:rPr>
                <w:rFonts w:ascii="Times New Roman" w:hAnsi="Times New Roman" w:cs="Times New Roman"/>
                <w:noProof/>
                <w:sz w:val="24"/>
                <w:szCs w:val="24"/>
              </w:rPr>
            </w:pPr>
            <w:r>
              <w:rPr>
                <w:rFonts w:ascii="Times New Roman" w:hAnsi="Times New Roman"/>
                <w:noProof/>
                <w:sz w:val="24"/>
              </w:rPr>
              <w:t>Съгласно законодателството на ЕС държавите членки трябва да докладват на Комисията несъбираеми суми, превишаващи 50 000 EUR (доклади за отписани вземания), за които считат, че са възникнали по независещи от тях причини, а Комисията прави коментари по всеки доклад. По отношение на суми под този праг не съществува изискване за отделно докладване, но примери за такива случаи редовно се разглеждат по време на провежданите от Комисията проверки на място.</w:t>
            </w:r>
          </w:p>
          <w:p>
            <w:pPr>
              <w:jc w:val="both"/>
              <w:rPr>
                <w:rFonts w:ascii="Times New Roman" w:hAnsi="Times New Roman" w:cs="Times New Roman"/>
                <w:noProof/>
                <w:sz w:val="24"/>
                <w:szCs w:val="24"/>
              </w:rPr>
            </w:pPr>
            <w:r>
              <w:rPr>
                <w:rFonts w:ascii="Times New Roman" w:hAnsi="Times New Roman"/>
                <w:noProof/>
                <w:sz w:val="24"/>
              </w:rPr>
              <w:t>За да помогне на държавите членки да преценят своята потенциална финансова отговорност по отношение на несъбираеми суми ТСР, Комисията издаде работен документ — Компендиум — съдържащ критериите, обуславящи нейните коментари относно докладите за отписани вземания през периода 1992—2012 г. Работният документ беше представен на държавите членки по време на заседанието на ККСР на 6 декември 2012 г. Той беше преразгледан на 25 юни 2013 г., за да вземе под внимание промените в законодателството на ЕС и съответната съдебна практика по отношение на традиционните собствени ресурси.</w:t>
            </w:r>
          </w:p>
        </w:tc>
        <w:tc>
          <w:tcPr>
            <w:tcW w:w="2268" w:type="dxa"/>
            <w:shd w:val="clear" w:color="auto" w:fill="auto"/>
          </w:tcPr>
          <w:p>
            <w:pPr>
              <w:jc w:val="both"/>
              <w:rPr>
                <w:rFonts w:ascii="Times New Roman" w:hAnsi="Times New Roman" w:cs="Times New Roman"/>
                <w:i/>
                <w:noProof/>
                <w:spacing w:val="-6"/>
                <w:sz w:val="18"/>
                <w:szCs w:val="18"/>
              </w:rPr>
            </w:pPr>
            <w:r>
              <w:rPr>
                <w:rFonts w:ascii="Times New Roman" w:hAnsi="Times New Roman"/>
                <w:b/>
                <w:i/>
                <w:noProof/>
                <w:spacing w:val="-6"/>
                <w:sz w:val="18"/>
              </w:rPr>
              <w:t xml:space="preserve">Доклад за отписани вземания: </w:t>
            </w:r>
            <w:r>
              <w:rPr>
                <w:rFonts w:ascii="Times New Roman" w:hAnsi="Times New Roman"/>
                <w:i/>
                <w:noProof/>
                <w:spacing w:val="-6"/>
                <w:sz w:val="18"/>
              </w:rPr>
              <w:t xml:space="preserve">процедура съгласно член 17 от Регламент № 1150/2000 за мониторинг върху потенциалната финансова отговорност на държавите членки по отношение на несъбираеми суми ТСР, превишаващи 50 000 EUR. Съгласно тази процедура Комисията издава становище дали ТСР са станали несъбираеми поради независещи от държавите членки причини. Целта на извършвания от Комисията преглед на докладваните случаи е </w:t>
            </w:r>
            <w:r>
              <w:rPr>
                <w:rFonts w:ascii="Times New Roman" w:hAnsi="Times New Roman"/>
                <w:b/>
                <w:i/>
                <w:noProof/>
                <w:spacing w:val="-6"/>
                <w:sz w:val="18"/>
              </w:rPr>
              <w:t>да се оцени степента на старание на държавите членки при осъществяваните от тях операции по събиране на вземания</w:t>
            </w:r>
            <w:r>
              <w:rPr>
                <w:rFonts w:ascii="Times New Roman" w:hAnsi="Times New Roman"/>
                <w:i/>
                <w:noProof/>
                <w:spacing w:val="-6"/>
                <w:sz w:val="18"/>
              </w:rPr>
              <w:t>.</w:t>
            </w:r>
          </w:p>
        </w:tc>
      </w:tr>
    </w:tbl>
    <w:p>
      <w:pPr>
        <w:jc w:val="both"/>
        <w:rPr>
          <w:rFonts w:ascii="Times New Roman" w:hAnsi="Times New Roman" w:cs="Times New Roman"/>
          <w:noProof/>
          <w:sz w:val="24"/>
          <w:szCs w:val="24"/>
        </w:rPr>
      </w:pPr>
      <w:r>
        <w:rPr>
          <w:rFonts w:ascii="Times New Roman" w:hAnsi="Times New Roman"/>
          <w:noProof/>
          <w:sz w:val="24"/>
        </w:rPr>
        <w:t>Когато държавите членки считат, че отговарят на условията за освобождаване от задължението да предоставят на разположение на Комисията сумите, превишаващи 50 000 EUR, които съответстват на оказали се несъбираеми установени вземания, те трябва да докладват съответните случаи на Комисията посредством многоезична база данни, наречена WOMIS (система за управление и информация в областта на отписванията), която започна да функционира на 1 януари 2010 г. Този редовно актуализиран инструмент позволява ефикасно и сигурно управление на докладите на държавите членки.</w:t>
      </w:r>
    </w:p>
    <w:p>
      <w:pPr>
        <w:jc w:val="both"/>
        <w:rPr>
          <w:rFonts w:ascii="Times New Roman" w:hAnsi="Times New Roman" w:cs="Times New Roman"/>
          <w:noProof/>
          <w:sz w:val="24"/>
          <w:szCs w:val="24"/>
        </w:rPr>
      </w:pPr>
      <w:r>
        <w:rPr>
          <w:rFonts w:ascii="Times New Roman" w:hAnsi="Times New Roman"/>
          <w:noProof/>
          <w:sz w:val="24"/>
        </w:rPr>
        <w:t>През периода 2013—2015 г. 904 доклада</w:t>
      </w:r>
      <w:r>
        <w:rPr>
          <w:rStyle w:val="FootnoteReference"/>
          <w:rFonts w:ascii="Times New Roman" w:hAnsi="Times New Roman"/>
          <w:noProof/>
          <w:sz w:val="24"/>
        </w:rPr>
        <w:footnoteReference w:id="14"/>
      </w:r>
      <w:r>
        <w:rPr>
          <w:rFonts w:ascii="Times New Roman" w:hAnsi="Times New Roman"/>
          <w:noProof/>
          <w:sz w:val="24"/>
        </w:rPr>
        <w:t xml:space="preserve"> бяха изпратени на Комисията, отнасящи се до обща сума от 245 523 019 EUR. В отговор на общо 791 доклада, разгледани през този период (неприключени случаи и нови доклади), отнасящи се до обща сума от 290 520 371 EUR, Комисията прие 106 доклада, отнасящи се до сума от 40 831 238 EUR. По отношение на 264 случая, отнасящи се до сума от </w:t>
      </w:r>
      <w:r>
        <w:rPr>
          <w:rFonts w:ascii="Times New Roman" w:hAnsi="Times New Roman"/>
          <w:b/>
          <w:noProof/>
          <w:sz w:val="24"/>
        </w:rPr>
        <w:t xml:space="preserve">87 273 185 </w:t>
      </w:r>
      <w:r>
        <w:rPr>
          <w:rFonts w:ascii="Times New Roman" w:hAnsi="Times New Roman" w:cs="Times New Roman"/>
          <w:b/>
          <w:noProof/>
          <w:sz w:val="24"/>
          <w:szCs w:val="24"/>
        </w:rPr>
        <w:t>EUR</w:t>
      </w:r>
      <w:r>
        <w:rPr>
          <w:rFonts w:ascii="Times New Roman" w:hAnsi="Times New Roman"/>
          <w:noProof/>
          <w:sz w:val="24"/>
        </w:rPr>
        <w:t>, Комисията счете, че сумите са станали несъбираеми поради зависещи от съответните държави членки причини. По отношение на 12 случая беше счетено, че докладването им на Комисията е било неправилно или преждевременно (5 013 866 EUR). Комисията трябваше да поиска допълнителна информация относно повече от половината от разгледаните случаи (409 доклада</w:t>
      </w:r>
      <w:r>
        <w:rPr>
          <w:rStyle w:val="FootnoteReference"/>
          <w:rFonts w:ascii="Times New Roman" w:hAnsi="Times New Roman"/>
          <w:noProof/>
          <w:sz w:val="24"/>
        </w:rPr>
        <w:footnoteReference w:id="15"/>
      </w:r>
      <w:r>
        <w:rPr>
          <w:rFonts w:ascii="Times New Roman" w:hAnsi="Times New Roman"/>
          <w:noProof/>
          <w:sz w:val="24"/>
        </w:rPr>
        <w:t xml:space="preserve">, по отношение на които в края на 2015 г. окончателните коментари на Комисията все още не бяха направени (157 402 082 EUR). </w:t>
      </w:r>
    </w:p>
    <w:p>
      <w:pPr>
        <w:ind w:left="720" w:hanging="720"/>
        <w:jc w:val="both"/>
        <w:rPr>
          <w:rFonts w:ascii="Times New Roman" w:hAnsi="Times New Roman" w:cs="Times New Roman"/>
          <w:b/>
          <w:noProof/>
          <w:sz w:val="24"/>
          <w:szCs w:val="24"/>
        </w:rPr>
      </w:pPr>
      <w:r>
        <w:rPr>
          <w:rFonts w:ascii="Times New Roman" w:hAnsi="Times New Roman"/>
          <w:b/>
          <w:noProof/>
          <w:sz w:val="24"/>
        </w:rPr>
        <w:t>5.2.</w:t>
      </w:r>
      <w:r>
        <w:rPr>
          <w:noProof/>
        </w:rPr>
        <w:tab/>
      </w:r>
      <w:r>
        <w:rPr>
          <w:rFonts w:ascii="Times New Roman" w:hAnsi="Times New Roman"/>
          <w:b/>
          <w:noProof/>
          <w:sz w:val="24"/>
        </w:rPr>
        <w:t>Третиране на грешките при установяването на вземания, довели до загуба на традиционни собствени ресурси</w:t>
      </w:r>
    </w:p>
    <w:p>
      <w:pPr>
        <w:jc w:val="both"/>
        <w:rPr>
          <w:rFonts w:ascii="Times New Roman" w:hAnsi="Times New Roman" w:cs="Times New Roman"/>
          <w:noProof/>
          <w:sz w:val="24"/>
          <w:szCs w:val="24"/>
        </w:rPr>
      </w:pPr>
      <w:r>
        <w:rPr>
          <w:rFonts w:ascii="Times New Roman" w:hAnsi="Times New Roman"/>
          <w:noProof/>
          <w:sz w:val="24"/>
        </w:rPr>
        <w:t>В решението си от 15 ноември 2005 г.</w:t>
      </w:r>
      <w:r>
        <w:rPr>
          <w:rStyle w:val="FootnoteReference"/>
          <w:rFonts w:ascii="Times New Roman" w:hAnsi="Times New Roman"/>
          <w:noProof/>
          <w:sz w:val="24"/>
        </w:rPr>
        <w:footnoteReference w:id="16"/>
      </w:r>
      <w:r>
        <w:rPr>
          <w:rFonts w:ascii="Times New Roman" w:hAnsi="Times New Roman"/>
          <w:noProof/>
          <w:sz w:val="24"/>
        </w:rPr>
        <w:t xml:space="preserve"> </w:t>
      </w:r>
      <w:r>
        <w:rPr>
          <w:rFonts w:ascii="Times New Roman" w:hAnsi="Times New Roman"/>
          <w:i/>
          <w:noProof/>
          <w:sz w:val="24"/>
        </w:rPr>
        <w:t>Комисия/Дания</w:t>
      </w:r>
      <w:r>
        <w:rPr>
          <w:rFonts w:ascii="Times New Roman" w:hAnsi="Times New Roman"/>
          <w:noProof/>
          <w:sz w:val="24"/>
        </w:rPr>
        <w:t xml:space="preserve"> Съдът на Европейските общности потвърди позицията на Комисията, че задължението на държавата членка да установи вземането на ЕС спрямо ТСР (и да предостави тези ТСР) възниква веднага щом условията, предвидени в митническото законодателство, бъдат изпълнени при нормални обстоятелства. Ето защо не е необходимо самото установяване да е извършено. Тъй като държавите членки са освободени от задължението за предоставяне на ТСР само в случаи на непреодолима сила или ако сумата не може да бъде събрана поради независещи от държавите членки причини, държавите членки трябва да поемат финансовите последици от грешките, които са допуснали, независимо от момента на реалното установяване на вземанията или дори при липса на установяване на вземанията.</w:t>
      </w:r>
    </w:p>
    <w:p>
      <w:pPr>
        <w:jc w:val="both"/>
        <w:rPr>
          <w:rFonts w:ascii="Times New Roman" w:hAnsi="Times New Roman" w:cs="Times New Roman"/>
          <w:noProof/>
          <w:sz w:val="24"/>
          <w:szCs w:val="24"/>
        </w:rPr>
      </w:pPr>
      <w:r>
        <w:rPr>
          <w:rFonts w:ascii="Times New Roman" w:hAnsi="Times New Roman"/>
          <w:noProof/>
          <w:sz w:val="24"/>
        </w:rPr>
        <w:t xml:space="preserve">Въз основа на тази съдебна практика Комисията проследи през периода 2013—2015 г. административните грешки, допуснати от държавите членки в ущърб на финансовите интереси на ЕС (проверки на място, национални решения за възстановяване или опрощаване на вземания поради административни грешки и т.н.). Благодарение на това проследяване Комисията изиска от държавите членки да предоставят </w:t>
      </w:r>
      <w:r>
        <w:rPr>
          <w:rFonts w:ascii="Times New Roman" w:hAnsi="Times New Roman"/>
          <w:b/>
          <w:noProof/>
          <w:sz w:val="24"/>
        </w:rPr>
        <w:t>32 704 818 EUR</w:t>
      </w:r>
      <w:r>
        <w:rPr>
          <w:rFonts w:ascii="Times New Roman" w:hAnsi="Times New Roman"/>
          <w:noProof/>
          <w:sz w:val="24"/>
        </w:rPr>
        <w:t xml:space="preserve"> през периода 2013—2015 г.</w:t>
      </w:r>
    </w:p>
    <w:p>
      <w:pPr>
        <w:jc w:val="both"/>
        <w:rPr>
          <w:rFonts w:ascii="Times New Roman" w:hAnsi="Times New Roman" w:cs="Times New Roman"/>
          <w:noProof/>
          <w:sz w:val="24"/>
          <w:szCs w:val="24"/>
        </w:rPr>
      </w:pPr>
      <w:r>
        <w:rPr>
          <w:rFonts w:ascii="Times New Roman" w:hAnsi="Times New Roman"/>
          <w:noProof/>
          <w:sz w:val="24"/>
        </w:rPr>
        <w:t xml:space="preserve">Съдът на Европейския съюз също поясни в своето решение C-334/08 от 8 юли 2010 г. </w:t>
      </w:r>
      <w:r>
        <w:rPr>
          <w:rFonts w:ascii="Times New Roman" w:hAnsi="Times New Roman"/>
          <w:i/>
          <w:noProof/>
          <w:sz w:val="24"/>
        </w:rPr>
        <w:t>Комисия/Италия</w:t>
      </w:r>
      <w:r>
        <w:rPr>
          <w:rFonts w:ascii="Times New Roman" w:hAnsi="Times New Roman"/>
          <w:noProof/>
          <w:sz w:val="24"/>
        </w:rPr>
        <w:t>, че държавите членки носят финансова отговорност за ТСР, които е трябвало да бъдат предоставени, считано от датата, на която средствата е трябвало да бъдат предоставени при недопускане на административна грешка. Лихвата за забава се изчислява по съответния начин.</w:t>
      </w:r>
    </w:p>
    <w:p>
      <w:pPr>
        <w:jc w:val="both"/>
        <w:rPr>
          <w:rFonts w:ascii="Times New Roman" w:hAnsi="Times New Roman" w:cs="Times New Roman"/>
          <w:b/>
          <w:noProof/>
          <w:sz w:val="24"/>
          <w:szCs w:val="24"/>
        </w:rPr>
      </w:pPr>
      <w:r>
        <w:rPr>
          <w:rFonts w:ascii="Times New Roman" w:hAnsi="Times New Roman"/>
          <w:b/>
          <w:noProof/>
          <w:sz w:val="24"/>
        </w:rPr>
        <w:t>5.3.</w:t>
      </w:r>
      <w:r>
        <w:rPr>
          <w:noProof/>
        </w:rPr>
        <w:tab/>
      </w:r>
      <w:r>
        <w:rPr>
          <w:rFonts w:ascii="Times New Roman" w:hAnsi="Times New Roman"/>
          <w:b/>
          <w:noProof/>
          <w:sz w:val="24"/>
        </w:rPr>
        <w:t>Базата данни OWNRES</w:t>
      </w:r>
    </w:p>
    <w:p>
      <w:pPr>
        <w:jc w:val="both"/>
        <w:rPr>
          <w:rFonts w:ascii="Times New Roman" w:hAnsi="Times New Roman" w:cs="Times New Roman"/>
          <w:noProof/>
          <w:sz w:val="24"/>
          <w:szCs w:val="24"/>
        </w:rPr>
      </w:pPr>
      <w:r>
        <w:rPr>
          <w:rFonts w:ascii="Times New Roman" w:hAnsi="Times New Roman"/>
          <w:noProof/>
          <w:sz w:val="24"/>
        </w:rPr>
        <w:t>Съгласно Регламент № 1150/2000 държавите членки трябва да изпращат на Комисията информация за случаите на измама и нередности, свързани с вземания в размер на над 10 000 EUR. Тази информация се изпраща чрез базата данни OWNRES, която се управлява и поддържа от Комисията.</w:t>
      </w:r>
    </w:p>
    <w:p>
      <w:pPr>
        <w:jc w:val="both"/>
        <w:rPr>
          <w:rFonts w:ascii="Times New Roman" w:hAnsi="Times New Roman" w:cs="Times New Roman"/>
          <w:noProof/>
          <w:sz w:val="24"/>
          <w:szCs w:val="24"/>
        </w:rPr>
      </w:pPr>
      <w:r>
        <w:rPr>
          <w:rFonts w:ascii="Times New Roman" w:hAnsi="Times New Roman"/>
          <w:noProof/>
          <w:sz w:val="24"/>
        </w:rPr>
        <w:t>Тази база данни осигурява на Комисията съществена информацията, която ѝ е нужна за проследяване на събирането и за подготвяне на проверките ѝ на място. Тя се използва и от Европейската служба за борба с измамите (OLAF) с цел извършването на различни анализи. Съобщените данни се оценяват подробно в годишния доклад на Комисията до Европейския парламент и Съвета относно защитата на финансовите интереси на Европейския съюз — Борба с измамите.</w:t>
      </w:r>
    </w:p>
    <w:p>
      <w:pPr>
        <w:jc w:val="both"/>
        <w:rPr>
          <w:rFonts w:ascii="Times New Roman" w:hAnsi="Times New Roman" w:cs="Times New Roman"/>
          <w:b/>
          <w:noProof/>
          <w:sz w:val="24"/>
          <w:szCs w:val="24"/>
        </w:rPr>
      </w:pPr>
      <w:r>
        <w:rPr>
          <w:rFonts w:ascii="Times New Roman" w:hAnsi="Times New Roman"/>
          <w:b/>
          <w:noProof/>
          <w:sz w:val="24"/>
        </w:rPr>
        <w:t>5.4.</w:t>
      </w:r>
      <w:r>
        <w:rPr>
          <w:noProof/>
        </w:rPr>
        <w:tab/>
      </w:r>
      <w:r>
        <w:rPr>
          <w:rFonts w:ascii="Times New Roman" w:hAnsi="Times New Roman"/>
          <w:b/>
          <w:noProof/>
          <w:sz w:val="24"/>
        </w:rPr>
        <w:t>Пилотни проекти относно одити на счетоводни сметки от раздели А и Б от страна на държавите членки</w:t>
      </w:r>
    </w:p>
    <w:p>
      <w:pPr>
        <w:jc w:val="both"/>
        <w:rPr>
          <w:rFonts w:ascii="Times New Roman" w:hAnsi="Times New Roman" w:cs="Times New Roman"/>
          <w:noProof/>
          <w:sz w:val="24"/>
          <w:szCs w:val="24"/>
        </w:rPr>
      </w:pPr>
      <w:r>
        <w:rPr>
          <w:rFonts w:ascii="Times New Roman" w:hAnsi="Times New Roman"/>
          <w:noProof/>
          <w:sz w:val="24"/>
        </w:rPr>
        <w:t>В допълнение към споразуменията за съвместен одит с Дания и Австрия Комисията участва в пилотен проект за управление на одити на счетоводни сметки от раздели А и Б, които да бъдат провеждани от самите държави членки и впоследствие оценявани от службите на Комисията. През 2012 г. беше създадена проектна група за подход за съвместен одит, в съответствие с концепцията за програмата за действие „Митници 2013“, в която участват представители на 13 държави членки. Групата подготви препоръки за общи цели и инструменти за одит за службите за вътрешен одит (или службите за контрол на ТСР) на националните администрации. През 2014 г. беше извършен пилотен одит относно осчетоводяването на ТСР, в който участваха пет държави членки (България, Естония, Хърватия, Италия и Словения). Те представиха своите одитни доклади през последното тримесечие на 2014 г. След това Комисията проведе проверки на място в съответните държави членки, за да валидира техните собствени констатации от пилотния одит. Цялостните заключения от извършената процедура бяха включени в единен доклад на Комисията по държави членки.</w:t>
      </w:r>
    </w:p>
    <w:p>
      <w:pPr>
        <w:jc w:val="both"/>
        <w:rPr>
          <w:rFonts w:ascii="Times New Roman" w:hAnsi="Times New Roman" w:cs="Times New Roman"/>
          <w:noProof/>
          <w:sz w:val="24"/>
          <w:szCs w:val="24"/>
        </w:rPr>
      </w:pPr>
      <w:r>
        <w:rPr>
          <w:rFonts w:ascii="Times New Roman" w:hAnsi="Times New Roman"/>
          <w:noProof/>
          <w:sz w:val="24"/>
        </w:rPr>
        <w:t>Резултатите бяха като цяло положителни, макар и да бяха идентифицирани някои проблеми, които изискват допълнителна работа и обмисляне. Необходим е повече опит по отношение на този вид съвместна работа. За целта през 2016 г. започна втори пилотен проект относно осчетоводяването на ТСР.</w:t>
      </w:r>
    </w:p>
    <w:p>
      <w:pPr>
        <w:jc w:val="both"/>
        <w:rPr>
          <w:rFonts w:ascii="Times New Roman" w:hAnsi="Times New Roman" w:cs="Times New Roman"/>
          <w:b/>
          <w:noProof/>
          <w:sz w:val="24"/>
          <w:szCs w:val="24"/>
        </w:rPr>
      </w:pPr>
      <w:r>
        <w:rPr>
          <w:rFonts w:ascii="Times New Roman" w:hAnsi="Times New Roman"/>
          <w:b/>
          <w:noProof/>
          <w:sz w:val="24"/>
        </w:rPr>
        <w:t>5.5.</w:t>
      </w:r>
      <w:r>
        <w:rPr>
          <w:noProof/>
        </w:rPr>
        <w:tab/>
      </w:r>
      <w:r>
        <w:rPr>
          <w:rFonts w:ascii="Times New Roman" w:hAnsi="Times New Roman"/>
          <w:b/>
          <w:noProof/>
          <w:sz w:val="24"/>
        </w:rPr>
        <w:t>Мерки за мониторинг за присъединяващите се държави</w:t>
      </w:r>
    </w:p>
    <w:p>
      <w:pPr>
        <w:jc w:val="both"/>
        <w:rPr>
          <w:rFonts w:ascii="Times New Roman" w:hAnsi="Times New Roman" w:cs="Times New Roman"/>
          <w:noProof/>
          <w:sz w:val="24"/>
          <w:szCs w:val="24"/>
        </w:rPr>
      </w:pPr>
      <w:r>
        <w:rPr>
          <w:rFonts w:ascii="Times New Roman" w:hAnsi="Times New Roman"/>
          <w:noProof/>
          <w:sz w:val="24"/>
        </w:rPr>
        <w:t>Комисията предоставя техническа помощ на държавите кандидати, за да развият необходимия административен капацитет и да въведат нужните системи за прилагането на достиженията на общностното право в областта на ТСР след присъединяването. В допълнение към това тя извършва оценка на подготвеността на държавите кандидати в това отношение.</w:t>
      </w:r>
    </w:p>
    <w:p>
      <w:pPr>
        <w:jc w:val="both"/>
        <w:rPr>
          <w:rFonts w:ascii="Times New Roman" w:hAnsi="Times New Roman" w:cs="Times New Roman"/>
          <w:noProof/>
          <w:sz w:val="24"/>
          <w:szCs w:val="24"/>
        </w:rPr>
      </w:pPr>
      <w:r>
        <w:rPr>
          <w:rFonts w:ascii="Times New Roman" w:hAnsi="Times New Roman"/>
          <w:noProof/>
          <w:sz w:val="24"/>
        </w:rPr>
        <w:t>В тази област Комисията проведе своята последна подготвителна мисия през 2013 г. в рамките на преговорите за присъединяване на Хърватия. Тази мисия за установяване на фактите позволи на Комисията да получи достатъчна увереност в административния капацитет на Хърватия да прилага достиженията на общностното право. Техническа помощ под формата на семинари относно собствените ресурси беше предоставена на Исландия и Черна гора. Исландия оттегли своята кандидатура за членство в ЕС, а Черна гора продължава да получава техническа помощ.</w:t>
      </w:r>
    </w:p>
    <w:p>
      <w:pPr>
        <w:jc w:val="both"/>
        <w:rPr>
          <w:rFonts w:ascii="Times New Roman" w:hAnsi="Times New Roman" w:cs="Times New Roman"/>
          <w:b/>
          <w:smallCaps/>
          <w:noProof/>
          <w:sz w:val="24"/>
          <w:szCs w:val="24"/>
        </w:rPr>
      </w:pPr>
      <w:r>
        <w:rPr>
          <w:rFonts w:ascii="Times New Roman" w:hAnsi="Times New Roman"/>
          <w:b/>
          <w:smallCaps/>
          <w:noProof/>
          <w:sz w:val="24"/>
        </w:rPr>
        <w:t>6.</w:t>
      </w:r>
      <w:r>
        <w:rPr>
          <w:noProof/>
        </w:rPr>
        <w:tab/>
      </w:r>
      <w:r>
        <w:rPr>
          <w:rFonts w:ascii="Times New Roman" w:hAnsi="Times New Roman"/>
          <w:b/>
          <w:smallCaps/>
          <w:noProof/>
          <w:sz w:val="24"/>
        </w:rPr>
        <w:t>Цялостна оценка на системата за контрол</w:t>
      </w:r>
    </w:p>
    <w:p>
      <w:pPr>
        <w:jc w:val="both"/>
        <w:rPr>
          <w:rFonts w:ascii="Times New Roman" w:hAnsi="Times New Roman" w:cs="Times New Roman"/>
          <w:noProof/>
          <w:sz w:val="24"/>
          <w:szCs w:val="24"/>
        </w:rPr>
      </w:pPr>
      <w:r>
        <w:rPr>
          <w:rFonts w:ascii="Times New Roman" w:hAnsi="Times New Roman"/>
          <w:noProof/>
          <w:sz w:val="24"/>
        </w:rPr>
        <w:t>Както през предходните периоди, констатациите, направени през периода 2013—2015 г., потвърждават ползите и увереността, които ЕС извлича от системата за контрол на ТСР. В годишните си доклади Европейската сметна палата също определя тази система като ефективна от гледна точка на защитата на финансовите интереси на ЕС.</w:t>
      </w:r>
    </w:p>
    <w:p>
      <w:pPr>
        <w:jc w:val="both"/>
        <w:rPr>
          <w:rFonts w:ascii="Times New Roman" w:hAnsi="Times New Roman" w:cs="Times New Roman"/>
          <w:noProof/>
          <w:sz w:val="24"/>
          <w:szCs w:val="24"/>
        </w:rPr>
      </w:pPr>
      <w:r>
        <w:rPr>
          <w:rFonts w:ascii="Times New Roman" w:hAnsi="Times New Roman"/>
          <w:noProof/>
          <w:sz w:val="24"/>
        </w:rPr>
        <w:t xml:space="preserve">Основната цел на системата за контрол на ТСР от страна на Комисията е да се гарантира, че държавите членки съблюдават регулаторната рамка на ЕС относно ТСР и предоставят ТСР на разположение на бюджета на ЕС своевременно и в пълен размер. Финансовото отражение на докладваните по-горе проверки е значително и очевидно подобрява събирането и предоставянето на ТСР на разположение на бюджета на ЕС. Категорично обаче проверките също така подобряват съблюдаването на правилата на ЕС. В резултат на констатациите от проверките на Комисията държавите членки редовно преразглеждат своите собствени правила и процедури или въвеждат нови. Решенията на Съда на Европейския съюз също потвърждават редовно становищата на Комисията относно защитата на финансовите интереси на ЕС по отношение на въвеждането на законодателната рамка за собствените ресурси. На последно място констатациите от проверките на Комисията оказват въздействие върху законодателния процес, например чрез идентифициране на пропуски и последиците от тях. </w:t>
      </w:r>
    </w:p>
    <w:p>
      <w:pPr>
        <w:jc w:val="both"/>
        <w:rPr>
          <w:rFonts w:ascii="Times New Roman" w:hAnsi="Times New Roman" w:cs="Times New Roman"/>
          <w:noProof/>
          <w:sz w:val="24"/>
          <w:szCs w:val="24"/>
        </w:rPr>
      </w:pPr>
      <w:r>
        <w:rPr>
          <w:rFonts w:ascii="Times New Roman" w:hAnsi="Times New Roman"/>
          <w:noProof/>
          <w:sz w:val="24"/>
        </w:rPr>
        <w:t>Като цяло проверките на Комисията допринасят значително за постигане на по-добра защита на финансовите интереси на ЕС чрез ефикасен мониторинг върху своевременното и пълно предоставяне на ТСР от държавите членки.</w:t>
      </w:r>
    </w:p>
    <w:p>
      <w:pPr>
        <w:jc w:val="both"/>
        <w:rPr>
          <w:rFonts w:ascii="Times New Roman" w:hAnsi="Times New Roman" w:cs="Times New Roman"/>
          <w:b/>
          <w:smallCaps/>
          <w:noProof/>
          <w:sz w:val="24"/>
          <w:szCs w:val="24"/>
        </w:rPr>
      </w:pPr>
      <w:r>
        <w:rPr>
          <w:rFonts w:ascii="Times New Roman" w:hAnsi="Times New Roman"/>
          <w:b/>
          <w:smallCaps/>
          <w:noProof/>
          <w:sz w:val="24"/>
        </w:rPr>
        <w:t>7.</w:t>
      </w:r>
      <w:r>
        <w:rPr>
          <w:noProof/>
        </w:rPr>
        <w:tab/>
      </w:r>
      <w:r>
        <w:rPr>
          <w:rFonts w:ascii="Times New Roman" w:hAnsi="Times New Roman"/>
          <w:b/>
          <w:smallCaps/>
          <w:noProof/>
          <w:sz w:val="24"/>
        </w:rPr>
        <w:t>Заключение</w:t>
      </w:r>
    </w:p>
    <w:p>
      <w:pPr>
        <w:jc w:val="both"/>
        <w:rPr>
          <w:rFonts w:ascii="Times New Roman" w:hAnsi="Times New Roman" w:cs="Times New Roman"/>
          <w:noProof/>
          <w:sz w:val="24"/>
          <w:szCs w:val="24"/>
        </w:rPr>
      </w:pPr>
      <w:r>
        <w:rPr>
          <w:rFonts w:ascii="Times New Roman" w:hAnsi="Times New Roman"/>
          <w:noProof/>
          <w:sz w:val="24"/>
        </w:rPr>
        <w:t>Резултатите, регистрирани от 2013 до 2015 г., показват, че проверките на Комисията на ТСР и систематичното проследяване на констатираните недостатъци продължават да бъдат абсолютно необходимо и ефикасно средство за подобряване на събирането на ТСР и за осигуряване на увереност, че финансовите интереси на ЕС в тази област са надлежно защитени.</w:t>
      </w:r>
    </w:p>
    <w:p>
      <w:pPr>
        <w:jc w:val="both"/>
        <w:rPr>
          <w:rFonts w:ascii="Times New Roman" w:hAnsi="Times New Roman" w:cs="Times New Roman"/>
          <w:noProof/>
          <w:sz w:val="24"/>
          <w:szCs w:val="24"/>
        </w:rPr>
      </w:pPr>
      <w:r>
        <w:rPr>
          <w:rFonts w:ascii="Times New Roman" w:hAnsi="Times New Roman"/>
          <w:noProof/>
          <w:sz w:val="24"/>
        </w:rPr>
        <w:t xml:space="preserve">Проверките продължават да бъдат ключов инструмент за осигуряване на съблюдаване на правилата на ЕС. Тяхното финансово отражение е значително, за което свидетелстват допълнителните нетни средства, предоставени на разположение на бюджета на ЕС (включително плащания, свързани със суми, станали несъбираеми поради зависещи от държавите членки причини, както и плащания, свързани с финансовата отговорност на държавите членки по отношение на грешки, допуснати от националните администрации) в размер на </w:t>
      </w:r>
      <w:r>
        <w:rPr>
          <w:rFonts w:ascii="Times New Roman" w:hAnsi="Times New Roman"/>
          <w:b/>
          <w:noProof/>
          <w:sz w:val="24"/>
        </w:rPr>
        <w:t>около 348 милиона EUR в периода 2013—2015 г</w:t>
      </w:r>
      <w:r>
        <w:rPr>
          <w:rFonts w:ascii="Times New Roman" w:hAnsi="Times New Roman"/>
          <w:noProof/>
          <w:sz w:val="24"/>
        </w:rPr>
        <w:t xml:space="preserve">. Това създава значителни стимули за своевременно и пълно предоставяне на ТСР на разположение на бюджета на ЕС. В допълнение към това проверките допринасят за гарантирането на равно третиране на държавите членки по отношение както на прилагането на митническото и счетоводното законодателство, така и на защитата на финансовите интереси на ЕС, осигурявайки мощен механизъм за противодействие и предотвратяване на причиняващи вреди нарушения на конкуренцията. </w:t>
      </w:r>
    </w:p>
    <w:p>
      <w:pPr>
        <w:jc w:val="both"/>
        <w:rPr>
          <w:rFonts w:ascii="Times New Roman" w:hAnsi="Times New Roman" w:cs="Times New Roman"/>
          <w:noProof/>
          <w:sz w:val="24"/>
          <w:szCs w:val="24"/>
        </w:rPr>
      </w:pPr>
      <w:r>
        <w:rPr>
          <w:rFonts w:ascii="Times New Roman" w:hAnsi="Times New Roman"/>
          <w:noProof/>
          <w:sz w:val="24"/>
        </w:rPr>
        <w:t>От 1 май 2016 г. се прилага ново митническо законодателство</w:t>
      </w:r>
      <w:r>
        <w:rPr>
          <w:rStyle w:val="FootnoteReference"/>
          <w:rFonts w:ascii="Times New Roman" w:hAnsi="Times New Roman"/>
          <w:noProof/>
          <w:sz w:val="24"/>
        </w:rPr>
        <w:footnoteReference w:id="17"/>
      </w:r>
      <w:r>
        <w:rPr>
          <w:rFonts w:ascii="Times New Roman" w:hAnsi="Times New Roman"/>
          <w:noProof/>
          <w:sz w:val="24"/>
        </w:rPr>
        <w:t>, а след ратифициране от държавите членки ще се прилага със задна дата нова законодателна рамка по отношение на собствените ресурси за периода 2014—2020 г., считано от 1 януари 2014 г. И двата законодателни пакета изискват Комисията да продължи своите контролни дейности относно ТСР решително и ефективно.</w:t>
      </w:r>
    </w:p>
    <w:p>
      <w:pPr>
        <w:rPr>
          <w:rFonts w:ascii="Times New Roman" w:hAnsi="Times New Roman" w:cs="Times New Roman"/>
          <w:noProof/>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588" w:right="1440" w:bottom="1701"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7924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right="-46"/>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Член 18, параграф 5 от Регламент № 1150/2000.</w:t>
      </w:r>
    </w:p>
  </w:footnote>
  <w:footnote w:id="2">
    <w:p>
      <w:pPr>
        <w:pStyle w:val="FootnoteText"/>
        <w:spacing w:after="60"/>
        <w:ind w:right="-46"/>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ОВ L 163, 23.6.2007 г., стр. 17.</w:t>
      </w:r>
    </w:p>
  </w:footnote>
  <w:footnote w:id="3">
    <w:p>
      <w:pPr>
        <w:pStyle w:val="FootnoteText"/>
        <w:spacing w:after="60"/>
        <w:ind w:left="142" w:right="-46" w:hanging="142"/>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ОВ L 130, 31.5.2000 г., стр. 1—9, изменен с Регламент № 1377/2014 на Съвета от 18 декември 2014 г. (ОВ L 367, 23.12.2014 г., стр. 14).</w:t>
      </w:r>
    </w:p>
  </w:footnote>
  <w:footnote w:id="4">
    <w:p>
      <w:pPr>
        <w:pStyle w:val="FootnoteText"/>
        <w:spacing w:after="60"/>
        <w:ind w:right="-46"/>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ОВ L 126, 20.5.1999 г., стр. 1.</w:t>
      </w:r>
    </w:p>
  </w:footnote>
  <w:footnote w:id="5">
    <w:p>
      <w:pPr>
        <w:pStyle w:val="FootnoteText"/>
        <w:spacing w:after="60"/>
        <w:ind w:left="142" w:right="-46"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Докладът акцентира върху проверките, проведени от институциите на ЕС (Комисията и Сметната палата). Той не обхваща проведените от държавите членки проверки, подробните резултати от които са представени в годишния доклад, изготвен съгласно член 325 от Договора за функционирането на Европейския съюз.</w:t>
      </w:r>
    </w:p>
  </w:footnote>
  <w:footnote w:id="6">
    <w:p>
      <w:pPr>
        <w:pStyle w:val="FootnoteText"/>
        <w:spacing w:after="60"/>
        <w:ind w:left="142" w:right="-46" w:hanging="142"/>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На заседанието на Европейския съвет на 8 февруари 2013 г. беше постигнато споразумение от 1 януари 2014 г. държавите членки да задържат като разходи по събирането 20 % от събраните суми. Това ще бъде приложено със задна дата след влизането в сила на новото Решение относно собствените ресурси.</w:t>
      </w:r>
    </w:p>
  </w:footnote>
  <w:footnote w:id="7">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Проверки в Дания и Австрия.</w:t>
      </w:r>
    </w:p>
  </w:footnote>
  <w:footnote w:id="8">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В Групата за митническа политика членуват генералните директори на националните митнически администрации.</w:t>
      </w:r>
    </w:p>
  </w:footnote>
  <w:footnote w:id="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Специален доклад № 2 на ЕСП „Добре ли се управляват преференциалните търговски режими?“. </w:t>
      </w:r>
    </w:p>
  </w:footnote>
  <w:footnote w:id="1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Наричана също така счетоводна сметка от раздел Б.</w:t>
      </w:r>
    </w:p>
  </w:footnote>
  <w:footnote w:id="1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Съд на Европейските общности</w:t>
      </w:r>
    </w:p>
  </w:footnote>
  <w:footnote w:id="12">
    <w:p>
      <w:pPr>
        <w:pStyle w:val="FootnoteText"/>
        <w:spacing w:after="60"/>
        <w:ind w:left="142" w:hanging="142"/>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Словения/Комисия, Дело T-585/14; Словакия/Комисия, Дело T-678/14 и Дело T-779/14; Румъния/Комисия, Дело T-784/14; Испания/Комисия, Дело T-841/14.</w:t>
      </w:r>
    </w:p>
  </w:footnote>
  <w:footnote w:id="13">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Румъния/Комисия, Дело C-599/15P; Словакия/Комисия, Дело C-593/15P и Дело C-594/15P.  </w:t>
      </w:r>
    </w:p>
  </w:footnote>
  <w:footnote w:id="14">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Включително случаи, при които държавите членки са поискали повторно разглеждане.</w:t>
      </w:r>
    </w:p>
  </w:footnote>
  <w:footnote w:id="15">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Включително случаи, при които държавите членки са поискали повторно разглеждане.</w:t>
      </w:r>
    </w:p>
  </w:footnote>
  <w:footnote w:id="1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Дело C-392/02.</w:t>
      </w:r>
    </w:p>
  </w:footnote>
  <w:footnote w:id="17">
    <w:p>
      <w:pPr>
        <w:pStyle w:val="FootnoteText"/>
        <w:ind w:left="142"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Регламент (ЕС) № 952/2013 на Европейския парламент и на Съвета от 9 октомври 2013 г. за създаване на Митнически кодекс на Съюза; Делегиран регламент на Комисията (ЕС) 2015/2446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4648"/>
    <w:multiLevelType w:val="hybridMultilevel"/>
    <w:tmpl w:val="D374B906"/>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D0393"/>
    <w:multiLevelType w:val="hybridMultilevel"/>
    <w:tmpl w:val="96C8E932"/>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036625"/>
    <w:multiLevelType w:val="hybridMultilevel"/>
    <w:tmpl w:val="B2A2737C"/>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E460F99BF5F54FAE9AFAD829505540D5"/>
    <w:docVar w:name="LW_CROSSREFERENCE" w:val="&lt;UNUSED&gt;"/>
    <w:docVar w:name="LW_DocType" w:val="NORMAL"/>
    <w:docVar w:name="LW_EMISSION" w:val="5.10.2016"/>
    <w:docVar w:name="LW_EMISSION_ISODATE" w:val="2016-10-0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39"/>
    <w:docVar w:name="LW_REF.INTERNE" w:val="&lt;UNUSED&gt;"/>
    <w:docVar w:name="LW_SOUS.TITRE.OBJ.CP" w:val="&lt;UNUSED&gt;"/>
    <w:docVar w:name="LW_SUPERTITRE" w:val="&lt;UNUSED&gt;"/>
    <w:docVar w:name="LW_TITRE.OBJ.CP" w:val="\u1054?\u1089?\u1084?\u1080? \u1076?\u1086?\u1082?\u1083?\u1072?\u1076? \u1085?\u1072? \u1050?\u1086?\u1084?\u1080?\u1089?\u1080?\u1103?\u1090?\u1072? \u1079?\u1072? \u1092?\u1091?\u1085?\u1082?\u1094?\u1080?\u1086?\u1085?\u1080?\u1088?\u1072?\u1085?\u1077?\u1090?\u1086? \u1085?\u1072? \u1089?\u1080?\u1089?\u1090?\u1077?\u1084?\u1072?\u1090?\u1072? \u1079?\u1072? \u1082?\u1086?\u1085?\u1090?\u1088?\u1086?\u1083? \u1085?\u1072? \u1090?\u1088?\u1072?\u1076?\u1080?\u1094?\u1080?\u1086?\u1085?\u1085?\u1080?\u1090?\u1077? \u1089?\u1086?\u1073?\u1089?\u1090?\u1074?\u1077?\u1085?\u1080? \u1088?\u1077?\u1089?\u1091?\u1088?\u1089?\u1080? (2013\u8211?2015 \u1075?.)  (\u1095?\u1083?\u1077?\u1085? 18, \u1087?\u1072?\u1088?\u1072?\u1075?\u1088?\u1072?\u1092? 5 \u1086?\u1090? \u1056?\u1077?\u1075?\u1083?\u1072?\u1084?\u1077?\u1085?\u1090? (\u1045?\u1054?, \u1045?\u1074?\u1088?\u1072?\u1090?\u1086?\u1084?) \u8470? 1150/2000 \u1085?\u1072? \u1057?\u1098?\u1074?\u1077?\u1090?\u1072? \u1086?\u1090? 22 \u1084?\u1072?\u1081? 2000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eastAsiaTheme="majorEastAsia"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 w:val="24"/>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3B42"/>
    <w:pPr>
      <w:keepNext/>
      <w:keepLines/>
      <w:spacing w:before="480" w:after="0" w:line="240" w:lineRule="auto"/>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B42"/>
    <w:rPr>
      <w:rFonts w:eastAsiaTheme="majorEastAsia" w:cstheme="majorBidi"/>
      <w:b/>
      <w:bCs/>
      <w:sz w:val="24"/>
      <w:szCs w:val="28"/>
    </w:rPr>
  </w:style>
  <w:style w:type="paragraph" w:styleId="FootnoteText">
    <w:name w:val="footnote text"/>
    <w:basedOn w:val="Normal"/>
    <w:link w:val="FootnoteTextChar"/>
    <w:uiPriority w:val="99"/>
    <w:semiHidden/>
    <w:unhideWhenUsed/>
    <w:rsid w:val="00ED17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765"/>
    <w:rPr>
      <w:sz w:val="20"/>
      <w:szCs w:val="20"/>
    </w:rPr>
  </w:style>
  <w:style w:type="character" w:styleId="FootnoteReference">
    <w:name w:val="footnote reference"/>
    <w:uiPriority w:val="99"/>
    <w:semiHidden/>
    <w:unhideWhenUsed/>
    <w:rsid w:val="00ED1765"/>
    <w:rPr>
      <w:shd w:val="clear" w:color="auto" w:fill="auto"/>
      <w:vertAlign w:val="superscript"/>
    </w:rPr>
  </w:style>
  <w:style w:type="paragraph" w:styleId="BalloonText">
    <w:name w:val="Balloon Text"/>
    <w:basedOn w:val="Normal"/>
    <w:link w:val="BalloonTextChar"/>
    <w:uiPriority w:val="99"/>
    <w:semiHidden/>
    <w:unhideWhenUsed/>
    <w:rsid w:val="00F21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D76"/>
    <w:rPr>
      <w:rFonts w:ascii="Tahoma" w:hAnsi="Tahoma" w:cs="Tahoma"/>
      <w:sz w:val="16"/>
      <w:szCs w:val="16"/>
    </w:rPr>
  </w:style>
  <w:style w:type="paragraph" w:styleId="Header">
    <w:name w:val="header"/>
    <w:basedOn w:val="Normal"/>
    <w:link w:val="HeaderChar"/>
    <w:uiPriority w:val="99"/>
    <w:unhideWhenUsed/>
    <w:rsid w:val="00D73D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3D95"/>
  </w:style>
  <w:style w:type="paragraph" w:styleId="Footer">
    <w:name w:val="footer"/>
    <w:basedOn w:val="Normal"/>
    <w:link w:val="FooterChar"/>
    <w:uiPriority w:val="99"/>
    <w:unhideWhenUsed/>
    <w:rsid w:val="00D73D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3D95"/>
  </w:style>
  <w:style w:type="character" w:styleId="CommentReference">
    <w:name w:val="annotation reference"/>
    <w:basedOn w:val="DefaultParagraphFont"/>
    <w:uiPriority w:val="99"/>
    <w:semiHidden/>
    <w:unhideWhenUsed/>
    <w:rsid w:val="00114654"/>
    <w:rPr>
      <w:sz w:val="16"/>
      <w:szCs w:val="16"/>
    </w:rPr>
  </w:style>
  <w:style w:type="paragraph" w:styleId="CommentText">
    <w:name w:val="annotation text"/>
    <w:basedOn w:val="Normal"/>
    <w:link w:val="CommentTextChar"/>
    <w:uiPriority w:val="99"/>
    <w:semiHidden/>
    <w:unhideWhenUsed/>
    <w:rsid w:val="00114654"/>
    <w:pPr>
      <w:spacing w:line="240" w:lineRule="auto"/>
    </w:pPr>
    <w:rPr>
      <w:sz w:val="20"/>
      <w:szCs w:val="20"/>
    </w:rPr>
  </w:style>
  <w:style w:type="character" w:customStyle="1" w:styleId="CommentTextChar">
    <w:name w:val="Comment Text Char"/>
    <w:basedOn w:val="DefaultParagraphFont"/>
    <w:link w:val="CommentText"/>
    <w:uiPriority w:val="99"/>
    <w:semiHidden/>
    <w:rsid w:val="00114654"/>
    <w:rPr>
      <w:sz w:val="20"/>
      <w:szCs w:val="20"/>
    </w:rPr>
  </w:style>
  <w:style w:type="paragraph" w:styleId="CommentSubject">
    <w:name w:val="annotation subject"/>
    <w:basedOn w:val="CommentText"/>
    <w:next w:val="CommentText"/>
    <w:link w:val="CommentSubjectChar"/>
    <w:uiPriority w:val="99"/>
    <w:semiHidden/>
    <w:unhideWhenUsed/>
    <w:rsid w:val="00114654"/>
    <w:rPr>
      <w:b/>
      <w:bCs/>
    </w:rPr>
  </w:style>
  <w:style w:type="character" w:customStyle="1" w:styleId="CommentSubjectChar">
    <w:name w:val="Comment Subject Char"/>
    <w:basedOn w:val="CommentTextChar"/>
    <w:link w:val="CommentSubject"/>
    <w:uiPriority w:val="99"/>
    <w:semiHidden/>
    <w:rsid w:val="00114654"/>
    <w:rPr>
      <w:b/>
      <w:bCs/>
      <w:sz w:val="20"/>
      <w:szCs w:val="20"/>
    </w:rPr>
  </w:style>
  <w:style w:type="paragraph" w:styleId="Revision">
    <w:name w:val="Revision"/>
    <w:hidden/>
    <w:uiPriority w:val="99"/>
    <w:semiHidden/>
    <w:rsid w:val="00BC1293"/>
    <w:pPr>
      <w:spacing w:after="0" w:line="240" w:lineRule="auto"/>
    </w:pPr>
  </w:style>
  <w:style w:type="character" w:customStyle="1" w:styleId="Marker">
    <w:name w:val="Marker"/>
    <w:basedOn w:val="DefaultParagraphFont"/>
    <w:rsid w:val="004D169C"/>
    <w:rPr>
      <w:color w:val="0000FF"/>
      <w:shd w:val="clear" w:color="auto" w:fill="auto"/>
    </w:rPr>
  </w:style>
  <w:style w:type="paragraph" w:customStyle="1" w:styleId="Pagedecouverture">
    <w:name w:val="Page de couverture"/>
    <w:basedOn w:val="Normal"/>
    <w:next w:val="Normal"/>
    <w:rsid w:val="004D169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D169C"/>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fr-BE"/>
    </w:rPr>
  </w:style>
  <w:style w:type="character" w:customStyle="1" w:styleId="FooterCoverPageChar">
    <w:name w:val="Footer Cover Page Char"/>
    <w:basedOn w:val="DefaultParagraphFont"/>
    <w:link w:val="FooterCoverPage"/>
    <w:rsid w:val="004D169C"/>
    <w:rPr>
      <w:rFonts w:ascii="Times New Roman" w:hAnsi="Times New Roman" w:cs="Times New Roman"/>
      <w:sz w:val="24"/>
      <w:szCs w:val="24"/>
      <w:lang w:val="fr-BE"/>
    </w:rPr>
  </w:style>
  <w:style w:type="paragraph" w:customStyle="1" w:styleId="HeaderCoverPage">
    <w:name w:val="Header Cover Page"/>
    <w:basedOn w:val="Normal"/>
    <w:link w:val="HeaderCoverPageChar"/>
    <w:rsid w:val="004D169C"/>
    <w:pPr>
      <w:tabs>
        <w:tab w:val="center" w:pos="4535"/>
        <w:tab w:val="right" w:pos="9071"/>
      </w:tabs>
      <w:spacing w:after="120" w:line="240" w:lineRule="auto"/>
      <w:jc w:val="both"/>
    </w:pPr>
    <w:rPr>
      <w:rFonts w:ascii="Times New Roman" w:hAnsi="Times New Roman" w:cs="Times New Roman"/>
      <w:sz w:val="24"/>
      <w:szCs w:val="24"/>
      <w:lang w:val="fr-BE"/>
    </w:rPr>
  </w:style>
  <w:style w:type="character" w:customStyle="1" w:styleId="HeaderCoverPageChar">
    <w:name w:val="Header Cover Page Char"/>
    <w:basedOn w:val="DefaultParagraphFont"/>
    <w:link w:val="HeaderCoverPage"/>
    <w:rsid w:val="004D169C"/>
    <w:rPr>
      <w:rFonts w:ascii="Times New Roman" w:hAnsi="Times New Roman"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15F0-63B7-476A-992D-FAA88E7A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14</Pages>
  <Words>4422</Words>
  <Characters>26095</Characters>
  <Application>Microsoft Office Word</Application>
  <DocSecurity>0</DocSecurity>
  <Lines>543</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40</cp:revision>
  <cp:lastPrinted>2016-08-01T10:01:00Z</cp:lastPrinted>
  <dcterms:created xsi:type="dcterms:W3CDTF">2016-08-01T07:52:00Z</dcterms:created>
  <dcterms:modified xsi:type="dcterms:W3CDTF">2016-09-28T08:09:00Z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