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CF8DDEFB5A345388FC746FCD2A9BB7C" style="width:450.75pt;height:393.7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С присъединяването на Република Хърватия Европейският съюз разшири своя митнически съюз. Съответно според правилата на Световната търговска организация (СТО) (член XXIV, параграф 6 от ГАТТ от 1994 г.) Европейският съюз трябваше да започне преговори с членовете на СТО, разполагащи с пълномощия за водене на преговори, по списъка на отстъпките на Хърватия, с оглед постигане на компенсираща договореност. Подобна договореност е необходима, ако вследствие на приемането на външния тарифен режим на ЕС митата се увеличат над нивото, за което присъединяващата се държава е поела задължение в рамките на СТО.</w:t>
      </w:r>
    </w:p>
    <w:p>
      <w:pPr>
        <w:rPr>
          <w:noProof/>
        </w:rPr>
      </w:pPr>
      <w:r>
        <w:rPr>
          <w:noProof/>
        </w:rPr>
        <w:t xml:space="preserve">На 15 юли 2013 г. Съветът упълномощи Комисията да започне преговори съгласно член XXIV, параграф 6 от ГАТТ от 1994 г. Комисията проведе преговори с членовете на СТО, които разполагат с пълномощия за преговаряне по отношение на оттеглянето на специфични отстъпки, във връзка с оттеглянето на списъка на Република Хърватия в хода на присъединяването ѝ към Европейския съюз. </w:t>
      </w:r>
    </w:p>
    <w:p>
      <w:pPr>
        <w:rPr>
          <w:rFonts w:eastAsia="Arial Unicode MS"/>
          <w:noProof/>
        </w:rPr>
      </w:pPr>
      <w:r>
        <w:rPr>
          <w:noProof/>
        </w:rPr>
        <w:t>В резултат на преговорите с Федеративна република Бразилия беше изготвен проект на споразумение под формата на размяна на писма, който бе парафиран на 12 юли 2016 г. в Женева (споразумението). Съответно в настоящото предложение се иска от Съвета да приеме решение за сключването на споразумението под формата на размяна на писма с Федеративна република Бразилия. Едновременно с това е представено и отделно предложение за подписването на това споразумение.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Предложението е в съответствие с практиката, към която ЕС се придържаше при предишните си разширявания.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Предложението е съобразено с практиката на ЕС, която е в съответствие с политиката на ЕС в областта на външната дейност и с неговата индустриална и селскостопанска политика.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Член 207 от Договора за функционирането на Европейския съюз (ДФЕС), във връзка с член 218, параграф 6, буква а), подточка v) от ДФЕС, що се отнася до сключването на международни споразумения.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rPr>
          <w:rFonts w:eastAsia="Arial Unicode MS"/>
          <w:b/>
          <w:noProof/>
          <w:u w:color="000000"/>
          <w:bdr w:val="nil"/>
        </w:rPr>
      </w:pPr>
      <w:r>
        <w:rPr>
          <w:noProof/>
        </w:rPr>
        <w:t>Предложението е от изключителната компетентност на Съюза, в съответствие с член 3, параграф 1, буква д) от Договора за функционирането на Европейския съюз. Поради това принципът на субсидиарност не се прилага.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lastRenderedPageBreak/>
        <w:t>•</w:t>
      </w:r>
      <w:r>
        <w:rPr>
          <w:noProof/>
        </w:rPr>
        <w:tab/>
        <w:t>Пропорционалност</w:t>
      </w:r>
    </w:p>
    <w:p>
      <w:pPr>
        <w:rPr>
          <w:rFonts w:eastAsia="Arial Unicode MS"/>
          <w:noProof/>
        </w:rPr>
      </w:pPr>
      <w:r>
        <w:rPr>
          <w:noProof/>
        </w:rPr>
        <w:t>Федеративна република Бразилия беше засегната от оттеглянето на отстъпките на Хърватия. Компенсиращите договорености не надхвърлят правата на Бразилия в това отношение. Предложението е в съответствие с принципа на пропорционалност.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rFonts w:eastAsia="Arial Unicode MS"/>
          <w:noProof/>
        </w:rPr>
      </w:pPr>
      <w:r>
        <w:rPr>
          <w:noProof/>
        </w:rPr>
        <w:t>По силата на член 218, параграф 6, буква а) от ДФЕС се изисква решение на Съвета за сключване на споразумението.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КОНСУЛТАЦИИ СЪС ЗАИНТЕРЕСОВАНИТЕ СТРАНИ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Редовно бяха провеждани консултации със Съвета (комитет „Търговска политика“) във връзка със съдържанието и напредъка по преговорите. Европейският парламент (Комисията по международна търговия) беше уведомен.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Вж. финансовата обосновка.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Планове за изпълнение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настоящото предложение се иска от Съвета да приеме решение за сключването на споразумението под формата на размяна на писма с Федеративна република Бразилия. Едновременно с това е представено и отделно предложение за подписването на това споразумение.</w:t>
      </w:r>
    </w:p>
    <w:p>
      <w:pPr>
        <w:rPr>
          <w:rFonts w:eastAsia="Arial Unicode MS"/>
          <w:noProof/>
        </w:rPr>
      </w:pPr>
      <w:r>
        <w:rPr>
          <w:noProof/>
        </w:rPr>
        <w:t>В резултат на споразумението: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4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rFonts w:eastAsia="Arial Unicode MS"/>
          <w:noProof/>
        </w:rPr>
      </w:pPr>
      <w:r>
        <w:rPr>
          <w:noProof/>
        </w:rPr>
        <w:t>Комисията ще приеме регламенти за изпълнение във връзка с разширяването и управлението на съответните квоти, съгласно член 187, буква а) от Регламента за единната обща организация на пазара (ООП) (Регламент (ЕС) № 1308/2013).</w:t>
      </w:r>
    </w:p>
    <w:p>
      <w:pPr>
        <w:rPr>
          <w:rFonts w:eastAsia="Arial Unicode MS"/>
          <w:noProof/>
        </w:rPr>
      </w:pPr>
      <w:r>
        <w:rPr>
          <w:noProof/>
        </w:rPr>
        <w:t>Тези мерки по прилагането са в процес на изготвяне успоредно с настоящото предложение.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2016/0307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под формата на размяна на писма между Европейския съюз и Федеративна република Бразилия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 207, параграф 4, първа алинея във връзка с член 218, параграф 6, втора алинея, буква а), подточка v) от него,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15 юли 2013 г. Съветът упълномощи Комисията да започне преговори с някои други членове на Световната търговска организация съгласно член XXIV, параграф 6 от Общото споразумение за митата и търговията (ГАТТ) от 1994 г. в процеса на присъединяването на Република Хърватия към Европейския съюз.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проведе преговорите в съответствие с приетите от Съвета указания за водене на преговори.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Преговорите приключиха и на 12 юли 2016 г. бе парафирано Споразумение под формата на размяна на писма между Европейския съюз и Федеративна република Бразилия в съответствие с член XXIV, параграф 6 и член XXVIII от ГАТТ от 1994 г. във връзка с изменението на отстъпките в списъка на Република Хърватия в процеса на присъединяването ѝ към Европейския съюз.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бе подписано от името на Европейския съюз на […] г., при условие че бъде сключено на по-късна дата в съответствие с Решение […]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Споразумението следва да бъде одобрено,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под формата на размяна на писма между Европейския съюз и Федеративна република Бразилия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 се одобрява от името на Съюза.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уведомяването, предвидено в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То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i/>
          <w:noProof/>
        </w:rPr>
      </w:pPr>
      <w:r>
        <w:rPr>
          <w:noProof/>
        </w:rPr>
        <w:t xml:space="preserve">Датата на влизане в сила на споразумението ще бъде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от Генералния секретариат на Съвета.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40" w:code="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pStyle w:val="Fichefinanciretitre"/>
        <w:rPr>
          <w:noProof/>
        </w:rPr>
      </w:pPr>
    </w:p>
    <w:tbl>
      <w:tblPr>
        <w:tblW w:w="0" w:type="auto"/>
        <w:tblInd w:w="-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4155"/>
        <w:gridCol w:w="1559"/>
        <w:gridCol w:w="1134"/>
        <w:gridCol w:w="425"/>
        <w:gridCol w:w="425"/>
        <w:gridCol w:w="1134"/>
      </w:tblGrid>
      <w:tr>
        <w:tc>
          <w:tcPr>
            <w:tcW w:w="7448" w:type="dxa"/>
            <w:gridSpan w:val="4"/>
            <w:tcBorders>
              <w:bottom w:val="nil"/>
            </w:tcBorders>
          </w:tcPr>
          <w:p>
            <w:pPr>
              <w:pStyle w:val="Fichefinanciretitretable"/>
              <w:spacing w:before="240" w:after="0"/>
              <w:rPr>
                <w:noProof/>
              </w:rPr>
            </w:pPr>
            <w:bookmarkStart w:id="1" w:name="_CopyToNewDocument_"/>
            <w:bookmarkEnd w:id="1"/>
            <w:r>
              <w:rPr>
                <w:noProof/>
              </w:rPr>
              <w:t>ФИНАНСОВА ОБОСНОВКА</w:t>
            </w: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after="60"/>
              <w:rPr>
                <w:noProof/>
                <w:highlight w:val="yellow"/>
              </w:rPr>
            </w:pPr>
          </w:p>
        </w:tc>
      </w:tr>
      <w:tr>
        <w:tc>
          <w:tcPr>
            <w:tcW w:w="7448" w:type="dxa"/>
            <w:gridSpan w:val="4"/>
            <w:tcBorders>
              <w:top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before="60" w:after="60"/>
              <w:rPr>
                <w:noProof/>
                <w:highlight w:val="yellow"/>
              </w:rPr>
            </w:pPr>
            <w:r>
              <w:rPr>
                <w:noProof/>
              </w:rPr>
              <w:t xml:space="preserve">ДАТА: 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6848" w:type="dxa"/>
            <w:gridSpan w:val="3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БЮДЖЕТЕН РЕД: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 xml:space="preserve">Глава 12 — Мита и други задължения </w:t>
            </w:r>
          </w:p>
        </w:tc>
        <w:tc>
          <w:tcPr>
            <w:tcW w:w="1984" w:type="dxa"/>
            <w:gridSpan w:val="3"/>
            <w:tcBorders>
              <w:left w:val="nil"/>
            </w:tcBorders>
          </w:tcPr>
          <w:p>
            <w:pPr>
              <w:pStyle w:val="Fichefinanciretextetable"/>
              <w:rPr>
                <w:noProof/>
                <w:highlight w:val="yellow"/>
              </w:rPr>
            </w:pP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НАИМЕНОВАНИЕ:</w:t>
            </w:r>
          </w:p>
          <w:p>
            <w:pPr>
              <w:pStyle w:val="Fichefinanciretextetable"/>
              <w:spacing w:after="60"/>
              <w:ind w:right="136"/>
              <w:rPr>
                <w:bCs/>
                <w:noProof/>
              </w:rPr>
            </w:pPr>
            <w:r>
              <w:rPr>
                <w:noProof/>
              </w:rPr>
              <w:t>Предложение за Решение на Съвета за сключване на Споразумение под формата на размяна на писма между Европейския съюз и Федеративна република Бразилия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ПРАВНО ОСНОВАНИЕ: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>Договор за функционирането на Европейския съюз, и по-специално членове 207 и 218 от него.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ЦЕЛИ:</w:t>
            </w:r>
          </w:p>
          <w:p>
            <w:pPr>
              <w:pStyle w:val="Fichefinanciretextetable"/>
              <w:spacing w:after="60"/>
              <w:ind w:right="136"/>
              <w:jc w:val="both"/>
              <w:rPr>
                <w:noProof/>
              </w:rPr>
            </w:pPr>
            <w:r>
              <w:rPr>
                <w:noProof/>
              </w:rPr>
              <w:t>Да се сключи споразумението под формата на размяна на писма между Европейския съюз и Федеративна република Бразилия.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ФИНАНСОВО ОТРАЖЕНИЕ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ТЕКУЩА ФИНАНСОВА ГОДИНА 2016</w:t>
            </w:r>
            <w:r>
              <w:rPr>
                <w:noProof/>
              </w:rPr>
              <w:br/>
              <w:t>(в милиони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СЛЕДВАЩА ФИНАНСОВА ГОДИНА 2017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милиони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 xml:space="preserve"> ФИНАНСОВА ГОДИНА 2018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милиони евро)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РАЗХОДИ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ЗА СМЕТКА НА БЮДЖЕТА НА ЕС</w:t>
            </w:r>
            <w:r>
              <w:rPr>
                <w:noProof/>
              </w:rPr>
              <w:br/>
              <w:t>(ВЪЗСТАНОВЯВАНИЯ/ИНТЕРВЕНЦИИ)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НА НАЦИОНАЛНИТЕ ОРГАНИ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ДРУГИ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ПРИХОДИ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СОБСТВЕНИ РЕСУРСИ НА ЕС </w:t>
            </w:r>
            <w:r>
              <w:rPr>
                <w:noProof/>
              </w:rPr>
              <w:br/>
              <w:t>(НАЛОЗИ/МИТА)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НАЦИОНАЛНИ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4155" w:type="dxa"/>
            <w:tcBorders>
              <w:left w:val="nil"/>
              <w:bottom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600" w:type="dxa"/>
            <w:tcBorders>
              <w:top w:val="nil"/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5.0.1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РАЗХОДИ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</w:tr>
      <w:tr>
        <w:tc>
          <w:tcPr>
            <w:tcW w:w="600" w:type="dxa"/>
            <w:tcBorders>
              <w:top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5.1.1</w:t>
            </w:r>
          </w:p>
        </w:tc>
        <w:tc>
          <w:tcPr>
            <w:tcW w:w="4155" w:type="dxa"/>
            <w:tcBorders>
              <w:top w:val="nil"/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ПРИХОДИ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МЕТОД НА ИЗЧИСЛЕНИЕ: обеми, умножени по ставката в рамките на квотата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6.0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ОТ БЮДЖЕТНИ КРЕДИТИ, ВПИСАНИ В СЪОТВЕТНАТА ГЛАВА НА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6.1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ЧРЕЗ ПРЕХВЪРЛЯНЕ МЕЖДУ ГЛАВИ ОТ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6.2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 ДОПЪЛНИТЕЛЕН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6.3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НЕОБХОДИМО ВПИСВАНЕТО НА БЮДЖЕТНИ КРЕДИТИ В БЪДЕЩИ БЮДЖЕТИ?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9432" w:type="dxa"/>
            <w:gridSpan w:val="7"/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ЗАБЕЛЕЖКИ:</w:t>
            </w:r>
          </w:p>
          <w:p>
            <w:pPr>
              <w:spacing w:after="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[…], […] г., стр. […].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7389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CE33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1AEAF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E81C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8904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41CBB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626B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A7E1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18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8 13:32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0CF8DDEFB5A345388FC746FCD2A9BB7C"/>
    <w:docVar w:name="LW_CROSSREFERENCE" w:val="&lt;UNUSED&gt;"/>
    <w:docVar w:name="LW_DocType" w:val="COM"/>
    <w:docVar w:name="LW_EMISSION" w:val="3.10.2016"/>
    <w:docVar w:name="LW_EMISSION_ISODATE" w:val="2016-10-03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07"/>
    <w:docVar w:name="LW_REF.II.NEW.CP_YEAR" w:val="2016"/>
    <w:docVar w:name="LW_REF.INST.NEW" w:val="COM"/>
    <w:docVar w:name="LW_REF.INST.NEW_ADOPTED" w:val="final"/>
    <w:docVar w:name="LW_REF.INST.NEW_TEXT" w:val="(2016) 63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60?\u1077?\u1076?\u1077?\u1088?\u1072?\u1090?\u1080?\u1074?\u1085?\u1072? \u1088?\u1077?\u1087?\u1091?\u1073?\u1083?\u1080?\u1082?\u1072? \u1041?\u1088?\u1072?\u1079?\u1080?\u1083?\u1080?\u1103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hefinanciretextetable">
    <w:name w:val="Fiche financière texte (table)"/>
    <w:basedOn w:val="Normal"/>
    <w:pPr>
      <w:spacing w:after="0"/>
      <w:jc w:val="left"/>
    </w:pPr>
    <w:rPr>
      <w:rFonts w:eastAsia="Times New Roman"/>
      <w:sz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hefinanciretextetable">
    <w:name w:val="Fiche financière texte (table)"/>
    <w:basedOn w:val="Normal"/>
    <w:pPr>
      <w:spacing w:after="0"/>
      <w:jc w:val="left"/>
    </w:pPr>
    <w:rPr>
      <w:rFonts w:eastAsia="Times New Roman"/>
      <w:sz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1450</Words>
  <Characters>8120</Characters>
  <Application>Microsoft Office Word</Application>
  <DocSecurity>0</DocSecurity>
  <Lines>246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2016-09-21T16:01:00Z</dcterms:created>
  <dcterms:modified xsi:type="dcterms:W3CDTF">2016-09-28T11:32:00Z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