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6601ECC78CAB4DF7844C43FD15BF7BA2" style="width:450.75pt;height:42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spacing w:after="360"/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</w:rPr>
        <w:lastRenderedPageBreak/>
        <w:t>СПОРАЗУМЕНИЕ ПОД ФОРМАТА НА РАЗМЯНА НА ПИСМА</w:t>
      </w:r>
    </w:p>
    <w:p>
      <w:pPr>
        <w:spacing w:after="360"/>
        <w:rPr>
          <w:b/>
          <w:noProof/>
        </w:rPr>
      </w:pPr>
      <w:r>
        <w:rPr>
          <w:b/>
          <w:noProof/>
        </w:rPr>
        <w:t>между Европейския съюз и Федеративна република Бразилия в съответствие с член XXIV, параграф 6 и член XXVIII от Общото споразумение за митата и търговията (ГАТТ) от 1994 г. във връзка с изменението на отстъпките в списъка на Република Хърватия в процеса на присъединяването ѝ към Европейския съюз</w:t>
      </w:r>
    </w:p>
    <w:p>
      <w:pPr>
        <w:spacing w:after="240"/>
        <w:jc w:val="center"/>
        <w:rPr>
          <w:i/>
          <w:noProof/>
        </w:rPr>
      </w:pPr>
      <w:r>
        <w:rPr>
          <w:i/>
          <w:noProof/>
        </w:rPr>
        <w:t>А. Писмо от Европейския съюз</w:t>
      </w:r>
    </w:p>
    <w:p>
      <w:pPr>
        <w:spacing w:after="360"/>
        <w:rPr>
          <w:noProof/>
        </w:rPr>
      </w:pPr>
      <w:r>
        <w:rPr>
          <w:noProof/>
        </w:rPr>
        <w:t>Уважаема госпожо/Уважаеми господине,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Вследствие на преговорите съгласно член XXIV, параграф 6 и член XXVIII от Общото споразумение за митата и търговията (ГАТТ) от 1994 г. във връзка с изменението на списъка на Република Хърватия в процеса на присъединяването ѝ към Европейския съюз имам честта да предложа следното: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Европейският съюз включва в списъка си за митническата територия на ЕС-28 отстъпките, които се съдържат в списъка на ЕС-27, със следните изменения:</w:t>
      </w:r>
    </w:p>
    <w:p>
      <w:pPr>
        <w:pStyle w:val="Text1"/>
        <w:rPr>
          <w:noProof/>
        </w:rPr>
      </w:pPr>
      <w:r>
        <w:rPr>
          <w:noProof/>
        </w:rPr>
        <w:t xml:space="preserve">добавят се 4766 тона към разпределената за страната (Бразилия) тарифна квота на ЕС „Разфасовки от петли и кокошки, замразени“, тарифни позиции 0207.14.10, 0207.14.50 и 0207.14.70, като се запазва досегашната ставка в рамките на квотата от 0 %. </w:t>
      </w:r>
    </w:p>
    <w:p>
      <w:pPr>
        <w:pStyle w:val="Text1"/>
        <w:rPr>
          <w:noProof/>
        </w:rPr>
      </w:pPr>
      <w:r>
        <w:rPr>
          <w:noProof/>
        </w:rPr>
        <w:t xml:space="preserve">добавят се 610 тона към разпределената за страната (Бразилия) тарифна квота на ЕС „Разфасовки от пуйки, замразени“, тарифни позиции 0207.27.10, 0207.27.20 и 0207.27.80, като се запазва досегашната ставка в рамките на квотата от 0 %. </w:t>
      </w:r>
    </w:p>
    <w:p>
      <w:pPr>
        <w:pStyle w:val="Text1"/>
        <w:rPr>
          <w:noProof/>
        </w:rPr>
      </w:pPr>
      <w:r>
        <w:rPr>
          <w:noProof/>
        </w:rPr>
        <w:t xml:space="preserve">добавят се 36 000 тона към част </w:t>
      </w:r>
      <w:r>
        <w:rPr>
          <w:i/>
          <w:noProof/>
        </w:rPr>
        <w:t>erga omnes</w:t>
      </w:r>
      <w:r>
        <w:rPr>
          <w:noProof/>
        </w:rPr>
        <w:t xml:space="preserve"> на тарифната квота на ЕС „Сурова захар от захарна тръстика, предназначена за рафиниране“, тарифни позиции 1701.13.10 и 1701.14.10, като се запазва досегашната ставка в рамките на квотата от 98 EUR за тон. </w:t>
      </w:r>
    </w:p>
    <w:p>
      <w:pPr>
        <w:pStyle w:val="Text1"/>
        <w:rPr>
          <w:noProof/>
        </w:rPr>
      </w:pPr>
      <w:r>
        <w:rPr>
          <w:noProof/>
        </w:rPr>
        <w:t xml:space="preserve">добавят се 78 000 тона към разпределената за Бразилия тарифна квота на ЕС „Сурова захар от захарна тръстика, предназначена за рафиниране“, тарифни позиции 1701.13.10 и 1701.14.10, като се запазва досегашната ставка в рамките на квотата от 98 EUR за тон. </w:t>
      </w:r>
    </w:p>
    <w:p>
      <w:pPr>
        <w:rPr>
          <w:noProof/>
        </w:rPr>
      </w:pPr>
      <w:r>
        <w:rPr>
          <w:noProof/>
        </w:rPr>
        <w:t>По отношение на обема от 78 000 тона, разпределен за Бразилия в рамките на тарифната квота на ЕС „Сурова захар от захарна тръстика, предназначена за рафиниране“, тарифни позиции 1701.13.10 и 1701.14.10, въпреки задължителната ставка от 98 EUR за тон, ЕС прилага автоматично:</w:t>
      </w:r>
    </w:p>
    <w:p>
      <w:pPr>
        <w:pStyle w:val="Tiret0"/>
        <w:numPr>
          <w:ilvl w:val="0"/>
          <w:numId w:val="1"/>
        </w:numPr>
        <w:rPr>
          <w:noProof/>
        </w:rPr>
      </w:pPr>
      <w:r>
        <w:rPr>
          <w:noProof/>
        </w:rPr>
        <w:t xml:space="preserve">през първите шест години, през които този обем е наличен, ставка в рамките на квотата от не повече от 11 EUR за тон, и </w:t>
      </w:r>
    </w:p>
    <w:p>
      <w:pPr>
        <w:pStyle w:val="Tiret0"/>
        <w:rPr>
          <w:noProof/>
        </w:rPr>
      </w:pPr>
      <w:r>
        <w:rPr>
          <w:noProof/>
        </w:rPr>
        <w:t>през седмата година, през която този обем е наличен, ставка в рамките на квотата от не повече от 54 EUR за тон.</w:t>
      </w:r>
    </w:p>
    <w:p>
      <w:pPr>
        <w:rPr>
          <w:noProof/>
        </w:rPr>
      </w:pPr>
      <w:r>
        <w:rPr>
          <w:noProof/>
        </w:rPr>
        <w:t xml:space="preserve">Европейският съюз и Федеративна република Бразилия се уведомяват взаимно за приключването на вътрешните процедури, необходими за влизането в сила на </w:t>
      </w:r>
      <w:r>
        <w:rPr>
          <w:noProof/>
        </w:rPr>
        <w:lastRenderedPageBreak/>
        <w:t xml:space="preserve">споразумението. Споразумението влиза в сила 14 дни след датата на получаване на последното уведомление. </w:t>
      </w:r>
    </w:p>
    <w:p>
      <w:pPr>
        <w:rPr>
          <w:noProof/>
        </w:rPr>
      </w:pPr>
      <w:r>
        <w:rPr>
          <w:noProof/>
        </w:rPr>
        <w:t>Ще Ви бъда задължен, ако потвърдите дали Вашето правителство е съгласно с гореизложеното. Имам честта да предложа, в случай че гореизложеното е приемливо за Вашето правителство, настоящото писмо и Вашето потвърждение да представляват заедно споразумение под формата на размяна на писма между Европейския съюз и Федеративна република Бразилия.</w:t>
      </w:r>
    </w:p>
    <w:p>
      <w:pPr>
        <w:rPr>
          <w:noProof/>
        </w:rPr>
      </w:pPr>
      <w:r>
        <w:rPr>
          <w:noProof/>
        </w:rPr>
        <w:t>Моля, приемете, уважаема госпожо/уважаеми господине, моите най-дълбоки почитания.</w:t>
      </w:r>
    </w:p>
    <w:p>
      <w:pPr>
        <w:jc w:val="right"/>
        <w:rPr>
          <w:i/>
          <w:noProof/>
        </w:rPr>
      </w:pPr>
      <w:r>
        <w:rPr>
          <w:i/>
          <w:noProof/>
        </w:rPr>
        <w:t>За Европейския съюз</w:t>
      </w:r>
    </w:p>
    <w:p>
      <w:pPr>
        <w:jc w:val="right"/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spacing w:after="240"/>
        <w:jc w:val="center"/>
        <w:rPr>
          <w:i/>
          <w:noProof/>
        </w:rPr>
      </w:pPr>
      <w:r>
        <w:rPr>
          <w:i/>
          <w:noProof/>
        </w:rPr>
        <w:lastRenderedPageBreak/>
        <w:t>Б. Писмо от Федеративна република Бразилия</w:t>
      </w:r>
    </w:p>
    <w:p>
      <w:pPr>
        <w:spacing w:after="360"/>
        <w:rPr>
          <w:noProof/>
        </w:rPr>
      </w:pPr>
      <w:r>
        <w:rPr>
          <w:noProof/>
        </w:rPr>
        <w:t>Уважаема госпожо/Уважаеми господине,</w:t>
      </w:r>
    </w:p>
    <w:p>
      <w:pPr>
        <w:rPr>
          <w:noProof/>
        </w:rPr>
      </w:pPr>
      <w:r>
        <w:rPr>
          <w:noProof/>
        </w:rPr>
        <w:t>Имам честта да потвърдя получаването на Вашето писмо от … със следния текст: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„Вследствие на преговорите съгласно член XXIV, параграф 6 и член XXVIII от Общото споразумение за митата и търговията (ГАТТ) от 1994 г. във връзка с изменението на списъка на Република Хърватия в процеса на присъединяването ѝ към Европейския съюз имам честта да предложа следното: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Европейският съюз включва в списъка си за митническата територия на ЕС-28 отстъпките, които се съдържат в списъка на ЕС-27, със следните изменения:</w:t>
      </w:r>
    </w:p>
    <w:p>
      <w:pPr>
        <w:pStyle w:val="Text1"/>
        <w:rPr>
          <w:noProof/>
        </w:rPr>
      </w:pPr>
      <w:r>
        <w:rPr>
          <w:noProof/>
        </w:rPr>
        <w:t xml:space="preserve">добавят се 4766 тона към разпределената за страната (Бразилия) тарифна квота на ЕС „Разфасовки от петли и кокошки, замразени“, тарифни позиции 0207.14.10, 0207.14.50 и 0207.14.70, като се запазва досегашната ставка в рамките на квотата от 0 %. </w:t>
      </w:r>
    </w:p>
    <w:p>
      <w:pPr>
        <w:pStyle w:val="Text1"/>
        <w:rPr>
          <w:noProof/>
        </w:rPr>
      </w:pPr>
      <w:r>
        <w:rPr>
          <w:noProof/>
        </w:rPr>
        <w:t xml:space="preserve">добавят се 610 тона към разпределената за страната (Бразилия) тарифна квота на ЕС „Разфасовки от пуйки, замразени“, тарифни позиции 0207.27.10, 0207.27.20 и 0207.27.80, като се запазва досегашната ставка в рамките на квотата от 0 %. </w:t>
      </w:r>
    </w:p>
    <w:p>
      <w:pPr>
        <w:pStyle w:val="Text1"/>
        <w:rPr>
          <w:noProof/>
        </w:rPr>
      </w:pPr>
      <w:r>
        <w:rPr>
          <w:noProof/>
        </w:rPr>
        <w:t xml:space="preserve">добавят се 36 000 тона към част </w:t>
      </w:r>
      <w:r>
        <w:rPr>
          <w:i/>
          <w:noProof/>
        </w:rPr>
        <w:t>erga omnes</w:t>
      </w:r>
      <w:r>
        <w:rPr>
          <w:noProof/>
        </w:rPr>
        <w:t xml:space="preserve"> на тарифната квота на ЕС „Сурова захар от захарна тръстика, предназначена за рафиниране“, тарифни позиции 1701.13.10 и 1701.14.10, като се запазва досегашната ставка в рамките на квотата от 98 EUR за тон. </w:t>
      </w:r>
    </w:p>
    <w:p>
      <w:pPr>
        <w:pStyle w:val="Text1"/>
        <w:rPr>
          <w:noProof/>
        </w:rPr>
      </w:pPr>
      <w:r>
        <w:rPr>
          <w:noProof/>
        </w:rPr>
        <w:t xml:space="preserve">добавят се 78 000 тона към разпределената за Бразилия тарифна квота на ЕС „Сурова захар от захарна тръстика, предназначена за рафиниране“, тарифни позиции 1701.13.10 и 1701.14.10, като се запазва досегашната ставка в рамките на квотата от 98 EUR за тон. </w:t>
      </w:r>
    </w:p>
    <w:p>
      <w:pPr>
        <w:rPr>
          <w:noProof/>
        </w:rPr>
      </w:pPr>
      <w:r>
        <w:rPr>
          <w:noProof/>
        </w:rPr>
        <w:t>По отношение на обема от 78 000 тона, разпределен за Бразилия в рамките на тарифната квота на ЕС „Сурова захар от захарна тръстика, предназначена за рафиниране“, тарифни позиции 1701.13.10 и 1701.14.10, въпреки задължителната ставка от 98 EUR за тон, ЕС прилага автоматично:</w:t>
      </w:r>
    </w:p>
    <w:p>
      <w:pPr>
        <w:pStyle w:val="Tiret0"/>
        <w:numPr>
          <w:ilvl w:val="0"/>
          <w:numId w:val="1"/>
        </w:numPr>
        <w:rPr>
          <w:noProof/>
        </w:rPr>
      </w:pPr>
      <w:r>
        <w:rPr>
          <w:noProof/>
        </w:rPr>
        <w:t xml:space="preserve">през първите шест години, през които този обем е наличен, ставка в рамките на квотата от не повече от 11 EUR за тон, и </w:t>
      </w:r>
    </w:p>
    <w:p>
      <w:pPr>
        <w:pStyle w:val="Tiret0"/>
        <w:rPr>
          <w:noProof/>
        </w:rPr>
      </w:pPr>
      <w:r>
        <w:rPr>
          <w:noProof/>
        </w:rPr>
        <w:t>през седмата година, през която този обем е наличен, ставка в рамките на квотата от не повече от 54 EUR за тон.</w:t>
      </w:r>
    </w:p>
    <w:p>
      <w:pPr>
        <w:rPr>
          <w:noProof/>
        </w:rPr>
      </w:pPr>
      <w:r>
        <w:rPr>
          <w:noProof/>
        </w:rPr>
        <w:t xml:space="preserve">Европейският съюз и Федеративна република Бразилия се уведомяват взаимно за приключването на вътрешните процедури, необходими за влизането в сила на споразумението. Споразумението влиза в сила 14 дни след датата на получаване на последното уведомление. </w:t>
      </w:r>
    </w:p>
    <w:p>
      <w:pPr>
        <w:rPr>
          <w:noProof/>
        </w:rPr>
      </w:pPr>
      <w:r>
        <w:rPr>
          <w:noProof/>
        </w:rPr>
        <w:t>Ще Ви бъда задължен, ако потвърдите дали Вашето правителство е съгласно с гореизложеното. Имам честта да предложа, в случай че гореизложеното е приемливо за Вашето правителство, настоящото писмо и Вашето потвърждение да представляват заедно споразумение под формата на размяна на писма между Европейския съюз и Федеративна република Бразилия“</w:t>
      </w:r>
    </w:p>
    <w:p>
      <w:pPr>
        <w:rPr>
          <w:noProof/>
        </w:rPr>
      </w:pPr>
      <w:r>
        <w:rPr>
          <w:noProof/>
        </w:rPr>
        <w:lastRenderedPageBreak/>
        <w:t>Моля, приемете, уважаема госпожо/уважаеми господине, моите най-дълбоки почитания.</w:t>
      </w:r>
    </w:p>
    <w:p>
      <w:pPr>
        <w:jc w:val="right"/>
        <w:rPr>
          <w:noProof/>
        </w:rPr>
      </w:pPr>
      <w:r>
        <w:rPr>
          <w:i/>
          <w:noProof/>
        </w:rPr>
        <w:t>За Федеративна република Бразилия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7BC31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E4CCC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D0400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5DAC2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8A8CB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55C65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3CE71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B6C50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9-28 13:32:2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6601ECC78CAB4DF7844C43FD15BF7BA2"/>
    <w:docVar w:name="LW_CROSSREFERENCE" w:val="&lt;UNUSED&gt;"/>
    <w:docVar w:name="LW_DocType" w:val="ANNEX"/>
    <w:docVar w:name="LW_EMISSION" w:val="3.10.2016"/>
    <w:docVar w:name="LW_EMISSION_ISODATE" w:val="2016-10-03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9?\u1082?\u1083?\u1102?\u1095?\u1074?\u1072?\u1085?\u1077? \u1085?\u1072? \u1057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60?\u1077?\u1076?\u1077?\u1088?\u1072?\u1090?\u1080?\u1074?\u1085?\u1072? \u1088?\u1077?\u1087?\u1091?\u1073?\u1083?\u1080?\u1082?\u1072? \u1041?\u1088?\u1072?\u1079?\u1080?\u1083?\u1080?\u1103? \u1074? \u1089?\u1098?\u1086?\u1090?\u1074?\u1077?\u1090?\u1089?\u1090?\u1074?\u1080?\u1077? \u1089? \u1095?\u1083?\u1077?\u1085? XXIV, \u1087?\u1072?\u1088?\u1072?\u1075?\u1088?\u1072?\u1092? 6 \u1080? \u1095?\u1083?\u1077?\u1085? XXVIII \u1086?\u1090? \u1054?\u1073?\u1097?\u1086?\u1090?\u1086? \u1089?\u1087?\u1086?\u1088?\u1072?\u1079?\u1091?\u1084?\u1077?\u1085?\u1080?\u1077? \u1079?\u1072? \u1084?\u1080?\u1090?\u1072?\u1090?\u1072? \u1080? \u1090?\u1098?\u1088?\u1075?\u1086?\u1074?\u1080?\u1103?\u1090?\u1072? (\u1043?\u1040?\u1058?\u1058?) \u1086?\u1090? 1994 \u1075?. \u1074?\u1098?\u1074? \u1074?\u1088?\u1098?\u1079?\u1082?\u1072? \u1089? \u1080?\u1079?\u1084?\u1077?\u1085?\u1077?\u1085?\u1080?\u1077?\u1090?\u1086? \u1085?\u1072? \u1086?\u1090?\u1089?\u1090?\u1098?\u1087?\u1082?\u1080?\u1090?\u1077? \u1074? \u1089?\u1087?\u1080?\u1089?\u1098?\u1082?\u1072? \u1085?\u1072? \u1056?\u1077?\u1087?\u1091?\u1073?\u1083?\u1080?\u1082?\u1072? \u1061?\u1098?\u1088?\u1074?\u1072?\u1090?\u1080?\u1103? \u1074? \u1087?\u1088?\u1086?\u1094?\u1077?\u1089?\u1072? \u1085?\u1072? \u1087?\u1088?\u1080?\u1089?\u1098?\u1077?\u1076?\u1080?\u1085?\u1103?\u1074?\u1072?\u1085?\u1077?\u1090?\u1086? \u1117? \u1082?\u1098?\u1084? \u1045?\u1074?\u1088?\u1086?\u1087?\u1077?\u1081?\u1089?\u1082?\u1080?\u1103? \u1089?\u1098?\u1102?\u1079?"/>
    <w:docVar w:name="LW_PART_NBR" w:val="1"/>
    <w:docVar w:name="LW_PART_NBR_TOTAL" w:val="1"/>
    <w:docVar w:name="LW_REF.INST.NEW" w:val="COM"/>
    <w:docVar w:name="LW_REF.INST.NEW_ADOPTED" w:val="final"/>
    <w:docVar w:name="LW_REF.INST.NEW_TEXT" w:val="(2016) 63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5</Pages>
  <Words>886</Words>
  <Characters>4932</Characters>
  <Application>Microsoft Office Word</Application>
  <DocSecurity>0</DocSecurity>
  <Lines>98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dcterms:created xsi:type="dcterms:W3CDTF">2016-09-21T16:02:00Z</dcterms:created>
  <dcterms:modified xsi:type="dcterms:W3CDTF">2016-09-28T11:32:00Z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