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FB92DC546324046AB6365FFCF8512F8" style="width:450.7pt;height:406.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Bullet0"/>
        <w:numPr>
          <w:ilvl w:val="0"/>
          <w:numId w:val="10"/>
        </w:numPr>
        <w:rPr>
          <w:b/>
          <w:noProof/>
        </w:rPr>
      </w:pPr>
      <w:r>
        <w:rPr>
          <w:b/>
          <w:noProof/>
        </w:rPr>
        <w:t>Основания и цели на предложението</w:t>
      </w:r>
    </w:p>
    <w:p>
      <w:pPr>
        <w:rPr>
          <w:noProof/>
          <w:color w:val="000000"/>
          <w:szCs w:val="20"/>
        </w:rPr>
      </w:pPr>
      <w:r>
        <w:rPr>
          <w:noProof/>
          <w:color w:val="000000"/>
        </w:rPr>
        <w:t>С приложеното предложение за решение на Съвета се определя позицията на Съюза:</w:t>
      </w:r>
    </w:p>
    <w:p>
      <w:pPr>
        <w:pStyle w:val="Point0"/>
        <w:rPr>
          <w:noProof/>
        </w:rPr>
      </w:pPr>
      <w:r>
        <w:rPr>
          <w:noProof/>
        </w:rPr>
        <w:t>1.</w:t>
      </w:r>
      <w:r>
        <w:rPr>
          <w:noProof/>
        </w:rPr>
        <w:tab/>
        <w:t>във връзка с решение на Комитета за асоцииране в състав „Търговия“, създаден по силата на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(„споразумението“), относно актуализирането на приложения XXI-A — XXI-П (във връзка с глава 8 относно обществените поръчки) към споразумението;</w:t>
      </w:r>
    </w:p>
    <w:p>
      <w:pPr>
        <w:pStyle w:val="Point0"/>
        <w:rPr>
          <w:noProof/>
        </w:rPr>
      </w:pPr>
      <w:r>
        <w:rPr>
          <w:noProof/>
        </w:rPr>
        <w:t>2.</w:t>
      </w:r>
      <w:r>
        <w:rPr>
          <w:noProof/>
        </w:rPr>
        <w:tab/>
        <w:t xml:space="preserve">за даване на положително становище от Комитета за асоцииране в състав „Търговия“ по подробната пътна карта, представена от Украйна, във връзка с изпълнението на споразумението в областта на обществените поръчки. </w:t>
      </w:r>
    </w:p>
    <w:p>
      <w:pPr>
        <w:rPr>
          <w:noProof/>
          <w:color w:val="000000"/>
          <w:szCs w:val="20"/>
        </w:rPr>
      </w:pPr>
      <w:r>
        <w:rPr>
          <w:noProof/>
          <w:color w:val="000000"/>
        </w:rPr>
        <w:t xml:space="preserve">Споразумението беше подписано на 27 юни 2014 г. и дял IV „ТЪРГОВИЯ И СВЪРЗАНИ С ТЪРГОВИЯТА ВЪПРОСИ“ (обхващащ разпоредбите за задълбочена и всеобхватна зона за свободна търговия), се прилага временно, считано от 1 януари 2016 г. Актуализирането на посочените по-горе приложения е необходимо с цел да се отрази развитието в достиженията на правото на Съюза в областта на обществените поръчки след парафирането на споразумението на 30 март 2012 г. Предложението е в съответствие със задълженията на страните, посочени в член 463 от споразумението. </w:t>
      </w:r>
    </w:p>
    <w:p>
      <w:pPr>
        <w:rPr>
          <w:noProof/>
          <w:color w:val="000000"/>
          <w:szCs w:val="20"/>
        </w:rPr>
      </w:pPr>
      <w:r>
        <w:rPr>
          <w:noProof/>
          <w:color w:val="000000"/>
        </w:rPr>
        <w:t>Положителното становище от Комитета за асоцииране в състав „Търговия“ по пътната карта е необходимо, за да може Украйна да оптимизира законодателното сближаване в областта на обществените поръчки, както е предвидено в член 152 от споразумението. Тази стъпка е неразделна част от процеса на прилагането на споразумението.</w:t>
      </w:r>
    </w:p>
    <w:p>
      <w:pPr>
        <w:pStyle w:val="ListBullet"/>
        <w:tabs>
          <w:tab w:val="clear" w:pos="360"/>
          <w:tab w:val="num" w:pos="840"/>
        </w:tabs>
        <w:rPr>
          <w:b/>
          <w:noProof/>
          <w:color w:val="000000"/>
          <w:szCs w:val="20"/>
        </w:rPr>
      </w:pPr>
      <w:r>
        <w:rPr>
          <w:b/>
          <w:noProof/>
          <w:color w:val="000000"/>
        </w:rPr>
        <w:t>Съгласуваност със съществуващите разпоредби в тази област на политиката</w:t>
      </w:r>
    </w:p>
    <w:p>
      <w:pPr>
        <w:rPr>
          <w:b/>
          <w:noProof/>
          <w:color w:val="000000"/>
          <w:szCs w:val="20"/>
        </w:rPr>
      </w:pPr>
      <w:r>
        <w:rPr>
          <w:noProof/>
          <w:color w:val="000000"/>
        </w:rPr>
        <w:t xml:space="preserve">Настоящото предложение е в изпълнение на общата търговска политика на Съюза по отношение на Украйна като страна партньор в рамките на Европейската политика за съседство и Източното партньорство, основаваща се на разпоредбите на горепосоченото споразумение и в частност — целта му за създаване на зона за свободна търговия и на условия за икономическа интеграция между страните по него. </w:t>
      </w:r>
    </w:p>
    <w:p>
      <w:pPr>
        <w:pStyle w:val="ListBullet"/>
        <w:tabs>
          <w:tab w:val="clear" w:pos="360"/>
          <w:tab w:val="num" w:pos="840"/>
        </w:tabs>
        <w:rPr>
          <w:b/>
          <w:noProof/>
        </w:rPr>
      </w:pPr>
      <w:r>
        <w:rPr>
          <w:b/>
          <w:noProof/>
        </w:rPr>
        <w:t>Съгласуваност с другите политики на Съюза</w:t>
      </w:r>
    </w:p>
    <w:p>
      <w:pPr>
        <w:rPr>
          <w:noProof/>
          <w:color w:val="000000"/>
          <w:szCs w:val="20"/>
        </w:rPr>
      </w:pPr>
      <w:r>
        <w:rPr>
          <w:noProof/>
          <w:color w:val="000000"/>
        </w:rPr>
        <w:t>Настоящото предложение е в духа на другите външни политики на Съюза и същевременно допринася за тяхното осъществяване, особено що се отнася до Европейската политика на съседство и политиката на сътрудничество за развитие по отношение на Украйна.</w:t>
      </w:r>
    </w:p>
    <w:p>
      <w:pPr>
        <w:pStyle w:val="ManualHeading1"/>
        <w:rPr>
          <w:smallCaps w:val="0"/>
          <w:noProof/>
        </w:rPr>
      </w:pPr>
      <w:r>
        <w:rPr>
          <w:noProof/>
        </w:rPr>
        <w:t>2.</w:t>
      </w:r>
      <w:r>
        <w:rPr>
          <w:noProof/>
        </w:rPr>
        <w:tab/>
        <w:t>ПРАВНО ОСНОВАНИЕ, СУБСИДИАРНОСТ И ПРОПОРЦИОНАЛНОСТ</w:t>
      </w:r>
    </w:p>
    <w:p>
      <w:pPr>
        <w:pStyle w:val="Bullet0"/>
        <w:rPr>
          <w:b/>
          <w:noProof/>
          <w:color w:val="000000"/>
          <w:szCs w:val="20"/>
        </w:rPr>
      </w:pPr>
      <w:r>
        <w:rPr>
          <w:b/>
          <w:noProof/>
          <w:color w:val="000000"/>
        </w:rPr>
        <w:t>Правно основание</w:t>
      </w:r>
    </w:p>
    <w:p>
      <w:pPr>
        <w:autoSpaceDE w:val="0"/>
        <w:autoSpaceDN w:val="0"/>
        <w:adjustRightInd w:val="0"/>
        <w:rPr>
          <w:noProof/>
          <w:color w:val="000000"/>
          <w:szCs w:val="20"/>
        </w:rPr>
      </w:pPr>
      <w:r>
        <w:rPr>
          <w:noProof/>
        </w:rPr>
        <w:t xml:space="preserve">Правното основание за определяне на позицията, която Съюзът да заеме в рамките на създадените със споразумението комитети, е Договорът за функционирането на </w:t>
      </w:r>
      <w:r>
        <w:rPr>
          <w:noProof/>
        </w:rPr>
        <w:lastRenderedPageBreak/>
        <w:t>Европейския съюз (ДФЕС), и по-специално член 207, параграф 4, във връзка с член 218, параграф 9 от него.</w:t>
      </w:r>
      <w:r>
        <w:rPr>
          <w:noProof/>
          <w:color w:val="000000"/>
        </w:rPr>
        <w:t xml:space="preserve"> </w:t>
      </w:r>
    </w:p>
    <w:p>
      <w:pPr>
        <w:pStyle w:val="Bullet0"/>
        <w:rPr>
          <w:b/>
          <w:noProof/>
        </w:rPr>
      </w:pPr>
      <w:r>
        <w:rPr>
          <w:b/>
          <w:noProof/>
        </w:rPr>
        <w:t>Субсидиарност (при неизключителна компетентност)</w:t>
      </w:r>
    </w:p>
    <w:p>
      <w:pPr>
        <w:rPr>
          <w:noProof/>
        </w:rPr>
      </w:pPr>
      <w:r>
        <w:rPr>
          <w:noProof/>
        </w:rPr>
        <w:t>В съответствие с член 3 от ДФЕС общата търговска политика е от изключителната компетентност на Съюза. Поради това принципът на субсидиарност не се прилага.</w:t>
      </w:r>
    </w:p>
    <w:p>
      <w:pPr>
        <w:pStyle w:val="Bullet0"/>
        <w:rPr>
          <w:noProof/>
        </w:rPr>
      </w:pPr>
      <w:r>
        <w:rPr>
          <w:b/>
          <w:noProof/>
          <w:u w:color="000000"/>
          <w:bdr w:val="nil"/>
        </w:rPr>
        <w:t>Пропорционалност</w:t>
      </w:r>
    </w:p>
    <w:p>
      <w:pPr>
        <w:rPr>
          <w:noProof/>
        </w:rPr>
      </w:pPr>
      <w:r>
        <w:rPr>
          <w:noProof/>
        </w:rPr>
        <w:t xml:space="preserve">Настоящото предложение е необходимо за изпълнение на международните ангажименти на Съюза, залегнали в споразумението с Украйна. </w:t>
      </w:r>
    </w:p>
    <w:p>
      <w:pPr>
        <w:pStyle w:val="Bullet0"/>
        <w:rPr>
          <w:b/>
          <w:noProof/>
        </w:rPr>
      </w:pPr>
      <w:r>
        <w:rPr>
          <w:b/>
          <w:noProof/>
        </w:rPr>
        <w:t>Избор на инструмент</w:t>
      </w:r>
    </w:p>
    <w:p>
      <w:pPr>
        <w:rPr>
          <w:noProof/>
        </w:rPr>
      </w:pPr>
      <w:r>
        <w:rPr>
          <w:noProof/>
        </w:rPr>
        <w:t xml:space="preserve">Настоящото предложение е в съответствие с член 218, параграф 9 от ДФЕС, който предвижда приемането на решения от Съвета в подобни случаи. Не съществува друг правен инструмент, който да може да бъде използван за постигане на целта, изложена в настоящото предложение. </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Bullet0"/>
        <w:rPr>
          <w:b/>
          <w:noProof/>
          <w:u w:color="000000"/>
          <w:bdr w:val="nil"/>
        </w:rPr>
      </w:pPr>
      <w:r>
        <w:rPr>
          <w:b/>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Bullet0"/>
        <w:rPr>
          <w:rFonts w:eastAsia="Arial Unicode MS"/>
          <w:b/>
          <w:noProof/>
          <w:u w:color="000000"/>
          <w:bdr w:val="nil"/>
        </w:rPr>
      </w:pPr>
      <w:r>
        <w:rPr>
          <w:b/>
          <w:noProof/>
          <w:u w:color="000000"/>
          <w:bdr w:val="nil"/>
        </w:rPr>
        <w:t>Консултации със заинтересованите страни</w:t>
      </w:r>
    </w:p>
    <w:p>
      <w:pPr>
        <w:keepNext/>
        <w:tabs>
          <w:tab w:val="left" w:pos="850"/>
        </w:tabs>
        <w:outlineLvl w:val="1"/>
        <w:rPr>
          <w:noProof/>
          <w:color w:val="000000"/>
          <w:szCs w:val="20"/>
        </w:rPr>
      </w:pPr>
      <w:r>
        <w:rPr>
          <w:noProof/>
          <w:color w:val="000000"/>
        </w:rPr>
        <w:t>Провеждането на консултации със заинтересованите страни не е приложимо за настоящото предложение, тъй като то цели само да се актуализират позоваванията на достиженията на правото на Съюза, вече включени в списъка за сближаване в споразумението от страна на Украйна.</w:t>
      </w:r>
    </w:p>
    <w:p>
      <w:pPr>
        <w:pStyle w:val="Bullet0"/>
        <w:rPr>
          <w:rFonts w:eastAsia="Arial Unicode MS"/>
          <w:b/>
          <w:noProof/>
          <w:u w:color="000000"/>
          <w:bdr w:val="nil"/>
        </w:rPr>
      </w:pPr>
      <w:r>
        <w:rPr>
          <w:b/>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Bullet0"/>
        <w:rPr>
          <w:rFonts w:eastAsia="Arial Unicode MS"/>
          <w:b/>
          <w:noProof/>
          <w:u w:color="000000"/>
          <w:bdr w:val="nil"/>
        </w:rPr>
      </w:pPr>
      <w:r>
        <w:rPr>
          <w:b/>
          <w:noProof/>
          <w:u w:color="000000"/>
          <w:bdr w:val="nil"/>
        </w:rPr>
        <w:t>Оценка на въздействието</w:t>
      </w:r>
    </w:p>
    <w:p>
      <w:pPr>
        <w:keepNext/>
        <w:tabs>
          <w:tab w:val="left" w:pos="850"/>
        </w:tabs>
        <w:outlineLvl w:val="1"/>
        <w:rPr>
          <w:noProof/>
        </w:rPr>
      </w:pPr>
      <w:r>
        <w:rPr>
          <w:noProof/>
        </w:rPr>
        <w:t>Извършена бе предварителна оценка на въздействието на търговските и свързаните с търговията разпоредби на споразумението (оценката на въздействието на търговията върху устойчивото развитие от 2007 г., поръчана от ГД „Търговия“), като това допринесе за напредъка по преговорите относно ЗВЗСТ. При посоченото проучване бе потвърдено, че изпълнението на търговските и свързаните с търговията разпоредби ще има благоприятно икономическо въздействие както за ЕС, така и за Украйна. Предложението няма отрицателно отражение върху икономическата, социалната и екологичната политика на Съюза.</w:t>
      </w:r>
    </w:p>
    <w:p>
      <w:pPr>
        <w:pStyle w:val="Bullet0"/>
        <w:numPr>
          <w:ilvl w:val="0"/>
          <w:numId w:val="11"/>
        </w:numPr>
        <w:rPr>
          <w:rFonts w:eastAsia="Arial Unicode MS"/>
          <w:b/>
          <w:noProof/>
          <w:u w:color="000000"/>
          <w:bdr w:val="nil"/>
        </w:rPr>
      </w:pPr>
      <w:r>
        <w:rPr>
          <w:b/>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 xml:space="preserve">На този етап споразумението не е предмет на процедури по програмата REFIT; то не предполага никакви разходи за МСП в Съюза и не поражда проблеми от гледна точка на цифровата среда. </w:t>
      </w:r>
    </w:p>
    <w:p>
      <w:pPr>
        <w:pStyle w:val="Bullet0"/>
        <w:rPr>
          <w:rFonts w:eastAsia="Arial Unicode MS"/>
          <w:b/>
          <w:noProof/>
          <w:u w:color="000000"/>
          <w:bdr w:val="nil"/>
        </w:rPr>
      </w:pPr>
      <w:r>
        <w:rPr>
          <w:b/>
          <w:noProof/>
          <w:u w:color="000000"/>
          <w:bdr w:val="nil"/>
        </w:rPr>
        <w:lastRenderedPageBreak/>
        <w:t>Основни права</w:t>
      </w:r>
    </w:p>
    <w:p>
      <w:pPr>
        <w:keepNext/>
        <w:tabs>
          <w:tab w:val="left" w:pos="850"/>
        </w:tabs>
        <w:outlineLvl w:val="1"/>
        <w:rPr>
          <w:rFonts w:eastAsia="Arial Unicode MS"/>
          <w:noProof/>
          <w:u w:color="000000"/>
          <w:bdr w:val="nil"/>
        </w:rPr>
      </w:pPr>
      <w:r>
        <w:rPr>
          <w:noProof/>
        </w:rPr>
        <w:t xml:space="preserve">Предложението няма последствия за защитата на основните права в Съюза. </w:t>
      </w:r>
    </w:p>
    <w:p>
      <w:pPr>
        <w:pStyle w:val="ManualHeading1"/>
        <w:rPr>
          <w:smallCaps w:val="0"/>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smallCaps w:val="0"/>
          <w:noProof/>
        </w:rPr>
      </w:pPr>
      <w:r>
        <w:rPr>
          <w:noProof/>
        </w:rPr>
        <w:t>5.</w:t>
      </w:r>
      <w:r>
        <w:rPr>
          <w:noProof/>
        </w:rPr>
        <w:tab/>
        <w:t>ДРУГИ ЕЛЕМЕНТИ</w:t>
      </w:r>
    </w:p>
    <w:p>
      <w:pPr>
        <w:keepNext/>
        <w:tabs>
          <w:tab w:val="left" w:pos="850"/>
        </w:tabs>
        <w:outlineLvl w:val="1"/>
        <w:rPr>
          <w:rFonts w:eastAsia="Arial Unicode MS"/>
          <w:b/>
          <w:noProof/>
          <w:u w:color="000000"/>
          <w:bdr w:val="nil"/>
        </w:rPr>
      </w:pPr>
      <w:r>
        <w:rPr>
          <w:b/>
          <w:noProof/>
          <w:u w:color="000000"/>
          <w:bdr w:val="nil"/>
        </w:rPr>
        <w:t>•</w:t>
      </w:r>
      <w:r>
        <w:rPr>
          <w:noProof/>
        </w:rPr>
        <w:tab/>
      </w:r>
      <w:r>
        <w:rPr>
          <w:b/>
          <w:noProof/>
          <w:u w:color="000000"/>
          <w:bdr w:val="nil"/>
        </w:rPr>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Изпълнението на споразумението подлежи на редовен преглед от страна на Съвета за асоцииране ЕС — Украйна и на подчинените на него органи, създадени по силата на същото споразумение. Европейската комисия също така докладва на Европейския парламент и на Съвета след заседанията на комитета за асоцииране ЕС — Украйна в състав „Търговия“, които се провеждат поне веднъж годишно, включително относно елементите, включени в настоящото предложение.</w:t>
      </w:r>
    </w:p>
    <w:p>
      <w:pPr>
        <w:pStyle w:val="Bullet0"/>
        <w:rPr>
          <w:rFonts w:eastAsia="Arial Unicode MS"/>
          <w:b/>
          <w:noProof/>
          <w:u w:color="000000"/>
          <w:bdr w:val="nil"/>
        </w:rPr>
      </w:pPr>
      <w:r>
        <w:rPr>
          <w:b/>
          <w:noProof/>
          <w:u w:color="000000"/>
          <w:bdr w:val="nil"/>
        </w:rPr>
        <w:t>Обяснителни документи (за директивите)</w:t>
      </w:r>
    </w:p>
    <w:p>
      <w:pPr>
        <w:pBdr>
          <w:top w:val="nil"/>
          <w:left w:val="nil"/>
          <w:bottom w:val="nil"/>
          <w:right w:val="nil"/>
          <w:between w:val="nil"/>
          <w:bar w:val="nil"/>
        </w:pBdr>
        <w:spacing w:before="0" w:after="240"/>
        <w:rPr>
          <w:noProof/>
        </w:rPr>
      </w:pPr>
      <w:r>
        <w:rPr>
          <w:noProof/>
        </w:rPr>
        <w:t>Не е приложимо.</w:t>
      </w:r>
    </w:p>
    <w:p>
      <w:pPr>
        <w:pStyle w:val="Bullet0"/>
        <w:rPr>
          <w:rFonts w:eastAsia="Arial Unicode MS"/>
          <w:b/>
          <w:noProof/>
          <w:u w:color="000000"/>
          <w:bdr w:val="nil"/>
        </w:rPr>
      </w:pPr>
      <w:r>
        <w:rPr>
          <w:b/>
          <w:noProof/>
          <w:u w:color="000000"/>
          <w:bdr w:val="nil"/>
        </w:rPr>
        <w:t>Подробно разяснение на конкретните разпоредби на предложението</w:t>
      </w:r>
    </w:p>
    <w:p>
      <w:pPr>
        <w:pBdr>
          <w:top w:val="nil"/>
          <w:left w:val="nil"/>
          <w:bottom w:val="nil"/>
          <w:right w:val="nil"/>
          <w:between w:val="nil"/>
          <w:bar w:val="nil"/>
        </w:pBdr>
        <w:spacing w:before="0" w:after="240"/>
        <w:rPr>
          <w:noProof/>
          <w:color w:val="000000"/>
          <w:szCs w:val="20"/>
        </w:rPr>
      </w:pPr>
      <w:r>
        <w:rPr>
          <w:noProof/>
          <w:color w:val="000000"/>
        </w:rPr>
        <w:t xml:space="preserve">Целта на предложението е да се приеме позиция на Съюза във връзка със: </w:t>
      </w:r>
    </w:p>
    <w:p>
      <w:pPr>
        <w:pStyle w:val="Point0"/>
        <w:rPr>
          <w:noProof/>
        </w:rPr>
      </w:pPr>
      <w:r>
        <w:rPr>
          <w:noProof/>
          <w:color w:val="000000"/>
        </w:rPr>
        <w:t>1.</w:t>
      </w:r>
      <w:r>
        <w:rPr>
          <w:noProof/>
        </w:rPr>
        <w:tab/>
        <w:t>актуализирането на приложение XXI към споразумението. Приложение XХI към споразумението съдържа списъка на достиженията на правото на Съюза, с които Украйна възнамерява да сближи националното си законодателство в областта на обществените поръчки (дял ІV, глава 8 от споразумението);</w:t>
      </w:r>
    </w:p>
    <w:p>
      <w:pPr>
        <w:pStyle w:val="Point0"/>
        <w:rPr>
          <w:noProof/>
          <w:color w:val="000000"/>
          <w:szCs w:val="20"/>
        </w:rPr>
      </w:pPr>
      <w:r>
        <w:rPr>
          <w:noProof/>
        </w:rPr>
        <w:t>2.</w:t>
      </w:r>
      <w:r>
        <w:rPr>
          <w:noProof/>
        </w:rPr>
        <w:tab/>
        <w:t>даването на положително становище от Комитета за асоцииране в състав „Търговия“ по подробната пътна карта, представена от Украйна, във връзка с изпълнението на споразумението в областта на обществените поръчки.</w:t>
      </w:r>
    </w:p>
    <w:p>
      <w:pPr>
        <w:pBdr>
          <w:top w:val="nil"/>
          <w:left w:val="nil"/>
          <w:bottom w:val="nil"/>
          <w:right w:val="nil"/>
          <w:between w:val="nil"/>
          <w:bar w:val="nil"/>
        </w:pBdr>
        <w:spacing w:before="0" w:after="240"/>
        <w:rPr>
          <w:noProof/>
          <w:color w:val="000000"/>
          <w:szCs w:val="20"/>
        </w:rPr>
      </w:pPr>
      <w:r>
        <w:rPr>
          <w:noProof/>
          <w:color w:val="000000"/>
        </w:rPr>
        <w:t xml:space="preserve">Актуализирането на тези приложения е необходимо с цел да се отрази развитието на посочените в тях достижения на правото на Съюза след парафирането на споразумението на 30 март 2012 г. Съгласно член 463, параграф 3 от споразумението Съветът за асоцииране има правомощието да актуализира или изменя приложенията към споразумението, като със свое Решение № 3/2014 от 15 декември 2014 г. Съветът за асоцииране делегира правомощието да актуализира или изменя някои свързани с търговията приложения на Комитета за асоцииране в състав „Търговия“. Следователно Съюзът трябва да заеме позиция в рамките на Комитета за асоцииране в състав „Търговия“. </w:t>
      </w:r>
    </w:p>
    <w:p>
      <w:pPr>
        <w:rPr>
          <w:noProof/>
          <w:color w:val="000000"/>
          <w:szCs w:val="20"/>
        </w:rPr>
      </w:pPr>
      <w:r>
        <w:rPr>
          <w:noProof/>
          <w:color w:val="000000"/>
        </w:rPr>
        <w:t>Положителното становище на Комитета за асоцииране в състав „Търговия“ по подробната пътна карта е необходимо, за да може Украйна да оптимизира законодателното сближаване в областта на обществените поръчки, както е предвидено в член 152 от споразумението. Тази стъпка е неразделна част от процеса на прилагането на споразумението. Пътната карта ще се счита за референтния документ за прилагането на споразумението с Украйна в областта на възлагането на обществени поръчки.</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2016/0346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 в рамките на Комитета за асоцииране в състав „Търговия“, създаден със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във връзка с актуализирането на приложения XXI-A — XXI-П относно регулаторното сближаване в областта на обществените поръчки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член 486 от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(„споразумението“), се предвижда временното прилагане на конкретно посочени от Съюза части от споразумението.</w:t>
      </w:r>
    </w:p>
    <w:p>
      <w:pPr>
        <w:pStyle w:val="ManualConsidrant"/>
        <w:rPr>
          <w:noProof/>
        </w:rPr>
      </w:pPr>
      <w:r>
        <w:t>(2)</w:t>
      </w:r>
      <w:r>
        <w:tab/>
      </w:r>
      <w:r>
        <w:rPr>
          <w:noProof/>
        </w:rPr>
        <w:t>В член 1 от Решение 2014/668/ЕС на Съвета</w:t>
      </w:r>
      <w:r>
        <w:rPr>
          <w:rStyle w:val="FootnoteReference"/>
          <w:noProof/>
        </w:rPr>
        <w:footnoteReference w:id="1"/>
      </w:r>
      <w:r>
        <w:rPr>
          <w:noProof/>
        </w:rPr>
        <w:t xml:space="preserve"> от 23 юни 2014 г. се определят разпоредбите на споразумението, които да се прилагат временно, включително разпоредбите относно обществените поръчки и приложение XXI към споразумението. Тези разпоредби се прилагат временно от 1 януари 2016 г.</w:t>
      </w:r>
    </w:p>
    <w:p>
      <w:pPr>
        <w:pStyle w:val="ManualConsidrant"/>
        <w:rPr>
          <w:noProof/>
        </w:rPr>
      </w:pPr>
      <w:r>
        <w:t>(3)</w:t>
      </w:r>
      <w:r>
        <w:tab/>
      </w:r>
      <w:r>
        <w:rPr>
          <w:noProof/>
        </w:rPr>
        <w:t xml:space="preserve">В член 153 от споразумението се предвижда, че Украйна постепенно ще приведе законодателството си в областта на обществените поръчки в съответствие с достиженията на правото на Съюза съгласно графика в приложение XXI към споразумението. </w:t>
      </w:r>
    </w:p>
    <w:p>
      <w:pPr>
        <w:pStyle w:val="ManualConsidrant"/>
        <w:rPr>
          <w:noProof/>
        </w:rPr>
      </w:pPr>
      <w:r>
        <w:t>(4)</w:t>
      </w:r>
      <w:r>
        <w:tab/>
      </w:r>
      <w:r>
        <w:rPr>
          <w:noProof/>
        </w:rPr>
        <w:t xml:space="preserve">След парафирането на споразумението за асоцииране на 30 март 2012 г., няколко акта на Съюза, включени в приложение XXI към него, бяха изменени или отменени. </w:t>
      </w:r>
    </w:p>
    <w:p>
      <w:pPr>
        <w:pStyle w:val="ManualConsidrant"/>
        <w:rPr>
          <w:noProof/>
        </w:rPr>
      </w:pPr>
      <w:r>
        <w:lastRenderedPageBreak/>
        <w:t>(5)</w:t>
      </w:r>
      <w:r>
        <w:tab/>
      </w:r>
      <w:r>
        <w:rPr>
          <w:noProof/>
        </w:rPr>
        <w:t xml:space="preserve">Съгласно член 149 от споразумението праговите стойности за обществените поръчки, предвидени в приложение XXI-П към него, се преразглеждат редовно, считано от първата четна година след влизането в сила на споразумението. </w:t>
      </w:r>
    </w:p>
    <w:p>
      <w:pPr>
        <w:pStyle w:val="ManualConsidrant"/>
        <w:rPr>
          <w:noProof/>
        </w:rPr>
      </w:pPr>
      <w:r>
        <w:t>(6)</w:t>
      </w:r>
      <w:r>
        <w:tab/>
      </w:r>
      <w:r>
        <w:rPr>
          <w:noProof/>
        </w:rPr>
        <w:t xml:space="preserve">Целесъобразно е също така да се вземе предвид напредъкът, постигнат от Украйна в процеса на сближаване с достиженията на правото на Съюза, и някои срокове да бъдат изменени. </w:t>
      </w:r>
    </w:p>
    <w:p>
      <w:pPr>
        <w:pStyle w:val="ManualConsidrant"/>
        <w:rPr>
          <w:noProof/>
        </w:rPr>
      </w:pPr>
      <w:r>
        <w:t>(7)</w:t>
      </w:r>
      <w:r>
        <w:tab/>
      </w:r>
      <w:r>
        <w:rPr>
          <w:noProof/>
        </w:rPr>
        <w:t xml:space="preserve">Поради това е необходимо приложение XXI да се актуализира, за да се отразят промените в посочените в него достижения на правото на Съюза и за да се преразгледат праговите стойности за обществените поръчки, предвидени в приложение XXI-П към споразумението. </w:t>
      </w:r>
    </w:p>
    <w:p>
      <w:pPr>
        <w:pStyle w:val="ManualConsidrant"/>
        <w:rPr>
          <w:noProof/>
        </w:rPr>
      </w:pPr>
      <w:r>
        <w:t>(8)</w:t>
      </w:r>
      <w:r>
        <w:tab/>
      </w:r>
      <w:r>
        <w:rPr>
          <w:noProof/>
        </w:rPr>
        <w:t xml:space="preserve">Съгласно член 149 от споразумението преразглеждането на праговете, предвидени в приложение XXI-П, се приема с решение на Комитета за асоцииране в състав „Търговия“. </w:t>
      </w:r>
    </w:p>
    <w:p>
      <w:pPr>
        <w:pStyle w:val="ManualConsidrant"/>
        <w:rPr>
          <w:noProof/>
        </w:rPr>
      </w:pPr>
      <w:r>
        <w:t>(9)</w:t>
      </w:r>
      <w:r>
        <w:tab/>
      </w:r>
      <w:r>
        <w:rPr>
          <w:noProof/>
        </w:rPr>
        <w:t xml:space="preserve">Съгласно член 463, параграф 3 от споразумението Съветът за асоцииране има правомощието да актуализира или изменя приложенията към споразумението. </w:t>
      </w:r>
    </w:p>
    <w:p>
      <w:pPr>
        <w:pStyle w:val="ManualConsidrant"/>
        <w:rPr>
          <w:noProof/>
        </w:rPr>
      </w:pPr>
      <w:r>
        <w:t>(10)</w:t>
      </w:r>
      <w:r>
        <w:tab/>
      </w:r>
      <w:r>
        <w:rPr>
          <w:noProof/>
        </w:rPr>
        <w:t>С член 1 от свое Решение № 3/2014 от 15 декември 2014 г. Съветът за асоцииране делегира на Комитета за асоцииране в състав „Търговия“ правомощието да актуализира или изменя приложенията на споразумението, свързани с търговията, включително приложение XXI във връзка с глава 8 (Обществени поръчки) от дял IV (Търговия и свързани с търговията въпроси) от споразумението.</w:t>
      </w:r>
    </w:p>
    <w:p>
      <w:pPr>
        <w:pStyle w:val="ManualConsidrant"/>
        <w:rPr>
          <w:noProof/>
        </w:rPr>
      </w:pPr>
      <w:r>
        <w:t>(11)</w:t>
      </w:r>
      <w:r>
        <w:tab/>
      </w:r>
      <w:r>
        <w:rPr>
          <w:noProof/>
        </w:rPr>
        <w:t>Поради това е целесъобразно да се определи позицията на Съюза относно актуализирането на приложение XXI към споразумението, което да бъде прието от Комитета за асоцииране в състав „Търговия“.</w:t>
      </w:r>
    </w:p>
    <w:p>
      <w:pPr>
        <w:pStyle w:val="ManualConsidrant"/>
        <w:rPr>
          <w:noProof/>
        </w:rPr>
      </w:pPr>
      <w:r>
        <w:t>(12)</w:t>
      </w:r>
      <w:r>
        <w:tab/>
      </w:r>
      <w:r>
        <w:rPr>
          <w:noProof/>
        </w:rPr>
        <w:t>В член 152, параграф 1 от споразумението се предвижда, че Украйна представя на Комитета за асоцииране в състав „Търговия“ подробна пътна карта за прилагането на законодателството относно обществените поръчки с графици и основни етапи, в която са включени всички реформи с оглед на законодателното сближаване и изграждането на институционален капацитет. Тази пътна карта трябва да е съобразена с етапите и графиците, установени в приложение XXI-A към споразумението.</w:t>
      </w:r>
      <w:r>
        <w:rPr>
          <w:i/>
          <w:noProof/>
        </w:rPr>
        <w:t xml:space="preserve"> </w:t>
      </w:r>
    </w:p>
    <w:p>
      <w:pPr>
        <w:pStyle w:val="ManualConsidrant"/>
        <w:rPr>
          <w:noProof/>
        </w:rPr>
      </w:pPr>
      <w:r>
        <w:t>(13)</w:t>
      </w:r>
      <w:r>
        <w:tab/>
      </w:r>
      <w:r>
        <w:rPr>
          <w:noProof/>
        </w:rPr>
        <w:t xml:space="preserve">В член 152, параграф 3 се уточнява, че е необходимо положително становище от Комитета за асоцииране в състав „Търговия“, за да може подробната пътна карта да се превърне в референтен документ за процеса на прилагане, т.е. за законодателното сближаване на съответното законодателство в областта на обществените поръчки с достиженията на правото на Съюза. </w:t>
      </w:r>
    </w:p>
    <w:p>
      <w:pPr>
        <w:pStyle w:val="ManualConsidrant"/>
        <w:rPr>
          <w:noProof/>
        </w:rPr>
      </w:pPr>
      <w:r>
        <w:t>(14)</w:t>
      </w:r>
      <w:r>
        <w:tab/>
      </w:r>
      <w:r>
        <w:rPr>
          <w:noProof/>
        </w:rPr>
        <w:t xml:space="preserve">Поради това е целесъобразно да се определи позицията на Съюза за положително становище относно подробната пътна карта, което да бъде прието от Комитета за асоцииране в състав „Търговия“, </w:t>
      </w:r>
    </w:p>
    <w:p>
      <w:pPr>
        <w:pStyle w:val="Formuledadoption"/>
        <w:rPr>
          <w:noProof/>
        </w:rPr>
      </w:pPr>
      <w:r>
        <w:rPr>
          <w:noProof/>
        </w:rPr>
        <w:t xml:space="preserve">ПРИЕ НАСТОЯЩОТО РЕШЕНИЕ: </w:t>
      </w:r>
    </w:p>
    <w:p>
      <w:pPr>
        <w:pStyle w:val="Titrearticle"/>
        <w:keepNext w:val="0"/>
        <w:rPr>
          <w:noProof/>
        </w:rPr>
      </w:pPr>
      <w:r>
        <w:rPr>
          <w:noProof/>
        </w:rPr>
        <w:t>Член 1</w:t>
      </w:r>
    </w:p>
    <w:p>
      <w:pPr>
        <w:pStyle w:val="ManualNumPar1"/>
        <w:rPr>
          <w:noProof/>
        </w:rPr>
      </w:pPr>
      <w:r>
        <w:rPr>
          <w:noProof/>
        </w:rPr>
        <w:lastRenderedPageBreak/>
        <w:t>1.</w:t>
      </w:r>
      <w:r>
        <w:rPr>
          <w:noProof/>
        </w:rPr>
        <w:tab/>
        <w:t>Позицията на Европейския съюз в рамките на Комитета за асоцииране в състав „Търговия“, създаден по силата на член 465 от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(„споразумението“), във връзка с изменението на приложение XXI към него, се определя в проекта на решение на посочения комитет, приложен към настоящото решение.</w:t>
      </w:r>
    </w:p>
    <w:p>
      <w:pPr>
        <w:pStyle w:val="ManualNumPar1"/>
        <w:rPr>
          <w:noProof/>
        </w:rPr>
      </w:pPr>
      <w:r>
        <w:rPr>
          <w:noProof/>
        </w:rPr>
        <w:t>2.</w:t>
      </w:r>
      <w:r>
        <w:rPr>
          <w:noProof/>
        </w:rPr>
        <w:tab/>
        <w:t xml:space="preserve">Представителите на Съюза в Комитета за асоцииране в състав „Търговия“ могат да одобрят незначителни промени в проекта на решение, без да е необходимо допълнително решение на Съвета. </w:t>
      </w:r>
    </w:p>
    <w:p>
      <w:pPr>
        <w:pStyle w:val="Titrearticle"/>
        <w:rPr>
          <w:noProof/>
        </w:rPr>
      </w:pPr>
      <w:r>
        <w:rPr>
          <w:noProof/>
        </w:rPr>
        <w:t>Член 2</w:t>
      </w:r>
    </w:p>
    <w:p>
      <w:pPr>
        <w:rPr>
          <w:noProof/>
        </w:rPr>
      </w:pPr>
      <w:r>
        <w:rPr>
          <w:noProof/>
        </w:rPr>
        <w:t>Позицията на Съюза в рамките на Комитета за асоцииране в състав „Търговия“, създаден по силата на член 465 от споразумението, за положително становище по отношение на подробната пътна карта, се определя в проекта на решение на посочения комитет, посочен в член 1, параграф 1 по-горе.</w:t>
      </w:r>
    </w:p>
    <w:p>
      <w:pPr>
        <w:pStyle w:val="Titrearticle"/>
        <w:rPr>
          <w:noProof/>
        </w:rPr>
      </w:pPr>
      <w:r>
        <w:rPr>
          <w:noProof/>
        </w:rPr>
        <w:t>Член 3</w:t>
      </w:r>
    </w:p>
    <w:p>
      <w:pPr>
        <w:autoSpaceDE w:val="0"/>
        <w:autoSpaceDN w:val="0"/>
        <w:adjustRightInd w:val="0"/>
        <w:spacing w:before="0" w:after="0"/>
        <w:jc w:val="left"/>
        <w:rPr>
          <w:noProof/>
        </w:rPr>
      </w:pPr>
      <w:r>
        <w:rPr>
          <w:noProof/>
        </w:rPr>
        <w:t xml:space="preserve">Решенията на Комитета за асоцииране в състав „Търговия“ се публикуват в </w:t>
      </w:r>
      <w:r>
        <w:rPr>
          <w:i/>
          <w:noProof/>
          <w:color w:val="000000"/>
        </w:rPr>
        <w:t>Официален вестник на Европейския съюз</w:t>
      </w:r>
      <w:r>
        <w:rPr>
          <w:noProof/>
        </w:rPr>
        <w:t xml:space="preserve"> след приемането им.</w:t>
      </w:r>
    </w:p>
    <w:p>
      <w:pPr>
        <w:pStyle w:val="Titrearticle"/>
        <w:rPr>
          <w:noProof/>
        </w:rPr>
      </w:pPr>
      <w:r>
        <w:rPr>
          <w:noProof/>
        </w:rPr>
        <w:t>Член 4</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на Съвета от 23 юни 2014 г. за подписване, от името на Европейския съюз, и временно прилагане на Споразумението за асоцииране между Европейския съюз и Европейската общност за атомна енергия и техните държави-членки, от една страна, и Украйна, от друга страна, по отношение на дял III (с изключение на разпоредбите относно третирането на граждани на трети държави, които са законно наети като работници на територията на другата страна) и дялове IV, V, VI и VII от него, както и на свързаните приложения и протоколи (ОВ L 278, 20.9.2014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7AC8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B7CE9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D82C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0AC4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499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B890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72ECE46"/>
    <w:lvl w:ilvl="0">
      <w:start w:val="1"/>
      <w:numFmt w:val="decimal"/>
      <w:pStyle w:val="ListNumber"/>
      <w:lvlText w:val="%1."/>
      <w:lvlJc w:val="left"/>
      <w:pPr>
        <w:tabs>
          <w:tab w:val="num" w:pos="360"/>
        </w:tabs>
        <w:ind w:left="360" w:hanging="360"/>
      </w:pPr>
    </w:lvl>
  </w:abstractNum>
  <w:abstractNum w:abstractNumId="7">
    <w:nsid w:val="FFFFFF89"/>
    <w:multiLevelType w:val="singleLevel"/>
    <w:tmpl w:val="4524F76C"/>
    <w:name w:val="0.9039837"/>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14"/>
    <w:lvlOverride w:ilvl="0">
      <w:startOverride w:val="1"/>
    </w:lvlOverride>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doNotDisplayPageBoundaries/>
  <w:hideSpellingErrors/>
  <w:hideGrammaticalErrors/>
  <w:attachedTemplate r:id="rId1"/>
  <w:revisionView w:markup="0"/>
  <w:defaultTabStop w:val="720"/>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24 11:25: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FB92DC546324046AB6365FFCF8512F8"/>
    <w:docVar w:name="LW_CROSSREFERENCE" w:val="&lt;UNUSED&gt;"/>
    <w:docVar w:name="LW_DocType" w:val="COM"/>
    <w:docVar w:name="LW_EMISSION" w:val="31.10.2016"/>
    <w:docVar w:name="LW_EMISSION_ISODATE" w:val="2016-10-3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46"/>
    <w:docVar w:name="LW_REF.II.NEW.CP_YEAR" w:val="2016"/>
    <w:docVar w:name="LW_REF.INST.NEW" w:val="COM"/>
    <w:docVar w:name="LW_REF.INST.NEW_ADOPTED" w:val="final"/>
    <w:docVar w:name="LW_REF.INST.NEW_TEXT" w:val="(2016) 703"/>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0?\u1086?\u1084?\u1080?\u1090?\u1077?\u1090?\u1072? \u1079?\u1072? \u1072?\u1089?\u1086?\u1094?\u1080?\u1080?\u1088?\u1072?\u1085?\u1077? \u1074? \u1089?\u1098?\u1089?\u1090?\u1072?\u1074? \u8222?\u1058?\u1098?\u1088?\u1075?\u1086?\u1074?\u1080?\u1103?\u8220?, \u1089?\u1098?\u1079?\u1076?\u1072?\u1076?\u1077?\u1085? \u1089?\u1098?\u1089? \u1057?\u1087?\u1086?\u1088?\u1072?\u1079?\u1091?\u1084?\u1077?\u1085?\u1080?\u1077?\u1090?\u1086? \u1079?\u1072? \u1072?\u1089?\u1086?\u1094?\u1080?\u1080?\u1088?\u1072?\u1085?\u1077?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9?\u1082?\u1088?\u1072?\u1081?\u1085?\u1072?, \u1086?\u1090? \u1076?\u1088?\u1091?\u1075?\u1072? \u1089?\u1090?\u1088?\u1072?\u1085?\u1072?, \u1074?\u1098?\u1074? \u1074?\u1088?\u1098?\u1079?\u1082?\u1072? \u1089? \u1072?\u1082?\u1090?\u1091?\u1072?\u1083?\u1080?\u1079?\u1080?\u1088?\u1072?\u1085?\u1077?\u1090?\u1086? \u1085?\u1072? \u1087?\u1088?\u1080?\u1083?\u1086?\u1078?\u1077?\u1085?\u1080?\u1103? XXI-A \u8212? XXI-\u1055? \u1086?\u1090?\u1085?\u1086?\u1089?\u1085?\u1086? \u1088?\u1077?\u1075?\u1091?\u1083?\u1072?\u1090?\u1086?\u1088?\u1085?\u1086?\u1090?\u1086? \u1089?\u1073?\u1083?\u1080?\u1078?\u1072?\u1074?\u1072?\u1085?\u1077? \u1074? \u1086?\u1073?\u1083?\u1072?\u1089?\u1090?\u1090?\u1072? \u1085?\u1072? \u1086?\u1073?\u1097?\u1077?\u1089?\u1090?\u1074?\u1077?\u1085?\u1080?\u1090?\u1077? \u1087?\u1086?\u1088?\u1098?\u1095?\u1082?\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ListBullet">
    <w:name w:val="List Bullet"/>
    <w:basedOn w:val="Normal"/>
    <w:uiPriority w:val="99"/>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Hyperlink">
    <w:name w:val="Hyperlink"/>
    <w:uiPriority w:val="99"/>
    <w:unhideWhenUsed/>
    <w:rPr>
      <w:color w:val="0000FF"/>
      <w:u w:val="single"/>
    </w:rPr>
  </w:style>
  <w:style w:type="paragraph" w:customStyle="1" w:styleId="CM12">
    <w:name w:val="CM1+2"/>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2">
    <w:name w:val="CM3+2"/>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11">
    <w:name w:val="CM1+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1">
    <w:name w:val="CM3+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42">
    <w:name w:val="CM4+2"/>
    <w:basedOn w:val="Normal"/>
    <w:next w:val="Normal"/>
    <w:uiPriority w:val="99"/>
    <w:pPr>
      <w:autoSpaceDE w:val="0"/>
      <w:autoSpaceDN w:val="0"/>
      <w:adjustRightInd w:val="0"/>
      <w:spacing w:before="0" w:after="0"/>
      <w:jc w:val="left"/>
    </w:pPr>
    <w:rPr>
      <w:rFonts w:ascii="EUAlbertina" w:hAnsi="EUAlbertina"/>
      <w:szCs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ListBullet">
    <w:name w:val="List Bullet"/>
    <w:basedOn w:val="Normal"/>
    <w:uiPriority w:val="99"/>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Hyperlink">
    <w:name w:val="Hyperlink"/>
    <w:uiPriority w:val="99"/>
    <w:unhideWhenUsed/>
    <w:rPr>
      <w:color w:val="0000FF"/>
      <w:u w:val="single"/>
    </w:rPr>
  </w:style>
  <w:style w:type="paragraph" w:customStyle="1" w:styleId="CM12">
    <w:name w:val="CM1+2"/>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2">
    <w:name w:val="CM3+2"/>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11">
    <w:name w:val="CM1+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1">
    <w:name w:val="CM3+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42">
    <w:name w:val="CM4+2"/>
    <w:basedOn w:val="Normal"/>
    <w:next w:val="Normal"/>
    <w:uiPriority w:val="99"/>
    <w:pPr>
      <w:autoSpaceDE w:val="0"/>
      <w:autoSpaceDN w:val="0"/>
      <w:adjustRightInd w:val="0"/>
      <w:spacing w:before="0" w:after="0"/>
      <w:jc w:val="left"/>
    </w:pPr>
    <w:rPr>
      <w:rFonts w:ascii="EUAlbertina" w:hAnsi="EUAlbertina"/>
      <w:szCs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59659">
      <w:bodyDiv w:val="1"/>
      <w:marLeft w:val="0"/>
      <w:marRight w:val="0"/>
      <w:marTop w:val="0"/>
      <w:marBottom w:val="0"/>
      <w:divBdr>
        <w:top w:val="none" w:sz="0" w:space="0" w:color="auto"/>
        <w:left w:val="none" w:sz="0" w:space="0" w:color="auto"/>
        <w:bottom w:val="none" w:sz="0" w:space="0" w:color="auto"/>
        <w:right w:val="none" w:sz="0" w:space="0" w:color="auto"/>
      </w:divBdr>
    </w:div>
    <w:div w:id="19307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D4EE6-923A-4218-8263-C6BDE18E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1861</Words>
  <Characters>10891</Characters>
  <Application>Microsoft Office Word</Application>
  <DocSecurity>0</DocSecurity>
  <Lines>213</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2016-07-19T10:39:00Z</cp:lastPrinted>
  <dcterms:created xsi:type="dcterms:W3CDTF">2016-10-14T13:05:00Z</dcterms:created>
  <dcterms:modified xsi:type="dcterms:W3CDTF">2016-10-24T09:25:00Z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