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59EBD07F79E3477A89795794824E3F87" style="width:450.75pt;height:407.2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Основания и цели на предложението</w:t>
      </w:r>
    </w:p>
    <w:p>
      <w:pPr>
        <w:rPr>
          <w:noProof/>
        </w:rPr>
      </w:pPr>
      <w:r>
        <w:rPr>
          <w:noProof/>
        </w:rPr>
        <w:t>С присъединяването на Република Хърватия Европейският съюз разшири своя митнически съюз. Съответно според правилата на Световната търговска организация (СТО) (член XXIV, параграф 6 от ГАТТ от 1994 г.) Европейският съюз трябваше да започне преговори с членовете на СТО, разполагащи с пълномощия за водене на преговори, по списъка на отстъпките на Хърватия, с оглед постигане на компенсираща договореност. Подобна договореност е необходима, ако вследствие на приемането на външния тарифен режим на ЕС митата се увеличат над нивото, за което присъединяващата се държава е поела задължение в рамките на СТО.</w:t>
      </w:r>
    </w:p>
    <w:p>
      <w:pPr>
        <w:rPr>
          <w:noProof/>
        </w:rPr>
      </w:pPr>
      <w:r>
        <w:rPr>
          <w:noProof/>
        </w:rPr>
        <w:t xml:space="preserve">На 15 юли 2013 г. Съветът упълномощи Комисията да започне преговори съгласно член XXIV, параграф 6 от ГАТТ от 1994 г. Комисията проведе преговори с членовете на СТО, които разполагат с пълномощия за преговаряне по отношение на оттеглянето на специфични отстъпки, във връзка с оттеглянето на списъка на Република Хърватия в хода на присъединяването ѝ към Европейския съюз. </w:t>
      </w:r>
    </w:p>
    <w:p>
      <w:pPr>
        <w:rPr>
          <w:rFonts w:eastAsia="Arial Unicode MS"/>
          <w:noProof/>
        </w:rPr>
      </w:pPr>
      <w:r>
        <w:rPr>
          <w:noProof/>
        </w:rPr>
        <w:t>В резултат на преговорите с Федеративна република Бразилия беше изготвен проект на споразумение под формата на размяна на писма, който бе парафиран на 12 юли 2016 г. в Женева (споразумението). Съответно Европейската комисия предлага на Съвета да разреши подписването на споразумението.</w:t>
      </w:r>
    </w:p>
    <w:p>
      <w:pPr>
        <w:pStyle w:val="ManualHeading2"/>
        <w:rPr>
          <w:rFonts w:eastAsia="Arial Unicode MS"/>
          <w:noProof/>
          <w:color w:val="000000"/>
          <w:u w:color="000000"/>
          <w:bdr w:val="nil"/>
        </w:rPr>
      </w:pPr>
      <w:r>
        <w:rPr>
          <w:noProof/>
          <w:color w:val="000000"/>
          <w:u w:color="000000"/>
          <w:bdr w:val="nil"/>
        </w:rPr>
        <w:t>•</w:t>
      </w:r>
      <w:r>
        <w:rPr>
          <w:noProof/>
        </w:rPr>
        <w:tab/>
        <w:t>Съгласуваност със съществуващите разпоредби в тази област на политиката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Предложението е в съответствие с практиката, към която ЕС се придържаше при предишните си разширявания.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Съгласуваност с другите политики на Съюза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Предложението е съобразено с практиката на ЕС, която е в съответствие с политиката на ЕС в областта на външната дейност и с неговата индустриална и селскостопанска политика.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Правно основание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noProof/>
        </w:rPr>
      </w:pPr>
      <w:r>
        <w:rPr>
          <w:noProof/>
        </w:rPr>
        <w:t>Член 207 от Договора за функционирането на Европейския съюз (ДФЕС), във връзка с член 218, параграф 5 от ДФЕС, що се отнася до подписването на международни споразумения.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 xml:space="preserve">Субсидиарност (при неизключителна компетентност) </w:t>
      </w:r>
    </w:p>
    <w:p>
      <w:pPr>
        <w:rPr>
          <w:rFonts w:eastAsia="Arial Unicode MS"/>
          <w:b/>
          <w:noProof/>
          <w:u w:color="000000"/>
          <w:bdr w:val="nil"/>
        </w:rPr>
      </w:pPr>
      <w:r>
        <w:rPr>
          <w:noProof/>
        </w:rPr>
        <w:t>Предложението е от изключителната компетентност на Съюза, в съответствие с член 3, параграф 1, буква д) от Договора за функционирането на Европейския съюз. Поради това принципът на субсидиарност не се прилага.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Пропорционалност</w:t>
      </w:r>
    </w:p>
    <w:p>
      <w:pPr>
        <w:rPr>
          <w:rFonts w:eastAsia="Arial Unicode MS"/>
          <w:noProof/>
        </w:rPr>
      </w:pPr>
      <w:r>
        <w:rPr>
          <w:noProof/>
        </w:rPr>
        <w:t>Федеративна република Бразилия беше засегната от оттеглянето на отстъпките на Хърватия. Компенсиращите договорености не надхвърлят правата на Бразилия в това отношение. Предложението е в съответствие с принципа на пропорционалност.</w:t>
      </w:r>
    </w:p>
    <w:p>
      <w:pPr>
        <w:pStyle w:val="ManualHeading2"/>
        <w:rPr>
          <w:rFonts w:eastAsia="Arial Unicode MS"/>
          <w:noProof/>
        </w:rPr>
      </w:pPr>
      <w:r>
        <w:rPr>
          <w:noProof/>
        </w:rPr>
        <w:t>•</w:t>
      </w:r>
      <w:r>
        <w:rPr>
          <w:noProof/>
        </w:rPr>
        <w:tab/>
        <w:t>Избор на инструмент</w:t>
      </w:r>
    </w:p>
    <w:p>
      <w:pPr>
        <w:rPr>
          <w:rFonts w:eastAsia="Arial Unicode MS"/>
          <w:noProof/>
        </w:rPr>
      </w:pPr>
      <w:r>
        <w:rPr>
          <w:noProof/>
        </w:rPr>
        <w:t>По силата на член 218, параграф 5 от ДФЕС се изисква решение на Съвета за разрешаване на подписването на споразумението.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3.</w:t>
      </w:r>
      <w:r>
        <w:rPr>
          <w:noProof/>
        </w:rPr>
        <w:tab/>
        <w:t xml:space="preserve">КОНСУЛТАЦИИ СЪС ЗАИНТЕРЕСОВАНИТЕ СТРАНИ 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>Консултации със заинтересованите страни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Редовно бяха провеждани консултации със Съвета (комитет „Търговска политика“) във връзка със съдържанието и напредъка по преговорите. Европейският парламент (Комисията по международна търговия) беше уведомен.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eastAsia="Arial Unicode MS"/>
          <w:noProof/>
        </w:rPr>
      </w:pPr>
      <w:r>
        <w:rPr>
          <w:noProof/>
        </w:rPr>
        <w:t>Вж. финансовата обосновка.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ManualHeading2"/>
        <w:rPr>
          <w:rFonts w:eastAsia="Arial Unicode MS"/>
          <w:noProof/>
          <w:u w:color="000000"/>
          <w:bdr w:val="nil"/>
        </w:rPr>
      </w:pPr>
      <w:r>
        <w:rPr>
          <w:noProof/>
        </w:rPr>
        <w:t>•</w:t>
      </w:r>
      <w:r>
        <w:rPr>
          <w:noProof/>
        </w:rPr>
        <w:tab/>
        <w:t xml:space="preserve">Планове за изпълнение </w:t>
      </w:r>
    </w:p>
    <w:p>
      <w:pPr>
        <w:rPr>
          <w:noProof/>
        </w:rPr>
      </w:pPr>
      <w:r>
        <w:rPr>
          <w:noProof/>
        </w:rPr>
        <w:t>Комисията предлага на Съвета Споразумението под формата на размяна на писма с Федеративна република Бразилия да бъде подписано от името на Съюза. Едновременно с това е представено на Съвета отделно предложение за сключването на настоящото споразумение.</w:t>
      </w:r>
    </w:p>
    <w:p>
      <w:pPr>
        <w:rPr>
          <w:rFonts w:eastAsia="Arial Unicode MS"/>
          <w:noProof/>
        </w:rPr>
      </w:pPr>
      <w:r>
        <w:rPr>
          <w:noProof/>
        </w:rPr>
        <w:t>В резултат на споразумението: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4766 тона към разпределената за страната (Бразилия) тарифна квота на ЕС „Разфасовки от петли и кокошки, замразени“, тарифни позиции 0207.14.10, 0207.14.50 и 0207.14.70,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610 тона към разпределената за страната (Бразилия) тарифна квота на ЕС „Разфасовки от пуйки, замразени“, тарифни позиции 0207.27.10, 0207.27.20 и 0207.27.80, като се запазва досегашната ставка в рамките на квотата от 0 %. 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36 000 тона към част </w:t>
      </w:r>
      <w:r>
        <w:rPr>
          <w:i/>
          <w:noProof/>
        </w:rPr>
        <w:t>erga omnes</w:t>
      </w:r>
      <w:r>
        <w:rPr>
          <w:noProof/>
        </w:rPr>
        <w:t xml:space="preserve"> на тарифната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pStyle w:val="Text1"/>
        <w:rPr>
          <w:noProof/>
        </w:rPr>
      </w:pPr>
      <w:r>
        <w:rPr>
          <w:noProof/>
        </w:rPr>
        <w:t xml:space="preserve">се добавят 78 000 тона към разпределената за Бразилия тарифна квота на ЕС „Сурова захар от захарна тръстика, предназначена за рафиниране“, тарифни позиции 1701.13.10 и 1701.14.10, като се запазва досегашната ставка в рамките на квотата от 98 EUR за тон. </w:t>
      </w:r>
    </w:p>
    <w:p>
      <w:pPr>
        <w:rPr>
          <w:noProof/>
        </w:rPr>
      </w:pPr>
      <w:r>
        <w:rPr>
          <w:noProof/>
        </w:rPr>
        <w:t>По отношение на обема от 78 000 тона, разпределен за Бразилия в рамките на тарифната квота на ЕС „Сурова захар от захарна тръстика, предназначена за рафиниране“, тарифни позиции 1701.13.10 и 1701.14.10, въпреки задължителната ставка от 98 EUR за тон, ЕС прилага автоматично:</w:t>
      </w:r>
    </w:p>
    <w:p>
      <w:pPr>
        <w:pStyle w:val="Tiret0"/>
        <w:numPr>
          <w:ilvl w:val="0"/>
          <w:numId w:val="2"/>
        </w:numPr>
        <w:rPr>
          <w:noProof/>
        </w:rPr>
      </w:pPr>
      <w:r>
        <w:rPr>
          <w:noProof/>
        </w:rPr>
        <w:t xml:space="preserve">през първите шест години, през които този обем е наличен, ставка в рамките на квотата от не повече от 11 EUR за тон, и </w:t>
      </w:r>
    </w:p>
    <w:p>
      <w:pPr>
        <w:pStyle w:val="Tiret0"/>
        <w:numPr>
          <w:ilvl w:val="0"/>
          <w:numId w:val="11"/>
        </w:numPr>
        <w:rPr>
          <w:noProof/>
        </w:rPr>
      </w:pPr>
      <w:r>
        <w:rPr>
          <w:noProof/>
        </w:rPr>
        <w:t>през седмата година, през която този обем е наличен, ставка в рамките на квотата от не повече от 54 EUR за тон.</w:t>
      </w:r>
    </w:p>
    <w:p>
      <w:pPr>
        <w:rPr>
          <w:rFonts w:eastAsia="Arial Unicode MS"/>
          <w:noProof/>
        </w:rPr>
      </w:pPr>
      <w:r>
        <w:rPr>
          <w:noProof/>
        </w:rPr>
        <w:t>Комисията ще приеме регламенти за изпълнение във връзка с разширяването и управлението на съответните квоти, съгласно член 187, буква а) от Регламента за единната обща организация на пазара (ООП) (Регламент (ЕС) № 1308/2013).</w:t>
      </w:r>
    </w:p>
    <w:p>
      <w:pPr>
        <w:rPr>
          <w:rFonts w:eastAsia="Arial Unicode MS"/>
          <w:noProof/>
        </w:rPr>
      </w:pPr>
      <w:r>
        <w:rPr>
          <w:noProof/>
        </w:rPr>
        <w:t>Тези мерки по прилагането са в процес на изготвяне успоредно с настоящото предложение.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2016/0306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подписване от името на Европейския съюз на Споразумение под формата на размяна на писма между Европейския съюз и Федеративна република Бразилия в съответствие с член XXIV, параграф 6 и член XXVIII от Общото споразумение за митата и търговията (ГАТТ) от 1994 г. във връзка с изменението на отстъпките в списъка на Република Хърватия в процеса на присъединяването ѝ към Европейския съюз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207, параграф 4, първа алинея във връзка с член 218, параграф 5 от него, 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На 15 юли 2013 г. Съветът упълномощи Комисията да започне преговори с някои други членове на Световната търговска организация съгласно член XXIV, параграф 6 от Общото споразумение за митата и търговията (ГАТТ) от 1994 г. в процеса на присъединяването на Република Хърватия към Европейския съюз.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Комисията проведе преговорите в съответствие с приетите от Съвета указания за водене на преговори.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Преговорите приключиха и на 12 юли 2016 г. бе парафирано Споразумение под формата на размяна на писма между Европейския съюз и Федеративна република Бразилия в съответствие с член XXIV, параграф 6 и член XXVIII от ГАТТ от 1994 г. във връзка с изменението на отстъпките в списъка на Република Хърватия в процеса на присъединяването ѝ към Европейския съюз.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Споразумението следва да бъде подписано,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Разрешава се подписването от името на Съюза на Споразумението под формата на размяна на писма между Европейския съюз и Федеративна република Бразилия в съответствие с член XXIV, алинея 6 и член XXVIII от ГАТТ от 1994 г. във връзка с изменението на отстъпките в списъка на Република Хърватия в процеса на присъединяването ѝ към Европейския съюз, при условие че посоченото споразумение бъде сключено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Председателят на Съвета се оправомощава да посочи лицето или лицата, упълномощени да подпишат споразумението от името на Съюза.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p>
      <w:pPr>
        <w:rPr>
          <w:noProof/>
        </w:rPr>
        <w:sectPr>
          <w:pgSz w:w="11907" w:h="16840" w:code="9"/>
          <w:pgMar w:top="1134" w:right="1418" w:bottom="1134" w:left="1418" w:header="720" w:footer="720" w:gutter="0"/>
          <w:cols w:space="720"/>
          <w:docGrid w:linePitch="326"/>
        </w:sectPr>
      </w:pPr>
    </w:p>
    <w:p>
      <w:pPr>
        <w:pStyle w:val="Fichefinanciretitre"/>
        <w:rPr>
          <w:noProof/>
        </w:rPr>
      </w:pPr>
    </w:p>
    <w:tbl>
      <w:tblPr>
        <w:tblW w:w="0" w:type="auto"/>
        <w:tblInd w:w="-30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00"/>
        <w:gridCol w:w="4155"/>
        <w:gridCol w:w="1559"/>
        <w:gridCol w:w="1134"/>
        <w:gridCol w:w="425"/>
        <w:gridCol w:w="425"/>
        <w:gridCol w:w="1134"/>
      </w:tblGrid>
      <w:tr>
        <w:tc>
          <w:tcPr>
            <w:tcW w:w="7448" w:type="dxa"/>
            <w:gridSpan w:val="4"/>
            <w:tcBorders>
              <w:bottom w:val="nil"/>
            </w:tcBorders>
          </w:tcPr>
          <w:p>
            <w:pPr>
              <w:pStyle w:val="Fichefinanciretitretable"/>
              <w:spacing w:before="240" w:after="0"/>
              <w:rPr>
                <w:noProof/>
              </w:rPr>
            </w:pPr>
            <w:r>
              <w:rPr>
                <w:noProof/>
              </w:rPr>
              <w:t>ФИНАНСОВА ОБОСНОВКА</w:t>
            </w: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spacing w:after="60"/>
              <w:rPr>
                <w:noProof/>
                <w:highlight w:val="yellow"/>
              </w:rPr>
            </w:pPr>
          </w:p>
        </w:tc>
      </w:tr>
      <w:tr>
        <w:tc>
          <w:tcPr>
            <w:tcW w:w="7448" w:type="dxa"/>
            <w:gridSpan w:val="4"/>
            <w:tcBorders>
              <w:top w:val="nil"/>
            </w:tcBorders>
          </w:tcPr>
          <w:p>
            <w:pPr>
              <w:pStyle w:val="Fichefinanciretextetable"/>
              <w:rPr>
                <w:noProof/>
              </w:rPr>
            </w:pPr>
          </w:p>
        </w:tc>
        <w:tc>
          <w:tcPr>
            <w:tcW w:w="1984" w:type="dxa"/>
            <w:gridSpan w:val="3"/>
          </w:tcPr>
          <w:p>
            <w:pPr>
              <w:pStyle w:val="Fichefinanciretextetable"/>
              <w:spacing w:before="60" w:after="60"/>
              <w:rPr>
                <w:noProof/>
                <w:highlight w:val="yellow"/>
              </w:rPr>
            </w:pPr>
            <w:r>
              <w:rPr>
                <w:noProof/>
              </w:rPr>
              <w:t xml:space="preserve">ДАТА: 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1.</w:t>
            </w:r>
          </w:p>
        </w:tc>
        <w:tc>
          <w:tcPr>
            <w:tcW w:w="6848" w:type="dxa"/>
            <w:gridSpan w:val="3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БЮДЖЕТЕН РЕД:</w:t>
            </w:r>
          </w:p>
          <w:p>
            <w:pPr>
              <w:pStyle w:val="Fichefinanciretextetable"/>
              <w:spacing w:after="60"/>
              <w:rPr>
                <w:noProof/>
              </w:rPr>
            </w:pPr>
            <w:r>
              <w:rPr>
                <w:noProof/>
              </w:rPr>
              <w:t xml:space="preserve">Глава 12 — Мита и други задължения </w:t>
            </w:r>
          </w:p>
        </w:tc>
        <w:tc>
          <w:tcPr>
            <w:tcW w:w="1984" w:type="dxa"/>
            <w:gridSpan w:val="3"/>
            <w:tcBorders>
              <w:left w:val="nil"/>
            </w:tcBorders>
          </w:tcPr>
          <w:p>
            <w:pPr>
              <w:pStyle w:val="Fichefinanciretextetable"/>
              <w:rPr>
                <w:noProof/>
                <w:highlight w:val="yellow"/>
              </w:rPr>
            </w:pP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2.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НАИМЕНОВАНИЕ:</w:t>
            </w:r>
          </w:p>
          <w:p>
            <w:pPr>
              <w:pStyle w:val="Fichefinanciretextetable"/>
              <w:spacing w:after="60"/>
              <w:ind w:right="136"/>
              <w:rPr>
                <w:bCs/>
                <w:noProof/>
              </w:rPr>
            </w:pPr>
            <w:r>
              <w:rPr>
                <w:noProof/>
              </w:rPr>
              <w:t>Предложение за Решение на Съвета за подписване на Споразумение под формата на размяна на писма между Европейския съюз и Федеративна република Бразилия в съответствие с член XXIV, параграф 6 и член XXVIII от Общото споразумение за митата и търговията (ГАТТ) от 1994 г. във връзка с изменението на отстъпките в списъка на Република Хърватия в процеса на присъединяването ѝ към Европейския съюз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3.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ПРАВНО ОСНОВАНИЕ:</w:t>
            </w:r>
          </w:p>
          <w:p>
            <w:pPr>
              <w:pStyle w:val="Fichefinanciretextetable"/>
              <w:spacing w:after="60"/>
              <w:rPr>
                <w:noProof/>
              </w:rPr>
            </w:pPr>
            <w:r>
              <w:rPr>
                <w:noProof/>
              </w:rPr>
              <w:t>Договор за функционирането на Европейския съюз, и по-специално членове 207 и 218 от него.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4.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ЦЕЛИ:</w:t>
            </w:r>
          </w:p>
          <w:p>
            <w:pPr>
              <w:pStyle w:val="Fichefinanciretextetable"/>
              <w:spacing w:after="60"/>
              <w:ind w:right="136"/>
              <w:jc w:val="both"/>
              <w:rPr>
                <w:noProof/>
              </w:rPr>
            </w:pPr>
            <w:r>
              <w:rPr>
                <w:noProof/>
              </w:rPr>
              <w:t>Да се разреши подписването на споразумението под формата на размяна на писма между Европейския съюз и Федеративна република Бразилия.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ФИНАНСОВО ОТРАЖЕНИЕ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ТЕКУЩА ФИНАНСОВА ГОДИНА 2016</w:t>
            </w:r>
            <w:r>
              <w:rPr>
                <w:noProof/>
              </w:rPr>
              <w:br/>
              <w:t>(в милиони евро)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СЛЕДВАЩА ФИНАНСОВА ГОДИНА 2017</w:t>
            </w:r>
          </w:p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(в милиони евро)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 xml:space="preserve"> ФИНАНСОВА ГОДИНА 2018</w:t>
            </w:r>
          </w:p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(в милиони евро)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5.0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РАЗХОДИ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ЗА СМЕТКА НА БЮДЖЕТА НА ЕС</w:t>
            </w:r>
            <w:r>
              <w:rPr>
                <w:noProof/>
              </w:rPr>
              <w:br/>
              <w:t>(ВЪЗСТАНОВЯВАНИЯ/ИНТЕРВЕНЦИИ)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НА НАЦИОНАЛНИТЕ ОРГАНИ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ДРУГИ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—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—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—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5.1</w:t>
            </w:r>
          </w:p>
        </w:tc>
        <w:tc>
          <w:tcPr>
            <w:tcW w:w="4155" w:type="dxa"/>
            <w:tcBorders>
              <w:lef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ПРИХОДИ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 xml:space="preserve">СОБСТВЕНИ РЕСУРСИ НА ЕС </w:t>
            </w:r>
            <w:r>
              <w:rPr>
                <w:noProof/>
              </w:rPr>
              <w:br/>
              <w:t>(НАЛОЗИ/МИТА)</w:t>
            </w:r>
          </w:p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—</w:t>
            </w:r>
            <w:r>
              <w:rPr>
                <w:noProof/>
              </w:rPr>
              <w:tab/>
              <w:t>НАЦИОНАЛНИ</w:t>
            </w:r>
          </w:p>
        </w:tc>
        <w:tc>
          <w:tcPr>
            <w:tcW w:w="1559" w:type="dxa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4,4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4,4</w:t>
            </w:r>
          </w:p>
        </w:tc>
        <w:tc>
          <w:tcPr>
            <w:tcW w:w="1559" w:type="dxa"/>
            <w:gridSpan w:val="2"/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br/>
            </w:r>
            <w:r>
              <w:rPr>
                <w:noProof/>
              </w:rPr>
              <w:br/>
              <w:t>4,4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</w:p>
        </w:tc>
        <w:tc>
          <w:tcPr>
            <w:tcW w:w="4155" w:type="dxa"/>
            <w:tcBorders>
              <w:left w:val="nil"/>
              <w:bottom w:val="nil"/>
            </w:tcBorders>
          </w:tcPr>
          <w:p>
            <w:pPr>
              <w:pStyle w:val="Fichefinanciretextetable"/>
              <w:rPr>
                <w:noProof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2016 г.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2017 г.</w:t>
            </w: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2018 г.</w:t>
            </w:r>
          </w:p>
        </w:tc>
      </w:tr>
      <w:tr>
        <w:tc>
          <w:tcPr>
            <w:tcW w:w="600" w:type="dxa"/>
            <w:tcBorders>
              <w:top w:val="nil"/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5.0.1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ОЧАКВАНИ РАЗХОДИ</w:t>
            </w:r>
          </w:p>
        </w:tc>
        <w:tc>
          <w:tcPr>
            <w:tcW w:w="1559" w:type="dxa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  <w:tc>
          <w:tcPr>
            <w:tcW w:w="1559" w:type="dxa"/>
            <w:gridSpan w:val="2"/>
            <w:tcBorders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</w:p>
        </w:tc>
      </w:tr>
      <w:tr>
        <w:tc>
          <w:tcPr>
            <w:tcW w:w="600" w:type="dxa"/>
            <w:tcBorders>
              <w:top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5.1.1</w:t>
            </w:r>
          </w:p>
        </w:tc>
        <w:tc>
          <w:tcPr>
            <w:tcW w:w="4155" w:type="dxa"/>
            <w:tcBorders>
              <w:top w:val="nil"/>
              <w:lef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ОЧАКВАНИ ПРИХОДИ</w:t>
            </w:r>
          </w:p>
        </w:tc>
        <w:tc>
          <w:tcPr>
            <w:tcW w:w="1559" w:type="dxa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4,4</w:t>
            </w:r>
          </w:p>
        </w:tc>
        <w:tc>
          <w:tcPr>
            <w:tcW w:w="1559" w:type="dxa"/>
            <w:gridSpan w:val="2"/>
            <w:tcBorders>
              <w:top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4,4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5.2</w:t>
            </w:r>
          </w:p>
        </w:tc>
        <w:tc>
          <w:tcPr>
            <w:tcW w:w="8832" w:type="dxa"/>
            <w:gridSpan w:val="6"/>
            <w:tcBorders>
              <w:lef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МЕТОД НА ИЗЧИСЛЕНИЕ: обеми, умножени по ставката в рамките на квотата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6.0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ОТ БЮДЖЕТНИ КРЕДИТИ, ВПИСАНИ В СЪОТВЕТНАТА ГЛАВА НА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6.1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МОЖЕ ЛИ ПРОЕКТЪТ ДА БЪДЕ ФИНАНСИРАН ЧРЕЗ ПРЕХВЪРЛЯНЕ МЕЖДУ ГЛАВИ ОТ ТЕКУЩИЯ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bottom w:val="nil"/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6.2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 ДОПЪЛНИТЕЛЕН БЮДЖЕТ?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600" w:type="dxa"/>
            <w:tcBorders>
              <w:right w:val="nil"/>
            </w:tcBorders>
          </w:tcPr>
          <w:p>
            <w:pPr>
              <w:pStyle w:val="Fichefinanciretextetable"/>
              <w:rPr>
                <w:noProof/>
              </w:rPr>
            </w:pPr>
            <w:r>
              <w:rPr>
                <w:noProof/>
              </w:rPr>
              <w:t>6.3</w:t>
            </w:r>
          </w:p>
        </w:tc>
        <w:tc>
          <w:tcPr>
            <w:tcW w:w="7698" w:type="dxa"/>
            <w:gridSpan w:val="5"/>
            <w:tcBorders>
              <w:left w:val="nil"/>
              <w:right w:val="nil"/>
            </w:tcBorders>
          </w:tcPr>
          <w:p>
            <w:pPr>
              <w:pStyle w:val="Fichefinanciretextetable"/>
              <w:spacing w:before="60" w:after="60"/>
              <w:rPr>
                <w:noProof/>
              </w:rPr>
            </w:pPr>
            <w:r>
              <w:rPr>
                <w:noProof/>
              </w:rPr>
              <w:t>ЩЕ БЪДЕ ЛИ НЕОБХОДИМО ВПИСВАНЕТО НА БЮДЖЕТНИ КРЕДИТИ В БЪДЕЩИ БЮДЖЕТИ?</w:t>
            </w:r>
          </w:p>
        </w:tc>
        <w:tc>
          <w:tcPr>
            <w:tcW w:w="1134" w:type="dxa"/>
            <w:tcBorders>
              <w:left w:val="nil"/>
            </w:tcBorders>
          </w:tcPr>
          <w:p>
            <w:pPr>
              <w:pStyle w:val="Fichefinanciretextetable"/>
              <w:jc w:val="center"/>
              <w:rPr>
                <w:noProof/>
              </w:rPr>
            </w:pPr>
            <w:r>
              <w:rPr>
                <w:noProof/>
              </w:rPr>
              <w:t>НЕ</w:t>
            </w:r>
          </w:p>
        </w:tc>
      </w:tr>
      <w:tr>
        <w:tc>
          <w:tcPr>
            <w:tcW w:w="9432" w:type="dxa"/>
            <w:gridSpan w:val="7"/>
          </w:tcPr>
          <w:p>
            <w:pPr>
              <w:pStyle w:val="Fichefinanciretextetable"/>
              <w:spacing w:before="60"/>
              <w:rPr>
                <w:noProof/>
              </w:rPr>
            </w:pPr>
            <w:r>
              <w:rPr>
                <w:noProof/>
              </w:rPr>
              <w:t>ЗАБЕЛЕЖКИ:</w:t>
            </w:r>
          </w:p>
          <w:p>
            <w:pPr>
              <w:spacing w:after="0"/>
              <w:rPr>
                <w:noProof/>
                <w:sz w:val="20"/>
              </w:rPr>
            </w:pPr>
          </w:p>
        </w:tc>
      </w:tr>
    </w:tbl>
    <w:p>
      <w:pPr>
        <w:rPr>
          <w:noProof/>
        </w:rPr>
      </w:pPr>
      <w:bookmarkStart w:id="1" w:name="_CopyToNewDocument_"/>
      <w:bookmarkEnd w:id="1"/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Текстът на споразумението ще бъде публикуван заедно с решението за сключването му.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60AA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43766B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574B8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16E00ED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E4AB4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E00E29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F818325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CCC05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8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28 13:30:17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59EBD07F79E3477A89795794824E3F87"/>
    <w:docVar w:name="LW_CROSSREFERENCE" w:val="&lt;UNUSED&gt;"/>
    <w:docVar w:name="LW_DocType" w:val="COM"/>
    <w:docVar w:name="LW_EMISSION" w:val="3.10.2016"/>
    <w:docVar w:name="LW_EMISSION_ISODATE" w:val="2016-10-03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06"/>
    <w:docVar w:name="LW_REF.II.NEW.CP_YEAR" w:val="2016"/>
    <w:docVar w:name="LW_REF.INST.NEW" w:val="COM"/>
    <w:docVar w:name="LW_REF.INST.NEW_ADOPTED" w:val="final"/>
    <w:docVar w:name="LW_REF.INST.NEW_TEXT" w:val="(2016) 629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7?\u1086?\u1076?\u1087?\u1080?\u1089?\u1074?\u1072?\u1085?\u1077? \u1086?\u1090? \u1080?\u1084?\u1077?\u1090?\u1086? \u1085?\u1072? \u1045?\u1074?\u1088?\u1086?\u1087?\u1077?\u1081?\u1089?\u1082?\u1080?\u1103? \u1089?\u1098?\u1102?\u1079? \u1085?\u1072? \u1057?\u1087?\u1086?\u1088?\u1072?\u1079?\u1091?\u1084?\u1077?\u1085?\u1080?\u1077? \u1087?\u1086?\u1076? \u1092?\u1086?\u1088?\u1084?\u1072?\u1090?\u1072? \u1085?\u1072? \u1088?\u1072?\u1079?\u1084?\u1103?\u1085?\u1072? \u1085?\u1072? \u1087?\u1080?\u1089?\u1084?\u1072? \u1084?\u1077?\u1078?\u1076?\u1091? \u1045?\u1074?\u1088?\u1086?\u1087?\u1077?\u1081?\u1089?\u1082?\u1080?\u1103? \u1089?\u1098?\u1102?\u1079? \u1080? \u1060?\u1077?\u1076?\u1077?\u1088?\u1072?\u1090?\u1080?\u1074?\u1085?\u1072? \u1088?\u1077?\u1087?\u1091?\u1073?\u1083?\u1080?\u1082?\u1072? \u1041?\u1088?\u1072?\u1079?\u1080?\u1083?\u1080?\u1103? \u1074? \u1089?\u1098?\u1086?\u1090?\u1074?\u1077?\u1090?\u1089?\u1090?\u1074?\u1080?\u1077? \u1089? \u1095?\u1083?\u1077?\u1085? XXIV, \u1087?\u1072?\u1088?\u1072?\u1075?\u1088?\u1072?\u1092? 6 \u1080? \u1095?\u1083?\u1077?\u1085? XXVIII \u1086?\u1090? \u1054?\u1073?\u1097?\u1086?\u1090?\u1086? \u1089?\u1087?\u1086?\u1088?\u1072?\u1079?\u1091?\u1084?\u1077?\u1085?\u1080?\u1077? \u1079?\u1072? \u1084?\u1080?\u1090?\u1072?\u1090?\u1072? \u1080? \u1090?\u1098?\u1088?\u1075?\u1086?\u1074?\u1080?\u1103?\u1090?\u1072? (\u1043?\u1040?\u1058?\u1058?) \u1086?\u1090? 1994 \u1075?. \u1074?\u1098?\u1074? \u1074?\u1088?\u1098?\u1079?\u1082?\u1072? \u1089? \u1080?\u1079?\u1084?\u1077?\u1085?\u1077?\u1085?\u1080?\u1077?\u1090?\u1086? \u1085?\u1072? \u1086?\u1090?\u1089?\u1090?\u1098?\u1087?\u1082?\u1080?\u1090?\u1077? \u1074? \u1089?\u1087?\u1080?\u1089?\u1098?\u1082?\u1072? \u1085?\u1072? \u1056?\u1077?\u1087?\u1091?\u1073?\u1083?\u1080?\u1082?\u1072? \u1061?\u1098?\u1088?\u1074?\u1072?\u1090?\u1080?\u1103? \u1074? \u1087?\u1088?\u1086?\u1094?\u1077?\u1089?\u1072? \u1085?\u1072? \u1087?\u1088?\u1080?\u1089?\u1098?\u1077?\u1076?\u1080?\u1085?\u1103?\u1074?\u1072?\u1085?\u1077?\u1090?\u1086? \u1117? \u1082?\u1098?\u1084? \u1045?\u1074?\u1088?\u1086?\u1087?\u1077?\u1081?\u1089?\u1082?\u1080?\u1103? \u1089?\u1098?\u1102?\u1079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chefinanciretextetable">
    <w:name w:val="Fiche financière texte (table)"/>
    <w:basedOn w:val="Normal"/>
    <w:pPr>
      <w:spacing w:after="0"/>
      <w:jc w:val="left"/>
    </w:pPr>
    <w:rPr>
      <w:rFonts w:eastAsia="Times New Roman"/>
      <w:sz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8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8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8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8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chefinanciretextetable">
    <w:name w:val="Fiche financière texte (table)"/>
    <w:basedOn w:val="Normal"/>
    <w:pPr>
      <w:spacing w:after="0"/>
      <w:jc w:val="left"/>
    </w:pPr>
    <w:rPr>
      <w:rFonts w:eastAsia="Times New Roman"/>
      <w:sz w:val="20"/>
    </w:rPr>
  </w:style>
  <w:style w:type="paragraph" w:customStyle="1" w:styleId="Fichefinanciretitretable">
    <w:name w:val="Fiche financière titre (table)"/>
    <w:basedOn w:val="Normal"/>
    <w:pPr>
      <w:jc w:val="center"/>
    </w:pPr>
    <w:rPr>
      <w:rFonts w:eastAsia="Times New Roman"/>
      <w:b/>
      <w:sz w:val="4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2"/>
      </w:numPr>
    </w:pPr>
  </w:style>
  <w:style w:type="paragraph" w:customStyle="1" w:styleId="Tiret1">
    <w:name w:val="Tiret 1"/>
    <w:basedOn w:val="Point1"/>
    <w:pPr>
      <w:numPr>
        <w:numId w:val="13"/>
      </w:numPr>
    </w:pPr>
  </w:style>
  <w:style w:type="paragraph" w:customStyle="1" w:styleId="Tiret2">
    <w:name w:val="Tiret 2"/>
    <w:basedOn w:val="Point2"/>
    <w:pPr>
      <w:numPr>
        <w:numId w:val="14"/>
      </w:numPr>
    </w:pPr>
  </w:style>
  <w:style w:type="paragraph" w:customStyle="1" w:styleId="Tiret3">
    <w:name w:val="Tiret 3"/>
    <w:basedOn w:val="Point3"/>
    <w:pPr>
      <w:numPr>
        <w:numId w:val="15"/>
      </w:numPr>
    </w:pPr>
  </w:style>
  <w:style w:type="paragraph" w:customStyle="1" w:styleId="Tiret4">
    <w:name w:val="Tiret 4"/>
    <w:basedOn w:val="Point4"/>
    <w:pPr>
      <w:numPr>
        <w:numId w:val="16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7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7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7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7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9"/>
      </w:numPr>
    </w:pPr>
  </w:style>
  <w:style w:type="paragraph" w:customStyle="1" w:styleId="Point1number">
    <w:name w:val="Point 1 (number)"/>
    <w:basedOn w:val="Normal"/>
    <w:pPr>
      <w:numPr>
        <w:ilvl w:val="2"/>
        <w:numId w:val="19"/>
      </w:numPr>
    </w:pPr>
  </w:style>
  <w:style w:type="paragraph" w:customStyle="1" w:styleId="Point2number">
    <w:name w:val="Point 2 (number)"/>
    <w:basedOn w:val="Normal"/>
    <w:pPr>
      <w:numPr>
        <w:ilvl w:val="4"/>
        <w:numId w:val="19"/>
      </w:numPr>
    </w:pPr>
  </w:style>
  <w:style w:type="paragraph" w:customStyle="1" w:styleId="Point3number">
    <w:name w:val="Point 3 (number)"/>
    <w:basedOn w:val="Normal"/>
    <w:pPr>
      <w:numPr>
        <w:ilvl w:val="6"/>
        <w:numId w:val="19"/>
      </w:numPr>
    </w:pPr>
  </w:style>
  <w:style w:type="paragraph" w:customStyle="1" w:styleId="Point0letter">
    <w:name w:val="Point 0 (letter)"/>
    <w:basedOn w:val="Normal"/>
    <w:pPr>
      <w:numPr>
        <w:ilvl w:val="1"/>
        <w:numId w:val="19"/>
      </w:numPr>
    </w:pPr>
  </w:style>
  <w:style w:type="paragraph" w:customStyle="1" w:styleId="Point1letter">
    <w:name w:val="Point 1 (letter)"/>
    <w:basedOn w:val="Normal"/>
    <w:pPr>
      <w:numPr>
        <w:ilvl w:val="3"/>
        <w:numId w:val="19"/>
      </w:numPr>
    </w:pPr>
  </w:style>
  <w:style w:type="paragraph" w:customStyle="1" w:styleId="Point2letter">
    <w:name w:val="Point 2 (letter)"/>
    <w:basedOn w:val="Normal"/>
    <w:pPr>
      <w:numPr>
        <w:ilvl w:val="5"/>
        <w:numId w:val="19"/>
      </w:numPr>
    </w:pPr>
  </w:style>
  <w:style w:type="paragraph" w:customStyle="1" w:styleId="Point3letter">
    <w:name w:val="Point 3 (letter)"/>
    <w:basedOn w:val="Normal"/>
    <w:pPr>
      <w:numPr>
        <w:ilvl w:val="7"/>
        <w:numId w:val="19"/>
      </w:numPr>
    </w:pPr>
  </w:style>
  <w:style w:type="paragraph" w:customStyle="1" w:styleId="Point4letter">
    <w:name w:val="Point 4 (letter)"/>
    <w:basedOn w:val="Normal"/>
    <w:pPr>
      <w:numPr>
        <w:ilvl w:val="8"/>
        <w:numId w:val="19"/>
      </w:numPr>
    </w:pPr>
  </w:style>
  <w:style w:type="paragraph" w:customStyle="1" w:styleId="Bullet0">
    <w:name w:val="Bullet 0"/>
    <w:basedOn w:val="Normal"/>
    <w:pPr>
      <w:numPr>
        <w:numId w:val="20"/>
      </w:numPr>
    </w:pPr>
  </w:style>
  <w:style w:type="paragraph" w:customStyle="1" w:styleId="Bullet1">
    <w:name w:val="Bullet 1"/>
    <w:basedOn w:val="Normal"/>
    <w:pPr>
      <w:numPr>
        <w:numId w:val="21"/>
      </w:numPr>
    </w:pPr>
  </w:style>
  <w:style w:type="paragraph" w:customStyle="1" w:styleId="Bullet2">
    <w:name w:val="Bullet 2"/>
    <w:basedOn w:val="Normal"/>
    <w:pPr>
      <w:numPr>
        <w:numId w:val="22"/>
      </w:numPr>
    </w:pPr>
  </w:style>
  <w:style w:type="paragraph" w:customStyle="1" w:styleId="Bullet3">
    <w:name w:val="Bullet 3"/>
    <w:basedOn w:val="Normal"/>
    <w:pPr>
      <w:numPr>
        <w:numId w:val="23"/>
      </w:numPr>
    </w:pPr>
  </w:style>
  <w:style w:type="paragraph" w:customStyle="1" w:styleId="Bullet4">
    <w:name w:val="Bullet 4"/>
    <w:basedOn w:val="Normal"/>
    <w:pPr>
      <w:numPr>
        <w:numId w:val="24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5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8</Pages>
  <Words>1352</Words>
  <Characters>7599</Characters>
  <Application>Microsoft Office Word</Application>
  <DocSecurity>0</DocSecurity>
  <Lines>237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2016-07-26T09:21:00Z</cp:lastPrinted>
  <dcterms:created xsi:type="dcterms:W3CDTF">2016-09-21T16:04:00Z</dcterms:created>
  <dcterms:modified xsi:type="dcterms:W3CDTF">2016-09-28T11:30:00Z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