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alt="25A176D7FED547A4874EE1FFB55E94FB" style="width:450.75pt;height:402pt">
            <v:imagedata r:id="rId12" o:title=""/>
          </v:shape>
        </w:pict>
      </w:r>
    </w:p>
    <w:bookmarkEnd w:id="0"/>
    <w:p>
      <w:pPr>
        <w:spacing w:line="276" w:lineRule="auto"/>
        <w:rPr>
          <w:noProof/>
          <w:highlight w:val="yellow"/>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1"/>
          <w:cols w:space="720"/>
          <w:docGrid w:linePitch="360"/>
        </w:sectPr>
      </w:pPr>
    </w:p>
    <w:p>
      <w:pPr>
        <w:spacing w:line="276" w:lineRule="auto"/>
        <w:rPr>
          <w:noProof/>
        </w:rPr>
      </w:pPr>
      <w:bookmarkStart w:id="1" w:name="_GoBack"/>
      <w:bookmarkEnd w:id="1"/>
    </w:p>
    <w:p>
      <w:pPr>
        <w:spacing w:line="276" w:lineRule="auto"/>
        <w:rPr>
          <w:noProof/>
        </w:rPr>
      </w:pPr>
    </w:p>
    <w:p>
      <w:pPr>
        <w:spacing w:line="276" w:lineRule="auto"/>
        <w:rPr>
          <w:noProof/>
        </w:rPr>
      </w:pPr>
    </w:p>
    <w:p>
      <w:pPr>
        <w:spacing w:line="276" w:lineRule="auto"/>
        <w:rPr>
          <w:noProof/>
        </w:rPr>
      </w:pPr>
    </w:p>
    <w:sdt>
      <w:sdtPr>
        <w:rPr>
          <w:noProof/>
        </w:rPr>
        <w:id w:val="-133720244"/>
        <w:docPartObj>
          <w:docPartGallery w:val="Table of Contents"/>
          <w:docPartUnique/>
        </w:docPartObj>
      </w:sdtPr>
      <w:sdtEndPr>
        <w:rPr>
          <w:b/>
          <w:bCs/>
        </w:rPr>
      </w:sdtEndPr>
      <w:sdtContent>
        <w:p>
          <w:pPr>
            <w:rPr>
              <w:noProof/>
              <w:lang w:val="en-GB"/>
            </w:rPr>
          </w:pPr>
        </w:p>
        <w:p>
          <w:pPr>
            <w:pStyle w:val="TOC1"/>
            <w:rPr>
              <w:rFonts w:asciiTheme="minorHAnsi" w:eastAsiaTheme="minorEastAsia" w:hAnsiTheme="minorHAnsi" w:cstheme="minorBidi"/>
              <w:noProof/>
              <w:sz w:val="22"/>
              <w:szCs w:val="22"/>
              <w:lang w:val="en-GB" w:eastAsia="en-GB" w:bidi="ar-SA"/>
            </w:rPr>
          </w:pPr>
          <w:r>
            <w:rPr>
              <w:noProof/>
            </w:rPr>
            <w:fldChar w:fldCharType="begin"/>
          </w:r>
          <w:r>
            <w:rPr>
              <w:noProof/>
            </w:rPr>
            <w:instrText xml:space="preserve"> TOC \o "1-3" \h \z \u </w:instrText>
          </w:r>
          <w:r>
            <w:rPr>
              <w:noProof/>
            </w:rPr>
            <w:fldChar w:fldCharType="separate"/>
          </w:r>
          <w:hyperlink w:anchor="_Toc466043284" w:history="1">
            <w:r>
              <w:rPr>
                <w:rStyle w:val="Hyperlink"/>
              </w:rPr>
              <w:t>1.</w:t>
            </w:r>
            <w:r>
              <w:rPr>
                <w:rFonts w:asciiTheme="minorHAnsi" w:eastAsiaTheme="minorEastAsia" w:hAnsiTheme="minorHAnsi" w:cstheme="minorBidi"/>
                <w:noProof/>
                <w:sz w:val="22"/>
                <w:szCs w:val="22"/>
                <w:lang w:val="en-GB" w:eastAsia="en-GB" w:bidi="ar-SA"/>
              </w:rPr>
              <w:tab/>
            </w:r>
            <w:r>
              <w:rPr>
                <w:rStyle w:val="Hyperlink"/>
              </w:rPr>
              <w:t>Общ преглед</w:t>
            </w:r>
            <w:r>
              <w:rPr>
                <w:noProof/>
                <w:webHidden/>
              </w:rPr>
              <w:tab/>
            </w:r>
            <w:r>
              <w:rPr>
                <w:noProof/>
                <w:webHidden/>
              </w:rPr>
              <w:fldChar w:fldCharType="begin"/>
            </w:r>
            <w:r>
              <w:rPr>
                <w:noProof/>
                <w:webHidden/>
              </w:rPr>
              <w:instrText xml:space="preserve"> PAGEREF _Toc466043284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66043289" w:history="1">
            <w:r>
              <w:rPr>
                <w:rStyle w:val="Hyperlink"/>
              </w:rPr>
              <w:t>2.</w:t>
            </w:r>
            <w:r>
              <w:rPr>
                <w:rFonts w:asciiTheme="minorHAnsi" w:eastAsiaTheme="minorEastAsia" w:hAnsiTheme="minorHAnsi" w:cstheme="minorBidi"/>
                <w:noProof/>
                <w:sz w:val="22"/>
                <w:szCs w:val="22"/>
                <w:lang w:val="en-GB" w:eastAsia="en-GB" w:bidi="ar-SA"/>
              </w:rPr>
              <w:tab/>
            </w:r>
            <w:r>
              <w:rPr>
                <w:rStyle w:val="Hyperlink"/>
              </w:rPr>
              <w:t>Действия във вътрешен и в международен план чрез финансиране на дейностите в областта на климата</w:t>
            </w:r>
            <w:r>
              <w:rPr>
                <w:noProof/>
                <w:webHidden/>
              </w:rPr>
              <w:tab/>
            </w:r>
            <w:r>
              <w:rPr>
                <w:noProof/>
                <w:webHidden/>
              </w:rPr>
              <w:fldChar w:fldCharType="begin"/>
            </w:r>
            <w:r>
              <w:rPr>
                <w:noProof/>
                <w:webHidden/>
              </w:rPr>
              <w:instrText xml:space="preserve"> PAGEREF _Toc466043289 \h </w:instrText>
            </w:r>
            <w:r>
              <w:rPr>
                <w:noProof/>
                <w:webHidden/>
              </w:rPr>
            </w:r>
            <w:r>
              <w:rPr>
                <w:noProof/>
                <w:webHidden/>
              </w:rPr>
              <w:fldChar w:fldCharType="separate"/>
            </w:r>
            <w:r>
              <w:rPr>
                <w:noProof/>
                <w:webHidden/>
              </w:rPr>
              <w:t>8</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66043295" w:history="1">
            <w:r>
              <w:rPr>
                <w:rStyle w:val="Hyperlink"/>
              </w:rPr>
              <w:t>3.</w:t>
            </w:r>
            <w:r>
              <w:rPr>
                <w:rFonts w:asciiTheme="minorHAnsi" w:eastAsiaTheme="minorEastAsia" w:hAnsiTheme="minorHAnsi" w:cstheme="minorBidi"/>
                <w:noProof/>
                <w:sz w:val="22"/>
                <w:szCs w:val="22"/>
                <w:lang w:val="en-GB" w:eastAsia="en-GB" w:bidi="ar-SA"/>
              </w:rPr>
              <w:tab/>
            </w:r>
            <w:r>
              <w:rPr>
                <w:rStyle w:val="Hyperlink"/>
              </w:rPr>
              <w:t>Ограничаване на емисиите от ЕС</w:t>
            </w:r>
            <w:r>
              <w:rPr>
                <w:noProof/>
                <w:webHidden/>
              </w:rPr>
              <w:tab/>
            </w:r>
            <w:r>
              <w:rPr>
                <w:noProof/>
                <w:webHidden/>
              </w:rPr>
              <w:fldChar w:fldCharType="begin"/>
            </w:r>
            <w:r>
              <w:rPr>
                <w:noProof/>
                <w:webHidden/>
              </w:rPr>
              <w:instrText xml:space="preserve"> PAGEREF _Toc466043295 \h </w:instrText>
            </w:r>
            <w:r>
              <w:rPr>
                <w:noProof/>
                <w:webHidden/>
              </w:rPr>
            </w:r>
            <w:r>
              <w:rPr>
                <w:noProof/>
                <w:webHidden/>
              </w:rPr>
              <w:fldChar w:fldCharType="separate"/>
            </w:r>
            <w:r>
              <w:rPr>
                <w:noProof/>
                <w:webHidden/>
              </w:rPr>
              <w:t>12</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66043304" w:history="1">
            <w:r>
              <w:rPr>
                <w:rStyle w:val="Hyperlink"/>
              </w:rPr>
              <w:t>4.</w:t>
            </w:r>
            <w:r>
              <w:rPr>
                <w:rFonts w:asciiTheme="minorHAnsi" w:eastAsiaTheme="minorEastAsia" w:hAnsiTheme="minorHAnsi" w:cstheme="minorBidi"/>
                <w:noProof/>
                <w:sz w:val="22"/>
                <w:szCs w:val="22"/>
                <w:lang w:val="en-GB" w:eastAsia="en-GB" w:bidi="ar-SA"/>
              </w:rPr>
              <w:tab/>
            </w:r>
            <w:r>
              <w:rPr>
                <w:rStyle w:val="Hyperlink"/>
              </w:rPr>
              <w:t>Адаптиране към изменението на климата</w:t>
            </w:r>
            <w:r>
              <w:rPr>
                <w:noProof/>
                <w:webHidden/>
              </w:rPr>
              <w:tab/>
            </w:r>
            <w:r>
              <w:rPr>
                <w:noProof/>
                <w:webHidden/>
              </w:rPr>
              <w:fldChar w:fldCharType="begin"/>
            </w:r>
            <w:r>
              <w:rPr>
                <w:noProof/>
                <w:webHidden/>
              </w:rPr>
              <w:instrText xml:space="preserve"> PAGEREF _Toc466043304 \h </w:instrText>
            </w:r>
            <w:r>
              <w:rPr>
                <w:noProof/>
                <w:webHidden/>
              </w:rPr>
            </w:r>
            <w:r>
              <w:rPr>
                <w:noProof/>
                <w:webHidden/>
              </w:rPr>
              <w:fldChar w:fldCharType="separate"/>
            </w:r>
            <w:r>
              <w:rPr>
                <w:noProof/>
                <w:webHidden/>
              </w:rPr>
              <w:t>16</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66043305" w:history="1">
            <w:r>
              <w:rPr>
                <w:rStyle w:val="Hyperlink"/>
              </w:rPr>
              <w:t>5.</w:t>
            </w:r>
            <w:r>
              <w:rPr>
                <w:rFonts w:asciiTheme="minorHAnsi" w:eastAsiaTheme="minorEastAsia" w:hAnsiTheme="minorHAnsi" w:cstheme="minorBidi"/>
                <w:noProof/>
                <w:sz w:val="22"/>
                <w:szCs w:val="22"/>
                <w:lang w:val="en-GB" w:eastAsia="en-GB" w:bidi="ar-SA"/>
              </w:rPr>
              <w:tab/>
            </w:r>
            <w:r>
              <w:rPr>
                <w:rStyle w:val="Hyperlink"/>
              </w:rPr>
              <w:t>Участие в международната политика в областта на климата</w:t>
            </w:r>
            <w:r>
              <w:rPr>
                <w:noProof/>
                <w:webHidden/>
              </w:rPr>
              <w:tab/>
            </w:r>
            <w:r>
              <w:rPr>
                <w:noProof/>
                <w:webHidden/>
              </w:rPr>
              <w:fldChar w:fldCharType="begin"/>
            </w:r>
            <w:r>
              <w:rPr>
                <w:noProof/>
                <w:webHidden/>
              </w:rPr>
              <w:instrText xml:space="preserve"> PAGEREF _Toc466043305 \h </w:instrText>
            </w:r>
            <w:r>
              <w:rPr>
                <w:noProof/>
                <w:webHidden/>
              </w:rPr>
            </w:r>
            <w:r>
              <w:rPr>
                <w:noProof/>
                <w:webHidden/>
              </w:rPr>
              <w:fldChar w:fldCharType="separate"/>
            </w:r>
            <w:r>
              <w:rPr>
                <w:noProof/>
                <w:webHidden/>
              </w:rPr>
              <w:t>17</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66043310" w:history="1">
            <w:r>
              <w:rPr>
                <w:rStyle w:val="Hyperlink"/>
              </w:rPr>
              <w:t>6.</w:t>
            </w:r>
            <w:r>
              <w:rPr>
                <w:rFonts w:asciiTheme="minorHAnsi" w:eastAsiaTheme="minorEastAsia" w:hAnsiTheme="minorHAnsi" w:cstheme="minorBidi"/>
                <w:noProof/>
                <w:sz w:val="22"/>
                <w:szCs w:val="22"/>
                <w:lang w:val="en-GB" w:eastAsia="en-GB" w:bidi="ar-SA"/>
              </w:rPr>
              <w:tab/>
            </w:r>
            <w:r>
              <w:rPr>
                <w:rStyle w:val="Hyperlink"/>
              </w:rPr>
              <w:t>Споделяне на опит</w:t>
            </w:r>
            <w:r>
              <w:rPr>
                <w:noProof/>
                <w:webHidden/>
              </w:rPr>
              <w:tab/>
            </w:r>
            <w:r>
              <w:rPr>
                <w:noProof/>
                <w:webHidden/>
              </w:rPr>
              <w:fldChar w:fldCharType="begin"/>
            </w:r>
            <w:r>
              <w:rPr>
                <w:noProof/>
                <w:webHidden/>
              </w:rPr>
              <w:instrText xml:space="preserve"> PAGEREF _Toc466043310 \h </w:instrText>
            </w:r>
            <w:r>
              <w:rPr>
                <w:noProof/>
                <w:webHidden/>
              </w:rPr>
            </w:r>
            <w:r>
              <w:rPr>
                <w:noProof/>
                <w:webHidden/>
              </w:rPr>
              <w:fldChar w:fldCharType="separate"/>
            </w:r>
            <w:r>
              <w:rPr>
                <w:noProof/>
                <w:webHidden/>
              </w:rPr>
              <w:t>18</w:t>
            </w:r>
            <w:r>
              <w:rPr>
                <w:noProof/>
                <w:webHidden/>
              </w:rPr>
              <w:fldChar w:fldCharType="end"/>
            </w:r>
          </w:hyperlink>
        </w:p>
        <w:p>
          <w:pPr>
            <w:rPr>
              <w:noProof/>
            </w:rPr>
          </w:pPr>
          <w:r>
            <w:rPr>
              <w:b/>
              <w:bCs/>
              <w:noProof/>
            </w:rPr>
            <w:fldChar w:fldCharType="end"/>
          </w:r>
        </w:p>
      </w:sdtContent>
    </w:sdt>
    <w:p>
      <w:pPr>
        <w:spacing w:line="276" w:lineRule="auto"/>
        <w:rPr>
          <w:b/>
          <w:bCs/>
          <w:noProof/>
        </w:rPr>
      </w:pPr>
      <w:r>
        <w:rPr>
          <w:noProof/>
        </w:rPr>
        <w:br w:type="page"/>
      </w:r>
    </w:p>
    <w:p>
      <w:pPr>
        <w:spacing w:line="276" w:lineRule="auto"/>
        <w:rPr>
          <w:b/>
          <w:bCs/>
          <w:noProof/>
        </w:rPr>
      </w:pPr>
    </w:p>
    <w:p>
      <w:pPr>
        <w:pStyle w:val="TOCHeading"/>
        <w:spacing w:line="276" w:lineRule="auto"/>
        <w:rPr>
          <w:noProof/>
        </w:rPr>
      </w:pPr>
      <w:r>
        <w:rPr>
          <w:noProof/>
        </w:rPr>
        <w:t>Указател на фигурите</w:t>
      </w:r>
    </w:p>
    <w:p>
      <w:pPr>
        <w:pStyle w:val="TableofFigures"/>
        <w:tabs>
          <w:tab w:val="right" w:leader="dot" w:pos="9063"/>
        </w:tabs>
        <w:rPr>
          <w:rFonts w:asciiTheme="minorHAnsi" w:eastAsiaTheme="minorEastAsia" w:hAnsiTheme="minorHAnsi" w:cstheme="minorBidi"/>
          <w:noProof/>
          <w:sz w:val="22"/>
          <w:szCs w:val="22"/>
          <w:lang w:bidi="ar-SA"/>
        </w:rPr>
      </w:pPr>
      <w:r>
        <w:rPr>
          <w:noProof/>
        </w:rPr>
        <w:fldChar w:fldCharType="begin"/>
      </w:r>
      <w:r>
        <w:rPr>
          <w:noProof/>
        </w:rPr>
        <w:instrText xml:space="preserve"> TOC \h \z \c "Figure" </w:instrText>
      </w:r>
      <w:r>
        <w:rPr>
          <w:noProof/>
        </w:rPr>
        <w:fldChar w:fldCharType="separate"/>
      </w:r>
      <w:hyperlink w:anchor="_Toc465952174" w:history="1">
        <w:r>
          <w:rPr>
            <w:rStyle w:val="Hyperlink"/>
          </w:rPr>
          <w:t>Фигура 1: Напредък към постигането на целите по Стратегия „Европа 2020“</w:t>
        </w:r>
        <w:r>
          <w:rPr>
            <w:noProof/>
            <w:webHidden/>
          </w:rPr>
          <w:tab/>
        </w:r>
        <w:r>
          <w:rPr>
            <w:noProof/>
            <w:webHidden/>
          </w:rPr>
          <w:fldChar w:fldCharType="begin"/>
        </w:r>
        <w:r>
          <w:rPr>
            <w:noProof/>
            <w:webHidden/>
          </w:rPr>
          <w:instrText xml:space="preserve"> PAGEREF _Toc465952174 \h </w:instrText>
        </w:r>
        <w:r>
          <w:rPr>
            <w:noProof/>
            <w:webHidden/>
          </w:rPr>
        </w:r>
        <w:r>
          <w:rPr>
            <w:noProof/>
            <w:webHidden/>
          </w:rPr>
          <w:fldChar w:fldCharType="separate"/>
        </w:r>
        <w:r>
          <w:rPr>
            <w:noProof/>
            <w:webHidden/>
          </w:rPr>
          <w:t>4</w:t>
        </w:r>
        <w:r>
          <w:rPr>
            <w:noProof/>
            <w:webHidden/>
          </w:rPr>
          <w:fldChar w:fldCharType="end"/>
        </w:r>
      </w:hyperlink>
    </w:p>
    <w:p>
      <w:pPr>
        <w:pStyle w:val="TableofFigures"/>
        <w:tabs>
          <w:tab w:val="right" w:leader="dot" w:pos="9063"/>
        </w:tabs>
        <w:rPr>
          <w:rFonts w:asciiTheme="minorHAnsi" w:eastAsiaTheme="minorEastAsia" w:hAnsiTheme="minorHAnsi" w:cstheme="minorBidi"/>
          <w:noProof/>
          <w:sz w:val="22"/>
          <w:szCs w:val="22"/>
          <w:lang w:bidi="ar-SA"/>
        </w:rPr>
      </w:pPr>
      <w:hyperlink w:anchor="_Toc465952175" w:history="1">
        <w:r>
          <w:rPr>
            <w:rStyle w:val="Hyperlink"/>
          </w:rPr>
          <w:t>Фигура 2: Процентно изменение на БВП (в реално измерение), на емисиите на парникови газове (ПГ) и на емисионната интензивност на икономиката (отношението между емисиите и БВП), Индекс (1990 г. = 100)</w:t>
        </w:r>
        <w:r>
          <w:rPr>
            <w:noProof/>
            <w:webHidden/>
          </w:rPr>
          <w:tab/>
        </w:r>
        <w:r>
          <w:rPr>
            <w:noProof/>
            <w:webHidden/>
          </w:rPr>
          <w:fldChar w:fldCharType="begin"/>
        </w:r>
        <w:r>
          <w:rPr>
            <w:noProof/>
            <w:webHidden/>
          </w:rPr>
          <w:instrText xml:space="preserve"> PAGEREF _Toc465952175 \h </w:instrText>
        </w:r>
        <w:r>
          <w:rPr>
            <w:noProof/>
            <w:webHidden/>
          </w:rPr>
        </w:r>
        <w:r>
          <w:rPr>
            <w:noProof/>
            <w:webHidden/>
          </w:rPr>
          <w:fldChar w:fldCharType="separate"/>
        </w:r>
        <w:r>
          <w:rPr>
            <w:noProof/>
            <w:webHidden/>
          </w:rPr>
          <w:t>5</w:t>
        </w:r>
        <w:r>
          <w:rPr>
            <w:noProof/>
            <w:webHidden/>
          </w:rPr>
          <w:fldChar w:fldCharType="end"/>
        </w:r>
      </w:hyperlink>
    </w:p>
    <w:p>
      <w:pPr>
        <w:pStyle w:val="TableofFigures"/>
        <w:tabs>
          <w:tab w:val="right" w:leader="dot" w:pos="9063"/>
        </w:tabs>
        <w:rPr>
          <w:rFonts w:asciiTheme="minorHAnsi" w:eastAsiaTheme="minorEastAsia" w:hAnsiTheme="minorHAnsi" w:cstheme="minorBidi"/>
          <w:noProof/>
          <w:sz w:val="22"/>
          <w:szCs w:val="22"/>
          <w:lang w:bidi="ar-SA"/>
        </w:rPr>
      </w:pPr>
      <w:hyperlink w:anchor="_Toc465952176" w:history="1">
        <w:r>
          <w:rPr>
            <w:rStyle w:val="Hyperlink"/>
          </w:rPr>
          <w:t>Фигура 3 Оценена (2015 г.) и прогнозна (2020 г.) относителна разлика между емисиите и целите съгласно РРУ (в % от емисиите за базовата 2005 година).  Отрицателните и положителните стойности означават съответно преизпълнение и неизпълнение на целите.</w:t>
        </w:r>
        <w:r>
          <w:rPr>
            <w:noProof/>
            <w:webHidden/>
          </w:rPr>
          <w:tab/>
        </w:r>
        <w:r>
          <w:rPr>
            <w:noProof/>
            <w:webHidden/>
          </w:rPr>
          <w:fldChar w:fldCharType="begin"/>
        </w:r>
        <w:r>
          <w:rPr>
            <w:noProof/>
            <w:webHidden/>
          </w:rPr>
          <w:instrText xml:space="preserve"> PAGEREF _Toc465952176 \h </w:instrText>
        </w:r>
        <w:r>
          <w:rPr>
            <w:noProof/>
            <w:webHidden/>
          </w:rPr>
        </w:r>
        <w:r>
          <w:rPr>
            <w:noProof/>
            <w:webHidden/>
          </w:rPr>
          <w:fldChar w:fldCharType="separate"/>
        </w:r>
        <w:r>
          <w:rPr>
            <w:noProof/>
            <w:webHidden/>
          </w:rPr>
          <w:t>7</w:t>
        </w:r>
        <w:r>
          <w:rPr>
            <w:noProof/>
            <w:webHidden/>
          </w:rPr>
          <w:fldChar w:fldCharType="end"/>
        </w:r>
      </w:hyperlink>
    </w:p>
    <w:p>
      <w:pPr>
        <w:pStyle w:val="TableofFigures"/>
        <w:tabs>
          <w:tab w:val="right" w:leader="dot" w:pos="9063"/>
        </w:tabs>
        <w:rPr>
          <w:rFonts w:asciiTheme="minorHAnsi" w:eastAsiaTheme="minorEastAsia" w:hAnsiTheme="minorHAnsi" w:cstheme="minorBidi"/>
          <w:noProof/>
          <w:sz w:val="22"/>
          <w:szCs w:val="22"/>
          <w:lang w:bidi="ar-SA"/>
        </w:rPr>
      </w:pPr>
      <w:hyperlink w:anchor="_Toc465952177" w:history="1">
        <w:r>
          <w:rPr>
            <w:rStyle w:val="Hyperlink"/>
          </w:rPr>
          <w:t>Фигура 4: Използване на приходите от тръжна продажба, изразходени в областта на климата и енергетиката в държавите членки, по сектори (среднопретеглена стойност за ЕС) през 2015 г.</w:t>
        </w:r>
        <w:r>
          <w:rPr>
            <w:noProof/>
            <w:webHidden/>
          </w:rPr>
          <w:tab/>
        </w:r>
        <w:r>
          <w:rPr>
            <w:noProof/>
            <w:webHidden/>
          </w:rPr>
          <w:fldChar w:fldCharType="begin"/>
        </w:r>
        <w:r>
          <w:rPr>
            <w:noProof/>
            <w:webHidden/>
          </w:rPr>
          <w:instrText xml:space="preserve"> PAGEREF _Toc465952177 \h </w:instrText>
        </w:r>
        <w:r>
          <w:rPr>
            <w:noProof/>
            <w:webHidden/>
          </w:rPr>
        </w:r>
        <w:r>
          <w:rPr>
            <w:noProof/>
            <w:webHidden/>
          </w:rPr>
          <w:fldChar w:fldCharType="separate"/>
        </w:r>
        <w:r>
          <w:rPr>
            <w:noProof/>
            <w:webHidden/>
          </w:rPr>
          <w:t>9</w:t>
        </w:r>
        <w:r>
          <w:rPr>
            <w:noProof/>
            <w:webHidden/>
          </w:rPr>
          <w:fldChar w:fldCharType="end"/>
        </w:r>
      </w:hyperlink>
    </w:p>
    <w:p>
      <w:pPr>
        <w:pStyle w:val="TableofFigures"/>
        <w:tabs>
          <w:tab w:val="right" w:leader="dot" w:pos="9063"/>
        </w:tabs>
        <w:rPr>
          <w:rFonts w:asciiTheme="minorHAnsi" w:eastAsiaTheme="minorEastAsia" w:hAnsiTheme="minorHAnsi" w:cstheme="minorBidi"/>
          <w:noProof/>
          <w:sz w:val="22"/>
          <w:szCs w:val="22"/>
          <w:lang w:bidi="ar-SA"/>
        </w:rPr>
      </w:pPr>
      <w:hyperlink w:anchor="_Toc465952178" w:history="1">
        <w:r>
          <w:rPr>
            <w:rStyle w:val="Hyperlink"/>
          </w:rPr>
          <w:t>Фигура 5: Последваща оценка на въздействието на СТЕ на ЕС, политиките в областта на възобновяемите енергийни източници, данъчното облагане и други върху емисиите на CO</w:t>
        </w:r>
        <w:r>
          <w:rPr>
            <w:rStyle w:val="Hyperlink"/>
            <w:vertAlign w:val="subscript"/>
          </w:rPr>
          <w:t>2</w:t>
        </w:r>
        <w:r>
          <w:rPr>
            <w:rStyle w:val="Hyperlink"/>
          </w:rPr>
          <w:t xml:space="preserve"> от горене</w:t>
        </w:r>
        <w:r>
          <w:rPr>
            <w:noProof/>
            <w:webHidden/>
          </w:rPr>
          <w:tab/>
        </w:r>
        <w:r>
          <w:rPr>
            <w:noProof/>
            <w:webHidden/>
          </w:rPr>
          <w:fldChar w:fldCharType="begin"/>
        </w:r>
        <w:r>
          <w:rPr>
            <w:noProof/>
            <w:webHidden/>
          </w:rPr>
          <w:instrText xml:space="preserve"> PAGEREF _Toc465952178 \h </w:instrText>
        </w:r>
        <w:r>
          <w:rPr>
            <w:noProof/>
            <w:webHidden/>
          </w:rPr>
        </w:r>
        <w:r>
          <w:rPr>
            <w:noProof/>
            <w:webHidden/>
          </w:rPr>
          <w:fldChar w:fldCharType="separate"/>
        </w:r>
        <w:r>
          <w:rPr>
            <w:noProof/>
            <w:webHidden/>
          </w:rPr>
          <w:t>19</w:t>
        </w:r>
        <w:r>
          <w:rPr>
            <w:noProof/>
            <w:webHidden/>
          </w:rPr>
          <w:fldChar w:fldCharType="end"/>
        </w:r>
      </w:hyperlink>
    </w:p>
    <w:p>
      <w:pPr>
        <w:spacing w:line="276" w:lineRule="auto"/>
        <w:rPr>
          <w:noProof/>
        </w:rPr>
      </w:pPr>
      <w:r>
        <w:rPr>
          <w:noProof/>
        </w:rPr>
        <w:fldChar w:fldCharType="end"/>
      </w:r>
    </w:p>
    <w:p>
      <w:pPr>
        <w:spacing w:line="276" w:lineRule="auto"/>
        <w:rPr>
          <w:noProof/>
        </w:rPr>
      </w:pPr>
    </w:p>
    <w:p>
      <w:pPr>
        <w:spacing w:line="276" w:lineRule="auto"/>
        <w:rPr>
          <w:noProof/>
        </w:rPr>
      </w:pPr>
    </w:p>
    <w:p>
      <w:pPr>
        <w:spacing w:line="276" w:lineRule="auto"/>
        <w:rPr>
          <w:noProof/>
        </w:rPr>
        <w:sectPr>
          <w:headerReference w:type="even" r:id="rId19"/>
          <w:headerReference w:type="default" r:id="rId20"/>
          <w:footerReference w:type="even" r:id="rId21"/>
          <w:footerReference w:type="default" r:id="rId22"/>
          <w:headerReference w:type="first" r:id="rId23"/>
          <w:footerReference w:type="first" r:id="rId24"/>
          <w:pgSz w:w="11907" w:h="16839"/>
          <w:pgMar w:top="1134" w:right="1417" w:bottom="1134" w:left="1417" w:header="709" w:footer="709" w:gutter="0"/>
          <w:pgNumType w:start="2"/>
          <w:cols w:space="708"/>
          <w:docGrid w:linePitch="360"/>
        </w:sectPr>
      </w:pPr>
    </w:p>
    <w:p>
      <w:pPr>
        <w:pStyle w:val="ManualHeading1"/>
        <w:rPr>
          <w:noProof/>
        </w:rPr>
      </w:pPr>
      <w:bookmarkStart w:id="2" w:name="_Toc461715115"/>
      <w:bookmarkStart w:id="3" w:name="_Toc465090120"/>
      <w:bookmarkStart w:id="4" w:name="_Toc466043284"/>
      <w:bookmarkEnd w:id="2"/>
      <w:r>
        <w:t>1.</w:t>
      </w:r>
      <w:r>
        <w:tab/>
      </w:r>
      <w:r>
        <w:rPr>
          <w:noProof/>
        </w:rPr>
        <w:t>Общ преглед</w:t>
      </w:r>
      <w:bookmarkEnd w:id="3"/>
      <w:bookmarkEnd w:id="4"/>
    </w:p>
    <w:p>
      <w:pPr>
        <w:pStyle w:val="ManualHeading2"/>
        <w:rPr>
          <w:i/>
          <w:noProof/>
        </w:rPr>
      </w:pPr>
      <w:bookmarkStart w:id="5" w:name="_Toc463527672"/>
      <w:bookmarkStart w:id="6" w:name="_Toc463538557"/>
      <w:bookmarkStart w:id="7" w:name="_Toc463621131"/>
      <w:bookmarkStart w:id="8" w:name="_Toc463628458"/>
      <w:bookmarkStart w:id="9" w:name="_Toc465073858"/>
      <w:bookmarkStart w:id="10" w:name="_Toc465090121"/>
      <w:bookmarkStart w:id="11" w:name="_Toc466043285"/>
      <w:bookmarkStart w:id="12" w:name="_Toc456787438"/>
      <w:bookmarkStart w:id="13" w:name="_Toc461443626"/>
      <w:bookmarkStart w:id="14" w:name="_Toc461715116"/>
      <w:bookmarkStart w:id="15" w:name="_Toc461715490"/>
      <w:r>
        <w:t>1.1.</w:t>
      </w:r>
      <w:r>
        <w:tab/>
      </w:r>
      <w:r>
        <w:rPr>
          <w:noProof/>
        </w:rPr>
        <w:t>Ратификация на Парижкото споразумение</w:t>
      </w:r>
      <w:bookmarkEnd w:id="5"/>
      <w:bookmarkEnd w:id="6"/>
      <w:bookmarkEnd w:id="7"/>
      <w:bookmarkEnd w:id="8"/>
      <w:bookmarkEnd w:id="9"/>
      <w:bookmarkEnd w:id="10"/>
      <w:bookmarkEnd w:id="11"/>
    </w:p>
    <w:p>
      <w:pPr>
        <w:spacing w:line="276" w:lineRule="auto"/>
        <w:rPr>
          <w:noProof/>
        </w:rPr>
      </w:pPr>
      <w:r>
        <w:rPr>
          <w:noProof/>
        </w:rPr>
        <w:t>На 4 октомври 2016 г. ЕС ратифицира Парижкото споразумение по изменение на климата, с което стана възможно то да влезе в сила на 4 ноември 2016 г. На 5 октомври 2015 г. ЕС депозира своите документи за ратификация заедно с осем държави членки, които вече бяха приключили своите национални процедури за ратификация: Унгария, Франция, Австрия, Малта, Германия, Португалия, Полша и Словакия. Гърция и Швеция депозираха своите документи за ратификация по-късно през октомври 2016 г. Останалите държави членки ще продължат вътрешните си процедури по ратифицирането, за да депозират своите документи за ратификация възможно най-скоро. эаэаэаъэаъэаояаяоаоаожажоаожажоооажао</w:t>
      </w:r>
    </w:p>
    <w:p>
      <w:pPr>
        <w:spacing w:line="276" w:lineRule="auto"/>
        <w:rPr>
          <w:noProof/>
        </w:rPr>
      </w:pPr>
      <w:r>
        <w:rPr>
          <w:noProof/>
        </w:rPr>
        <w:t xml:space="preserve">Парижкото споразумение представлява ключово събитие в глобален мащаб за засилване на колективните действия и за ускоряване на глобалния преход към общество, което е с ниски въглеродни емисии и е устойчиво на измененията на климата. През март 2016 г. Комисията представи своята оценка на Парижкото споразумение. На база на това съобщение европейските ръководители подчертаха ангажимента на ЕС да намали собствените си емисии на парникови газове, да увеличи дела на енергията от възобновяеми източници и да подобри енергийната ефективност съгласно договореното през октомври 2014 г. Привеждането на законодателството в съответствие с оглед на прилагането на тази рамка продължава да бъде приоритет за ЕС. </w:t>
      </w:r>
    </w:p>
    <w:p>
      <w:pPr>
        <w:spacing w:line="276" w:lineRule="auto"/>
        <w:rPr>
          <w:noProof/>
        </w:rPr>
      </w:pPr>
      <w:r>
        <w:rPr>
          <w:noProof/>
        </w:rPr>
        <w:t xml:space="preserve">Парижкото споразумение ще замени подхода, възприет в рамките на Протокола от Киото от 1997 г., който съдържа ангажименти до края на 2020 г. Вторият етап от Протокола от Киото служи като мост към глобалното споразумение по изменението на климата за периода след 2020 г. ЕС вече постига резултати от законодателството си за 2020 г. (Решението за разпределяне на усилията, схемата на ЕС за търговия с емисии, Регламент относно механизъм за мониторинг), като ЕС и неговите държави членки са на път съвместно да постигнат целта си за втория период на ангажименти по Протокола от Киото. </w:t>
      </w:r>
    </w:p>
    <w:p>
      <w:pPr>
        <w:pStyle w:val="ManualHeading2"/>
        <w:rPr>
          <w:i/>
          <w:noProof/>
        </w:rPr>
      </w:pPr>
      <w:bookmarkStart w:id="16" w:name="_Toc463527673"/>
      <w:bookmarkStart w:id="17" w:name="_Toc463538558"/>
      <w:bookmarkStart w:id="18" w:name="_Toc463621132"/>
      <w:bookmarkStart w:id="19" w:name="_Toc463628459"/>
      <w:bookmarkStart w:id="20" w:name="_Toc465073859"/>
      <w:bookmarkStart w:id="21" w:name="_Toc465090122"/>
      <w:bookmarkStart w:id="22" w:name="_Toc466043286"/>
      <w:r>
        <w:t>1.2.</w:t>
      </w:r>
      <w:r>
        <w:tab/>
      </w:r>
      <w:r>
        <w:rPr>
          <w:noProof/>
        </w:rPr>
        <w:t xml:space="preserve">Напредък към постигането на целта за намаляване на емисиите най-малко с 40 % </w:t>
      </w:r>
      <w:bookmarkEnd w:id="12"/>
      <w:bookmarkEnd w:id="13"/>
      <w:bookmarkEnd w:id="14"/>
      <w:bookmarkEnd w:id="15"/>
      <w:bookmarkEnd w:id="16"/>
      <w:bookmarkEnd w:id="17"/>
      <w:bookmarkEnd w:id="18"/>
      <w:r>
        <w:rPr>
          <w:noProof/>
        </w:rPr>
        <w:t>до 2030 г.</w:t>
      </w:r>
      <w:bookmarkEnd w:id="19"/>
      <w:bookmarkEnd w:id="20"/>
      <w:bookmarkEnd w:id="21"/>
      <w:bookmarkEnd w:id="22"/>
      <w:r>
        <w:rPr>
          <w:noProof/>
        </w:rPr>
        <w:t xml:space="preserve"> </w:t>
      </w:r>
    </w:p>
    <w:p>
      <w:pPr>
        <w:spacing w:line="276" w:lineRule="auto"/>
        <w:rPr>
          <w:noProof/>
        </w:rPr>
      </w:pPr>
      <w:r>
        <w:rPr>
          <w:noProof/>
        </w:rPr>
        <w:t xml:space="preserve">Както е видно от фигура 1 по-долу, през 2015 г. емисиите на парникови газове в ЕС са били с 22 % по-ниски от нивото през 1990 г. Делът на ЕС в емисиите в световен мащаб също намалява с течение на времето. Според последната налична информация от базата данни EDGAR, през 2012 г. този дял е бил 8,8 %. </w:t>
      </w:r>
    </w:p>
    <w:p>
      <w:pPr>
        <w:pStyle w:val="Caption"/>
        <w:spacing w:line="276" w:lineRule="auto"/>
        <w:jc w:val="center"/>
        <w:rPr>
          <w:noProof/>
        </w:rPr>
      </w:pPr>
      <w:bookmarkStart w:id="23" w:name="_Ref453575767"/>
      <w:bookmarkStart w:id="24" w:name="_Ref453575763"/>
      <w:bookmarkStart w:id="25" w:name="_Toc463626508"/>
      <w:bookmarkStart w:id="26" w:name="_Toc465952174"/>
      <w:r>
        <w:rPr>
          <w:noProof/>
        </w:rPr>
        <w:t xml:space="preserve">Фигура </w:t>
      </w:r>
      <w:r>
        <w:rPr>
          <w:noProof/>
        </w:rPr>
        <w:fldChar w:fldCharType="begin"/>
      </w:r>
      <w:r>
        <w:rPr>
          <w:noProof/>
        </w:rPr>
        <w:instrText xml:space="preserve"> SEQ Figure \* ARABIC </w:instrText>
      </w:r>
      <w:r>
        <w:rPr>
          <w:noProof/>
        </w:rPr>
        <w:fldChar w:fldCharType="separate"/>
      </w:r>
      <w:r>
        <w:rPr>
          <w:noProof/>
        </w:rPr>
        <w:t>1</w:t>
      </w:r>
      <w:r>
        <w:rPr>
          <w:noProof/>
        </w:rPr>
        <w:fldChar w:fldCharType="end"/>
      </w:r>
      <w:bookmarkEnd w:id="23"/>
      <w:r>
        <w:rPr>
          <w:noProof/>
        </w:rPr>
        <w:t>: Напредък към постигането на целите по Стратегия „Европа 2020“</w:t>
      </w:r>
      <w:bookmarkEnd w:id="24"/>
      <w:bookmarkEnd w:id="25"/>
      <w:bookmarkEnd w:id="26"/>
    </w:p>
    <w:p>
      <w:pPr>
        <w:spacing w:line="276" w:lineRule="auto"/>
        <w:rPr>
          <w:noProof/>
          <w:sz w:val="20"/>
          <w:szCs w:val="20"/>
        </w:rPr>
      </w:pPr>
      <w:r>
        <w:rPr>
          <w:noProof/>
          <w:sz w:val="20"/>
        </w:rPr>
        <w:t xml:space="preserve"> </w:t>
      </w:r>
      <w:r>
        <w:rPr>
          <w:noProof/>
          <w:lang w:val="en-US" w:eastAsia="en-US" w:bidi="ar-SA"/>
        </w:rPr>
        <w:drawing>
          <wp:inline distT="0" distB="0" distL="0" distR="0">
            <wp:extent cx="6336665" cy="2837267"/>
            <wp:effectExtent l="0" t="0" r="698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336665" cy="2837267"/>
                    </a:xfrm>
                    <a:prstGeom prst="rect">
                      <a:avLst/>
                    </a:prstGeom>
                    <a:noFill/>
                    <a:ln>
                      <a:noFill/>
                    </a:ln>
                  </pic:spPr>
                </pic:pic>
              </a:graphicData>
            </a:graphic>
          </wp:inline>
        </w:drawing>
      </w:r>
    </w:p>
    <w:p>
      <w:pPr>
        <w:spacing w:line="276" w:lineRule="auto"/>
        <w:rPr>
          <w:noProof/>
        </w:rPr>
      </w:pPr>
      <w:r>
        <w:rPr>
          <w:noProof/>
        </w:rPr>
        <w:t xml:space="preserve">След като през 2014 г. беше отбелязан значителен спад от 4 %, през 2015 г. емисиите слабо се повишиха (с 0,7 %). Макар да е общопризнато, че 2015 г. е най-топлата година, регистрирана някога в световен мащаб, в Европа времето беше по-студено през 2015 г., отколкото през 2014 г., което доведе до увеличаване на „отоплителните денградуси“ с 4 %. Освен това цената на изкопаемите горива, особено на горивото за ДВГ, също се понижи през 2015 г., което допринесе за нарастване на покупките спрямо 2014 г. В средно- до дългосрочен план обаче по отношение на емисиите се наблюдава тенденция на спад. </w:t>
      </w:r>
    </w:p>
    <w:p>
      <w:pPr>
        <w:spacing w:line="276" w:lineRule="auto"/>
        <w:rPr>
          <w:noProof/>
        </w:rPr>
      </w:pPr>
      <w:r>
        <w:rPr>
          <w:noProof/>
        </w:rPr>
        <w:t>Според прогнозите на държавите членки, основани на съществуващите мерки, общите емисии в ЕС се оценяват през 2030 г. да бъдат с 26 % по-ниски от нивата от 1990 г. Въвеждат се нови политики за смекчаване на последиците, така че да бъде постигната договорената в Париж цел на ЕС за намаляване на собствените емисии на парникови газове най-малко с 40 % до 2030 г. спрямо нивото от 1990 г. С прилагането на тези политики емисиите от ЕС ще следват траекторията, показана в зелено на фигура 1. Описанието на тези законодателни и незаконодателни инструменти е представено в следващите раздели.</w:t>
      </w:r>
    </w:p>
    <w:p>
      <w:pPr>
        <w:spacing w:line="276" w:lineRule="auto"/>
        <w:rPr>
          <w:noProof/>
        </w:rPr>
      </w:pPr>
      <w:r>
        <w:rPr>
          <w:noProof/>
        </w:rPr>
        <w:t>ЕС продължава успешно да постига разделяне на икономическия растеж от изменението на емисиите. През периода 1990—2015 г. общият БВП на ЕС е нараснал с 50 %, а сумарните емисии (без емисиите от земеползването, промените в земеползването и горското стопанство (LULUCF), но включително с емисиите от международната авиация) са намалели с 22 %. Емисионната интензивност на икономиката на ЕС, определена като отношението между емисиите на парникови газове и БВП, е намаляла почти наполовина в периода 1990—2015 г.</w:t>
      </w:r>
    </w:p>
    <w:p>
      <w:pPr>
        <w:pStyle w:val="Caption"/>
        <w:spacing w:line="276" w:lineRule="auto"/>
        <w:rPr>
          <w:noProof/>
        </w:rPr>
      </w:pPr>
      <w:bookmarkStart w:id="27" w:name="_Ref463948996"/>
      <w:bookmarkStart w:id="28" w:name="_Toc465952175"/>
      <w:r>
        <w:rPr>
          <w:noProof/>
        </w:rPr>
        <w:t xml:space="preserve">Фигура </w:t>
      </w:r>
      <w:r>
        <w:rPr>
          <w:noProof/>
        </w:rPr>
        <w:fldChar w:fldCharType="begin"/>
      </w:r>
      <w:r>
        <w:rPr>
          <w:noProof/>
        </w:rPr>
        <w:instrText xml:space="preserve"> SEQ Figure \* ARABIC </w:instrText>
      </w:r>
      <w:r>
        <w:rPr>
          <w:noProof/>
        </w:rPr>
        <w:fldChar w:fldCharType="separate"/>
      </w:r>
      <w:r>
        <w:rPr>
          <w:noProof/>
        </w:rPr>
        <w:t>2</w:t>
      </w:r>
      <w:r>
        <w:rPr>
          <w:noProof/>
        </w:rPr>
        <w:fldChar w:fldCharType="end"/>
      </w:r>
      <w:bookmarkEnd w:id="27"/>
      <w:r>
        <w:rPr>
          <w:noProof/>
        </w:rPr>
        <w:t>: Процентно изменение на БВП (в реално измерение), на емисиите на парникови газове (ПГ) и на емисионната интензивност на икономиката (отношението между емисиите и БВП), Индекс (1990 г. = 100)</w:t>
      </w:r>
      <w:bookmarkEnd w:id="28"/>
    </w:p>
    <w:p>
      <w:pPr>
        <w:spacing w:line="276" w:lineRule="auto"/>
        <w:jc w:val="center"/>
        <w:rPr>
          <w:noProof/>
        </w:rPr>
      </w:pPr>
      <w:r>
        <w:rPr>
          <w:noProof/>
          <w:lang w:val="en-US" w:eastAsia="en-US" w:bidi="ar-SA"/>
        </w:rPr>
        <w:drawing>
          <wp:inline distT="0" distB="0" distL="0" distR="0">
            <wp:extent cx="5972810" cy="407987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972810" cy="4079875"/>
                    </a:xfrm>
                    <a:prstGeom prst="rect">
                      <a:avLst/>
                    </a:prstGeom>
                  </pic:spPr>
                </pic:pic>
              </a:graphicData>
            </a:graphic>
          </wp:inline>
        </w:drawing>
      </w:r>
    </w:p>
    <w:p>
      <w:pPr>
        <w:pStyle w:val="ManualHeading2"/>
        <w:rPr>
          <w:i/>
          <w:noProof/>
        </w:rPr>
      </w:pPr>
      <w:bookmarkStart w:id="29" w:name="_Toc463527674"/>
      <w:bookmarkStart w:id="30" w:name="_Toc463538560"/>
      <w:bookmarkStart w:id="31" w:name="_Toc463621134"/>
      <w:bookmarkStart w:id="32" w:name="_Toc463628460"/>
      <w:bookmarkStart w:id="33" w:name="_Toc465073860"/>
      <w:bookmarkStart w:id="34" w:name="_Toc465090123"/>
      <w:bookmarkStart w:id="35" w:name="_Toc466043287"/>
      <w:r>
        <w:t>1.3.</w:t>
      </w:r>
      <w:r>
        <w:tab/>
      </w:r>
      <w:r>
        <w:rPr>
          <w:noProof/>
        </w:rPr>
        <w:t>Напредък към постигането на целите за 2020 г.</w:t>
      </w:r>
      <w:bookmarkEnd w:id="29"/>
      <w:bookmarkEnd w:id="30"/>
      <w:bookmarkEnd w:id="31"/>
      <w:bookmarkEnd w:id="32"/>
      <w:bookmarkEnd w:id="33"/>
      <w:bookmarkEnd w:id="34"/>
      <w:bookmarkEnd w:id="35"/>
    </w:p>
    <w:p>
      <w:pPr>
        <w:spacing w:line="276" w:lineRule="auto"/>
        <w:rPr>
          <w:noProof/>
        </w:rPr>
      </w:pPr>
      <w:r>
        <w:rPr>
          <w:noProof/>
        </w:rPr>
        <w:t xml:space="preserve">Според предоставените през 2015 г. от държавите членки прогнози, основани на съществуващите мерки, през 2020 г. се очаква емисиите да бъдат с 24 % по-ниски спрямо нивата от 1990 г. В рамките на своята стратегия за 2020 г. ЕС се ангажира да намали емисиите на парникови газове с 20 % спрямо нивата от 1990 г. По този начин ЕС е на път да изпълни тази цел за вътрешно намаление на емисиите. </w:t>
      </w:r>
    </w:p>
    <w:p>
      <w:pPr>
        <w:spacing w:line="276" w:lineRule="auto"/>
        <w:rPr>
          <w:noProof/>
        </w:rPr>
      </w:pPr>
      <w:r>
        <w:rPr>
          <w:noProof/>
        </w:rPr>
        <w:t xml:space="preserve">Схемата на ЕС за търговия с емисии (СТЕ на ЕС) е крайъгълен камък в политиката на ЕС в областта на климата. Тя се отнася предимно до секторите на промишлеността и енергетиката. В периода 2005—2015 г. емисиите, обхванати от СТЕ на ЕС, които представляват малко под половината от общите емисии в ЕС, са намалели с 24 %. През същия период емисиите извън СТЕ на ЕС са намалели с 12 %. Оценките сочат, че през 2015 г. емисиите на парникови газове от инсталации, които участват в СТЕ на ЕС, са намалели с малко под 0,4 %. Това потвърждава тенденцията на понижаване през последните пет години. Освен това излишъкът от квоти за емисии, който се е натрупал в схемата от 2009 г. насам, е намалял значително до около 1,78 млрд. квоти в резултат на отлагането на квоти. По този начин излишъкът достигна най-ниското си ниво от началото на настоящия период на търговия през 2013 г. Вследствие на отлагането на квоти бяха отложени търговете за 400 млн. квоти през 2014 г., 300 млн. през 2015 г. и 200 млн. през 2016 г. Тези квоти ще бъдат прехвърлени към резерва за стабилност на пазара (РСП), който ще започне да функционира от януари 2019 г. и ще бъде насочен към настоящия излишък от квоти. По-късно тази година ще бъде публикуван доклад за функционирането на пазара на въглеродни емисии. </w:t>
      </w:r>
    </w:p>
    <w:p>
      <w:pPr>
        <w:spacing w:line="276" w:lineRule="auto"/>
        <w:rPr>
          <w:noProof/>
        </w:rPr>
      </w:pPr>
      <w:r>
        <w:rPr>
          <w:noProof/>
        </w:rPr>
        <w:t xml:space="preserve">Според Решението за разпределяне на усилията (РРУ) държавите членки трябва да постигнат задължителни годишни цели за емисиите на парникови газове за периода 2013—2020 г. в сектори, които не са обхванати от СТЕ, например строителство, транспорт, водоснабдяване и селско стопанство. Според инвентаризацията за 2013 г. и 2014 г. и ориентировъчната инвентаризация за 2015 г. (вж. фигура 2) своите цели за тригодишния период 2013—2015 г. са постигнали 27 държави членки. Само емисиите на Малта са надвишавали целта през всяка от тези три години. Съответно емисиите на Малта са по-високи от първоначално предвиденото в националните прогнози. По тази причина държавата трябва да използва разпоредбите за гъвкавост по Решението за разпределяне на усилията (например закупуване на единици от други държави членки) и може да се наложи също така да актуализира своите прогнози за 2020 г. на база на скорошните данни за емисиите.  </w:t>
      </w:r>
    </w:p>
    <w:p>
      <w:pPr>
        <w:pStyle w:val="Caption"/>
        <w:spacing w:line="276" w:lineRule="auto"/>
        <w:rPr>
          <w:noProof/>
        </w:rPr>
      </w:pPr>
      <w:bookmarkStart w:id="36" w:name="_Ref391375663"/>
      <w:bookmarkStart w:id="37" w:name="_Toc425430548"/>
      <w:bookmarkStart w:id="38" w:name="_Toc429760994"/>
      <w:bookmarkStart w:id="39" w:name="_Toc465952176"/>
      <w:bookmarkEnd w:id="36"/>
      <w:r>
        <w:rPr>
          <w:noProof/>
        </w:rPr>
        <w:t xml:space="preserve">Фигура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rPr>
          <w:noProof/>
        </w:rPr>
        <w:t xml:space="preserve"> Оценена (2015 г.) и прогнозна (2020 г.) относителна разлика между емисиите и целите съгласно РРУ (в % от емисиите за базовата 2005 година).  Отрицателните и положителните стойности означават съответно преизпълнение и неизпълнение на целите</w:t>
      </w:r>
      <w:bookmarkEnd w:id="37"/>
      <w:r>
        <w:rPr>
          <w:noProof/>
        </w:rPr>
        <w:t>.</w:t>
      </w:r>
      <w:bookmarkEnd w:id="38"/>
      <w:bookmarkEnd w:id="39"/>
      <w:r>
        <w:rPr>
          <w:noProof/>
        </w:rPr>
        <w:t xml:space="preserve"> </w:t>
      </w:r>
    </w:p>
    <w:p>
      <w:pPr>
        <w:spacing w:line="276" w:lineRule="auto"/>
        <w:jc w:val="center"/>
        <w:rPr>
          <w:noProof/>
        </w:rPr>
      </w:pPr>
      <w:r>
        <w:rPr>
          <w:noProof/>
          <w:lang w:val="en-US" w:eastAsia="en-US" w:bidi="ar-SA"/>
        </w:rPr>
        <w:drawing>
          <wp:inline distT="0" distB="0" distL="0" distR="0">
            <wp:extent cx="6336665" cy="2892677"/>
            <wp:effectExtent l="0" t="0" r="6985"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336665" cy="2892677"/>
                    </a:xfrm>
                    <a:prstGeom prst="rect">
                      <a:avLst/>
                    </a:prstGeom>
                    <a:noFill/>
                    <a:ln>
                      <a:noFill/>
                    </a:ln>
                  </pic:spPr>
                </pic:pic>
              </a:graphicData>
            </a:graphic>
          </wp:inline>
        </w:drawing>
      </w:r>
    </w:p>
    <w:p>
      <w:pPr>
        <w:spacing w:line="276" w:lineRule="auto"/>
        <w:rPr>
          <w:noProof/>
          <w:sz w:val="20"/>
          <w:szCs w:val="20"/>
        </w:rPr>
      </w:pPr>
      <w:r>
        <w:rPr>
          <w:noProof/>
        </w:rPr>
        <w:t>Освен това през 2020 г. се очаква, че повечето държави членки ще постигнат своите цели съгласно РРУ в съответствие с националните прогнози, които се базират на вече прилагани политики. Според собствените им прогнози няколко държави членки все още трябва да предприемат допълнителни мерки или да използват възможностите за гъвкавост през 2020 г.:</w:t>
      </w:r>
    </w:p>
    <w:p>
      <w:pPr>
        <w:numPr>
          <w:ilvl w:val="0"/>
          <w:numId w:val="41"/>
        </w:numPr>
        <w:spacing w:before="0" w:after="200" w:line="276" w:lineRule="auto"/>
        <w:rPr>
          <w:noProof/>
        </w:rPr>
      </w:pPr>
      <w:r>
        <w:rPr>
          <w:noProof/>
        </w:rPr>
        <w:t>В Ирландия се очаква емисиите да се запазят на същото ниво до 2020 г., като емисиите от транспорта се очаква да се увеличат значително дотогава. През юни 2016 г., в контекста на европейския семестър (годишен цикъл за координация на макроикономическата, бюджетната и структурната политика в ЕС), ръководителите на ЕС препоръчаха на Ирландия допълнително да намали емисиите, като инвестира повече в обществения транспорт.</w:t>
      </w:r>
    </w:p>
    <w:p>
      <w:pPr>
        <w:numPr>
          <w:ilvl w:val="0"/>
          <w:numId w:val="41"/>
        </w:numPr>
        <w:spacing w:before="0" w:after="200" w:line="276" w:lineRule="auto"/>
        <w:rPr>
          <w:noProof/>
        </w:rPr>
      </w:pPr>
      <w:r>
        <w:rPr>
          <w:noProof/>
        </w:rPr>
        <w:t xml:space="preserve">Според последните национални прогнози емисиите на Люксембург до 2020 г. ще надвишават националната цел с 5 %. </w:t>
      </w:r>
    </w:p>
    <w:p>
      <w:pPr>
        <w:numPr>
          <w:ilvl w:val="0"/>
          <w:numId w:val="41"/>
        </w:numPr>
        <w:spacing w:line="276" w:lineRule="auto"/>
        <w:rPr>
          <w:noProof/>
        </w:rPr>
      </w:pPr>
      <w:r>
        <w:rPr>
          <w:noProof/>
        </w:rPr>
        <w:t>Очаква се също и Белгия да не изпълни целта за 2020 г. с 5 %. Допълнителни инвестиции в транспортната инфраструктура и мощностите за производство на енергия биха могли обаче да допринесат за намаляването на емисиите. Продължаващото благоприятно третиране на служебните автомобили допринася за замърсяването, претоварването на пътищата и емисиите на парникови газове.</w:t>
      </w:r>
    </w:p>
    <w:p>
      <w:pPr>
        <w:numPr>
          <w:ilvl w:val="0"/>
          <w:numId w:val="41"/>
        </w:numPr>
        <w:spacing w:line="276" w:lineRule="auto"/>
        <w:rPr>
          <w:noProof/>
        </w:rPr>
      </w:pPr>
      <w:r>
        <w:rPr>
          <w:noProof/>
        </w:rPr>
        <w:t xml:space="preserve">Според техните прогнози Австрия, Дания и Финландия също е възможно да не постигнат своите цели за емисиите до 2020 г., но при тях маржът е под 5 %. Ако обаче бъдат осъществени планираните от Австрия и Финландия допълнителни мерки, те все пак биха могли да постигнат своите цели. </w:t>
      </w:r>
    </w:p>
    <w:p>
      <w:pPr>
        <w:pStyle w:val="ManualHeading2"/>
        <w:rPr>
          <w:noProof/>
        </w:rPr>
      </w:pPr>
      <w:bookmarkStart w:id="40" w:name="_Toc461443627"/>
      <w:bookmarkStart w:id="41" w:name="_Toc461715117"/>
      <w:bookmarkStart w:id="42" w:name="_Toc461715491"/>
      <w:bookmarkStart w:id="43" w:name="_Toc463527675"/>
      <w:bookmarkStart w:id="44" w:name="_Toc463538561"/>
      <w:bookmarkStart w:id="45" w:name="_Toc463621135"/>
      <w:bookmarkStart w:id="46" w:name="_Toc463628461"/>
      <w:bookmarkStart w:id="47" w:name="_Toc465073861"/>
      <w:bookmarkStart w:id="48" w:name="_Toc465090124"/>
      <w:bookmarkStart w:id="49" w:name="_Toc466043288"/>
      <w:bookmarkStart w:id="50" w:name="_Toc456787439"/>
      <w:r>
        <w:t>1.4.</w:t>
      </w:r>
      <w:r>
        <w:tab/>
      </w:r>
      <w:r>
        <w:rPr>
          <w:noProof/>
        </w:rPr>
        <w:t>Съответствие с изискванията за изпълнение на целта по Протокола от Киото за първия период на ангажименти и напредък към постигането на целта за втория период на ангажименти</w:t>
      </w:r>
      <w:bookmarkEnd w:id="40"/>
      <w:bookmarkEnd w:id="41"/>
      <w:bookmarkEnd w:id="42"/>
      <w:bookmarkEnd w:id="43"/>
      <w:bookmarkEnd w:id="44"/>
      <w:bookmarkEnd w:id="45"/>
      <w:bookmarkEnd w:id="46"/>
      <w:bookmarkEnd w:id="47"/>
      <w:bookmarkEnd w:id="48"/>
      <w:bookmarkEnd w:id="49"/>
      <w:r>
        <w:rPr>
          <w:noProof/>
        </w:rPr>
        <w:t xml:space="preserve"> </w:t>
      </w:r>
    </w:p>
    <w:p>
      <w:pPr>
        <w:spacing w:line="276" w:lineRule="auto"/>
        <w:rPr>
          <w:noProof/>
        </w:rPr>
      </w:pPr>
      <w:r>
        <w:rPr>
          <w:noProof/>
        </w:rPr>
        <w:t>На 2 август 2016 г. РКООНИК публикува окончателните доклади на страните по Протокола от Киото за първия период на ангажименти („CP1“), който съответства на периода 2008—2012 г. Ангажименти за този период са поети от 26 държави членки и ЕС като страна. През CP1 емисиите от ЕС са 23,5 млрд. тона CO</w:t>
      </w:r>
      <w:r>
        <w:rPr>
          <w:noProof/>
          <w:vertAlign w:val="subscript"/>
        </w:rPr>
        <w:t>2</w:t>
      </w:r>
      <w:r>
        <w:rPr>
          <w:noProof/>
        </w:rPr>
        <w:t>-екв. спрямо общата цел от 26,7 млрд. тона CO</w:t>
      </w:r>
      <w:r>
        <w:rPr>
          <w:noProof/>
          <w:vertAlign w:val="subscript"/>
        </w:rPr>
        <w:t>2</w:t>
      </w:r>
      <w:r>
        <w:rPr>
          <w:noProof/>
        </w:rPr>
        <w:t xml:space="preserve">-екв. Следователно тази цел е изпълнена с марж от 12 %, както е представено по-подробно в таблица 7 от работния документ на службите на Комисията. </w:t>
      </w:r>
    </w:p>
    <w:p>
      <w:pPr>
        <w:spacing w:line="276" w:lineRule="auto"/>
        <w:rPr>
          <w:noProof/>
        </w:rPr>
      </w:pPr>
      <w:r>
        <w:rPr>
          <w:noProof/>
        </w:rPr>
        <w:t xml:space="preserve">Като цяло, с оглед на постигането на съответствие, ЕС е използвал 21,8 млрд. предписани емисионни единици (ПЕЕ), 818 млн. сертифицирани единици редуцирани емисии (СЕРЕ), 1,6 млн. временни СЕРЕ, 508 млн. единици намаление на емисии (ЕНЕ) и 390 млн. единици погълнати емисии (ЕПЕ). ЕС е пренесъл 4 млрд. ПЕЕ, 1,5 млрд. СЕРЕ и 1,7 млрд. ЕНЕ. Пренесените единици може да се използват за постигането на съответствие през втория период на ангажименти („CP2“) при спазване на правилата, определени в изменението от Доха на Протокола от Киото. Пренесените ПЕЕ обаче не може да се използват за съответствието с целите, опредени в законодателството на ЕС в областта на климата и енергетиката, а използването на СЕРЕ и ЕНЕ е ограничено от гледна точка на качеството и количеството. </w:t>
      </w:r>
    </w:p>
    <w:p>
      <w:pPr>
        <w:spacing w:line="276" w:lineRule="auto"/>
        <w:rPr>
          <w:b/>
          <w:i/>
          <w:noProof/>
          <w:u w:val="single"/>
        </w:rPr>
      </w:pPr>
      <w:r>
        <w:rPr>
          <w:noProof/>
        </w:rPr>
        <w:t xml:space="preserve">През втория период на ангажименти (2013—2020 г.) всичките 28 държави членки поеха ангажимент съвместно да постигнат обща за ЕС цел. Според прогнозите на държавите членки ЕС и неговите 28 държави членки са на път да преизпълнят тази цел.  </w:t>
      </w:r>
      <w:bookmarkStart w:id="51" w:name="_Toc463527676"/>
      <w:bookmarkStart w:id="52" w:name="_Toc463538562"/>
      <w:bookmarkStart w:id="53" w:name="_Toc463621136"/>
      <w:bookmarkEnd w:id="50"/>
      <w:bookmarkEnd w:id="51"/>
      <w:bookmarkEnd w:id="52"/>
      <w:bookmarkEnd w:id="53"/>
    </w:p>
    <w:p>
      <w:pPr>
        <w:pStyle w:val="ManualHeading1"/>
        <w:rPr>
          <w:noProof/>
        </w:rPr>
      </w:pPr>
      <w:bookmarkStart w:id="54" w:name="_Toc463527677"/>
      <w:bookmarkStart w:id="55" w:name="_Toc463538563"/>
      <w:bookmarkStart w:id="56" w:name="_Toc463621137"/>
      <w:bookmarkStart w:id="57" w:name="_Toc463626519"/>
      <w:bookmarkStart w:id="58" w:name="_Toc463527678"/>
      <w:bookmarkStart w:id="59" w:name="_Toc463538564"/>
      <w:bookmarkStart w:id="60" w:name="_Toc463621138"/>
      <w:bookmarkStart w:id="61" w:name="_Toc463626520"/>
      <w:bookmarkStart w:id="62" w:name="_Toc463527679"/>
      <w:bookmarkStart w:id="63" w:name="_Toc463538565"/>
      <w:bookmarkStart w:id="64" w:name="_Toc463621139"/>
      <w:bookmarkStart w:id="65" w:name="_Toc463626521"/>
      <w:bookmarkStart w:id="66" w:name="_Ref425340651"/>
      <w:bookmarkStart w:id="67" w:name="_Toc463527680"/>
      <w:bookmarkStart w:id="68" w:name="_Toc463538566"/>
      <w:bookmarkStart w:id="69" w:name="_Toc463621140"/>
      <w:bookmarkStart w:id="70" w:name="_Toc463626522"/>
      <w:bookmarkStart w:id="71" w:name="_Toc463527681"/>
      <w:bookmarkStart w:id="72" w:name="_Toc463538567"/>
      <w:bookmarkStart w:id="73" w:name="_Toc463621141"/>
      <w:bookmarkStart w:id="74" w:name="_Toc463626523"/>
      <w:bookmarkStart w:id="75" w:name="_Toc463527682"/>
      <w:bookmarkStart w:id="76" w:name="_Toc463538568"/>
      <w:bookmarkStart w:id="77" w:name="_Toc463621142"/>
      <w:bookmarkStart w:id="78" w:name="_Toc463626524"/>
      <w:bookmarkStart w:id="79" w:name="_Toc463527683"/>
      <w:bookmarkStart w:id="80" w:name="_Toc463538569"/>
      <w:bookmarkStart w:id="81" w:name="_Toc463621143"/>
      <w:bookmarkStart w:id="82" w:name="_Toc463626525"/>
      <w:bookmarkStart w:id="83" w:name="_Toc463527684"/>
      <w:bookmarkStart w:id="84" w:name="_Toc463538570"/>
      <w:bookmarkStart w:id="85" w:name="_Toc463621144"/>
      <w:bookmarkStart w:id="86" w:name="_Toc463626526"/>
      <w:bookmarkStart w:id="87" w:name="_Toc463527685"/>
      <w:bookmarkStart w:id="88" w:name="_Toc463538571"/>
      <w:bookmarkStart w:id="89" w:name="_Toc463621145"/>
      <w:bookmarkStart w:id="90" w:name="_Toc463626527"/>
      <w:bookmarkStart w:id="91" w:name="_Toc463527686"/>
      <w:bookmarkStart w:id="92" w:name="_Toc463538572"/>
      <w:bookmarkStart w:id="93" w:name="_Toc463621146"/>
      <w:bookmarkStart w:id="94" w:name="_Toc463626528"/>
      <w:bookmarkStart w:id="95" w:name="_Toc463527687"/>
      <w:bookmarkStart w:id="96" w:name="_Toc463538573"/>
      <w:bookmarkStart w:id="97" w:name="_Toc463621147"/>
      <w:bookmarkStart w:id="98" w:name="_Toc463626529"/>
      <w:bookmarkStart w:id="99" w:name="_Toc463527688"/>
      <w:bookmarkStart w:id="100" w:name="_Toc463538574"/>
      <w:bookmarkStart w:id="101" w:name="_Toc463621148"/>
      <w:bookmarkStart w:id="102" w:name="_Toc463626530"/>
      <w:bookmarkStart w:id="103" w:name="_Toc397608268"/>
      <w:bookmarkStart w:id="104" w:name="_Toc397608298"/>
      <w:bookmarkStart w:id="105" w:name="_Toc397608328"/>
      <w:bookmarkStart w:id="106" w:name="_Toc397612334"/>
      <w:bookmarkStart w:id="107" w:name="_Toc398043825"/>
      <w:bookmarkStart w:id="108" w:name="_Toc398193290"/>
      <w:bookmarkStart w:id="109" w:name="_Toc397608269"/>
      <w:bookmarkStart w:id="110" w:name="_Toc397608299"/>
      <w:bookmarkStart w:id="111" w:name="_Toc397608329"/>
      <w:bookmarkStart w:id="112" w:name="_Toc397612335"/>
      <w:bookmarkStart w:id="113" w:name="_Toc398043826"/>
      <w:bookmarkStart w:id="114" w:name="_Toc398193291"/>
      <w:bookmarkStart w:id="115" w:name="_Toc463527689"/>
      <w:bookmarkStart w:id="116" w:name="_Toc463538575"/>
      <w:bookmarkStart w:id="117" w:name="_Toc463621149"/>
      <w:bookmarkStart w:id="118" w:name="_Toc463626531"/>
      <w:bookmarkStart w:id="119" w:name="_Toc463527690"/>
      <w:bookmarkStart w:id="120" w:name="_Toc463538576"/>
      <w:bookmarkStart w:id="121" w:name="_Toc463621150"/>
      <w:bookmarkStart w:id="122" w:name="_Toc463626532"/>
      <w:bookmarkStart w:id="123" w:name="_Toc463527691"/>
      <w:bookmarkStart w:id="124" w:name="_Toc463538577"/>
      <w:bookmarkStart w:id="125" w:name="_Toc463621151"/>
      <w:bookmarkStart w:id="126" w:name="_Toc463626533"/>
      <w:bookmarkStart w:id="127" w:name="_Toc463527692"/>
      <w:bookmarkStart w:id="128" w:name="_Toc463538578"/>
      <w:bookmarkStart w:id="129" w:name="_Toc463621152"/>
      <w:bookmarkStart w:id="130" w:name="_Toc463626534"/>
      <w:bookmarkStart w:id="131" w:name="_Toc463527693"/>
      <w:bookmarkStart w:id="132" w:name="_Toc463538579"/>
      <w:bookmarkStart w:id="133" w:name="_Toc463621153"/>
      <w:bookmarkStart w:id="134" w:name="_Toc463626535"/>
      <w:bookmarkStart w:id="135" w:name="_Toc463527694"/>
      <w:bookmarkStart w:id="136" w:name="_Toc463538580"/>
      <w:bookmarkStart w:id="137" w:name="_Toc463621154"/>
      <w:bookmarkStart w:id="138" w:name="_Toc463626536"/>
      <w:bookmarkStart w:id="139" w:name="_Toc463527695"/>
      <w:bookmarkStart w:id="140" w:name="_Toc463538581"/>
      <w:bookmarkStart w:id="141" w:name="_Toc463621155"/>
      <w:bookmarkStart w:id="142" w:name="_Toc463626537"/>
      <w:bookmarkStart w:id="143" w:name="_Toc463527696"/>
      <w:bookmarkStart w:id="144" w:name="_Toc463538582"/>
      <w:bookmarkStart w:id="145" w:name="_Toc463621156"/>
      <w:bookmarkStart w:id="146" w:name="_Toc463626538"/>
      <w:bookmarkStart w:id="147" w:name="_Toc463527697"/>
      <w:bookmarkStart w:id="148" w:name="_Toc463538583"/>
      <w:bookmarkStart w:id="149" w:name="_Toc463621157"/>
      <w:bookmarkStart w:id="150" w:name="_Toc463626539"/>
      <w:bookmarkStart w:id="151" w:name="_Toc463527698"/>
      <w:bookmarkStart w:id="152" w:name="_Toc463538584"/>
      <w:bookmarkStart w:id="153" w:name="_Toc463621158"/>
      <w:bookmarkStart w:id="154" w:name="_Toc463626540"/>
      <w:bookmarkStart w:id="155" w:name="_Toc463527699"/>
      <w:bookmarkStart w:id="156" w:name="_Toc463538585"/>
      <w:bookmarkStart w:id="157" w:name="_Toc463621159"/>
      <w:bookmarkStart w:id="158" w:name="_Toc463626541"/>
      <w:bookmarkStart w:id="159" w:name="_Toc465090125"/>
      <w:bookmarkStart w:id="160" w:name="_Toc466043289"/>
      <w:bookmarkStart w:id="161" w:name="_Toc3713381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t>2.</w:t>
      </w:r>
      <w:r>
        <w:tab/>
      </w:r>
      <w:r>
        <w:rPr>
          <w:noProof/>
        </w:rPr>
        <w:t>Действия във вътрешен и в международен план чрез финансиране на дейностите в областта на климата</w:t>
      </w:r>
      <w:bookmarkEnd w:id="159"/>
      <w:bookmarkEnd w:id="160"/>
    </w:p>
    <w:p>
      <w:pPr>
        <w:pStyle w:val="ManualHeading2"/>
        <w:rPr>
          <w:i/>
          <w:noProof/>
        </w:rPr>
      </w:pPr>
      <w:bookmarkStart w:id="162" w:name="_Toc463527701"/>
      <w:bookmarkStart w:id="163" w:name="_Toc463538587"/>
      <w:bookmarkStart w:id="164" w:name="_Toc463621161"/>
      <w:bookmarkStart w:id="165" w:name="_Toc463628463"/>
      <w:bookmarkStart w:id="166" w:name="_Toc465073863"/>
      <w:bookmarkStart w:id="167" w:name="_Toc465090126"/>
      <w:bookmarkStart w:id="168" w:name="_Toc466043290"/>
      <w:r>
        <w:t>2.1.</w:t>
      </w:r>
      <w:r>
        <w:tab/>
      </w:r>
      <w:r>
        <w:rPr>
          <w:noProof/>
        </w:rPr>
        <w:t>Мобилизиране на приходите от тръжната продажба на квоти по СТЕ на ЕС</w:t>
      </w:r>
      <w:bookmarkEnd w:id="162"/>
      <w:bookmarkEnd w:id="163"/>
      <w:bookmarkEnd w:id="164"/>
      <w:bookmarkEnd w:id="165"/>
      <w:bookmarkEnd w:id="166"/>
      <w:bookmarkEnd w:id="167"/>
      <w:bookmarkEnd w:id="168"/>
    </w:p>
    <w:p>
      <w:pPr>
        <w:pStyle w:val="ManualHeading2"/>
        <w:rPr>
          <w:i/>
          <w:noProof/>
        </w:rPr>
      </w:pPr>
      <w:bookmarkStart w:id="169" w:name="_Toc463527702"/>
      <w:bookmarkStart w:id="170" w:name="_Toc463538588"/>
      <w:bookmarkStart w:id="171" w:name="_Toc463621162"/>
      <w:bookmarkStart w:id="172" w:name="_Toc463628464"/>
      <w:bookmarkStart w:id="173" w:name="_Toc465073864"/>
      <w:bookmarkStart w:id="174" w:name="_Toc465090127"/>
      <w:bookmarkStart w:id="175" w:name="_Toc466043291"/>
      <w:r>
        <w:tab/>
      </w:r>
      <w:r>
        <w:rPr>
          <w:noProof/>
        </w:rPr>
        <w:t>Използване от държавите членки на приходи от търгове за квоти</w:t>
      </w:r>
      <w:bookmarkEnd w:id="169"/>
      <w:bookmarkEnd w:id="170"/>
      <w:bookmarkEnd w:id="171"/>
      <w:bookmarkEnd w:id="172"/>
      <w:bookmarkEnd w:id="173"/>
      <w:bookmarkEnd w:id="174"/>
      <w:bookmarkEnd w:id="175"/>
    </w:p>
    <w:p>
      <w:pPr>
        <w:spacing w:line="276" w:lineRule="auto"/>
        <w:rPr>
          <w:noProof/>
        </w:rPr>
      </w:pPr>
      <w:r>
        <w:rPr>
          <w:noProof/>
        </w:rPr>
        <w:t xml:space="preserve">От тръжната продажба на квоти по СТЕ през 2015 г. са генерирани приходи в размер на 4,9 млрд. евро за държавите членки, 98 % от които идват от стационарни инсталации и 2 % от въздухоплаването. Според информацията, предоставена на Комисията, държавите членки са изразходили или планират да изразходят 77 % от тези приходи за цели, свързани с климата. </w:t>
      </w:r>
    </w:p>
    <w:p>
      <w:pPr>
        <w:spacing w:line="276" w:lineRule="auto"/>
        <w:rPr>
          <w:noProof/>
        </w:rPr>
      </w:pPr>
      <w:r>
        <w:rPr>
          <w:noProof/>
        </w:rPr>
        <w:t xml:space="preserve">Както е видно от фигура 4, тези приходи са изразходвани според приоритетите на държавите членки. Например Унгария наскоро реши да инвестира част от тези приходи в електротранспорта. Франция и Чешката република изразходват повечето от приходите за енергийна ефективност. В Испания приоритетът все още е развиването на енергетикта от възобновяеми източници. Повече информация относно използването на приходите от тръжната продажба ще бъде представена в следващия доклад за състоянието на енергийния съюз. </w:t>
      </w:r>
    </w:p>
    <w:p>
      <w:pPr>
        <w:pStyle w:val="Caption"/>
        <w:spacing w:line="276" w:lineRule="auto"/>
        <w:rPr>
          <w:noProof/>
        </w:rPr>
      </w:pPr>
      <w:bookmarkStart w:id="176" w:name="_Ref463619855"/>
      <w:bookmarkStart w:id="177" w:name="_Toc465952177"/>
      <w:r>
        <w:rPr>
          <w:noProof/>
        </w:rPr>
        <w:t xml:space="preserve">Фигура </w:t>
      </w:r>
      <w:r>
        <w:rPr>
          <w:noProof/>
        </w:rPr>
        <w:fldChar w:fldCharType="begin"/>
      </w:r>
      <w:r>
        <w:rPr>
          <w:noProof/>
        </w:rPr>
        <w:instrText xml:space="preserve"> SEQ Figure \* ARABIC </w:instrText>
      </w:r>
      <w:r>
        <w:rPr>
          <w:noProof/>
        </w:rPr>
        <w:fldChar w:fldCharType="separate"/>
      </w:r>
      <w:r>
        <w:rPr>
          <w:noProof/>
        </w:rPr>
        <w:t>4</w:t>
      </w:r>
      <w:r>
        <w:rPr>
          <w:noProof/>
        </w:rPr>
        <w:fldChar w:fldCharType="end"/>
      </w:r>
      <w:bookmarkEnd w:id="176"/>
      <w:r>
        <w:rPr>
          <w:noProof/>
        </w:rPr>
        <w:t>: Използване на приходите от тръжна продажба, изразходени в областта на климата и енергетиката в държавите членки, по сектори (среднопретеглена стойност за ЕС) през 2015 г.</w:t>
      </w:r>
      <w:bookmarkEnd w:id="177"/>
    </w:p>
    <w:p>
      <w:pPr>
        <w:spacing w:line="276" w:lineRule="auto"/>
        <w:jc w:val="left"/>
        <w:rPr>
          <w:noProof/>
        </w:rPr>
      </w:pPr>
      <w:r>
        <w:rPr>
          <w:noProof/>
          <w:lang w:val="en-US" w:eastAsia="en-US" w:bidi="ar-SA"/>
        </w:rPr>
        <w:drawing>
          <wp:inline distT="0" distB="0" distL="0" distR="0">
            <wp:extent cx="6336665" cy="3063673"/>
            <wp:effectExtent l="0" t="0" r="6985"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336665" cy="3063673"/>
                    </a:xfrm>
                    <a:prstGeom prst="rect">
                      <a:avLst/>
                    </a:prstGeom>
                    <a:noFill/>
                    <a:ln>
                      <a:noFill/>
                    </a:ln>
                  </pic:spPr>
                </pic:pic>
              </a:graphicData>
            </a:graphic>
          </wp:inline>
        </w:drawing>
      </w:r>
    </w:p>
    <w:p>
      <w:pPr>
        <w:pStyle w:val="ManualHeading2"/>
        <w:rPr>
          <w:i/>
          <w:noProof/>
        </w:rPr>
      </w:pPr>
      <w:bookmarkStart w:id="178" w:name="_Toc463527703"/>
      <w:bookmarkStart w:id="179" w:name="_Toc463538589"/>
      <w:bookmarkStart w:id="180" w:name="_Toc463621163"/>
      <w:bookmarkStart w:id="181" w:name="_Toc463628465"/>
      <w:bookmarkStart w:id="182" w:name="_Toc465073865"/>
      <w:bookmarkStart w:id="183" w:name="_Toc465090128"/>
      <w:bookmarkStart w:id="184" w:name="_Toc466043292"/>
      <w:r>
        <w:tab/>
      </w:r>
      <w:r>
        <w:rPr>
          <w:noProof/>
        </w:rPr>
        <w:t>Програмата „NER 300“</w:t>
      </w:r>
      <w:bookmarkEnd w:id="178"/>
      <w:bookmarkEnd w:id="179"/>
      <w:bookmarkEnd w:id="180"/>
      <w:bookmarkEnd w:id="181"/>
      <w:bookmarkEnd w:id="182"/>
      <w:bookmarkEnd w:id="183"/>
      <w:bookmarkEnd w:id="184"/>
      <w:r>
        <w:rPr>
          <w:noProof/>
        </w:rPr>
        <w:t xml:space="preserve">  </w:t>
      </w:r>
    </w:p>
    <w:p>
      <w:pPr>
        <w:spacing w:line="276" w:lineRule="auto"/>
        <w:rPr>
          <w:noProof/>
        </w:rPr>
      </w:pPr>
      <w:r>
        <w:rPr>
          <w:noProof/>
        </w:rPr>
        <w:t>Програма „NER 300“ е една от най-големите програми в световен мащаб за финансирането на иновативни демонстрационни проекти за енергия с ниски въглеродни емисии, които се финансират чрез тръжната продажба на 300 млн. квоти по СТЕ. По програмата „Резерв за нови участници — NER 300“ са избрани проекти за финансиране в 19 държави членки: 37 проекта за енергия от възобновяеми източници и един проект за улавяне и съхранение на въглероден диоксид (CCS). Три от тях вече са в експлоатация и произвеждат чиста енергия. Общото предоставено финансиране по програма „NER 300“ възлиза на 2,1 млрд. евро и се очаква то да привлече допълнително 2,7 млрд. евро частни инвестиции.</w:t>
      </w:r>
    </w:p>
    <w:p>
      <w:pPr>
        <w:pStyle w:val="ManualHeading2"/>
        <w:rPr>
          <w:i/>
          <w:noProof/>
        </w:rPr>
      </w:pPr>
      <w:bookmarkStart w:id="185" w:name="_Toc463527704"/>
      <w:bookmarkStart w:id="186" w:name="_Toc463538590"/>
      <w:bookmarkStart w:id="187" w:name="_Toc463621164"/>
      <w:bookmarkStart w:id="188" w:name="_Toc463628466"/>
      <w:bookmarkStart w:id="189" w:name="_Toc465073866"/>
      <w:bookmarkStart w:id="190" w:name="_Toc465090129"/>
      <w:bookmarkStart w:id="191" w:name="_Toc466043293"/>
      <w:r>
        <w:t>2.2.</w:t>
      </w:r>
      <w:r>
        <w:tab/>
      </w:r>
      <w:r>
        <w:rPr>
          <w:noProof/>
        </w:rPr>
        <w:t>Интегриране на политиките в областта на климата в рамките на бюджета на ЕС</w:t>
      </w:r>
      <w:bookmarkEnd w:id="185"/>
      <w:bookmarkEnd w:id="186"/>
      <w:bookmarkEnd w:id="187"/>
      <w:bookmarkEnd w:id="188"/>
      <w:bookmarkEnd w:id="189"/>
      <w:bookmarkEnd w:id="190"/>
      <w:bookmarkEnd w:id="191"/>
    </w:p>
    <w:p>
      <w:pPr>
        <w:spacing w:line="276" w:lineRule="auto"/>
        <w:rPr>
          <w:noProof/>
        </w:rPr>
      </w:pPr>
      <w:r>
        <w:rPr>
          <w:noProof/>
          <w:u w:val="single"/>
        </w:rPr>
        <w:t>Средно за периода 2014—2020 г.</w:t>
      </w:r>
      <w:r>
        <w:rPr>
          <w:noProof/>
        </w:rPr>
        <w:t xml:space="preserve"> най-малко 20 % от бюджета на ЕС се очаква да представляват разходи, свързани с климата. Очаква се те да бъдат в размер на около 200 млрд. евро. При различните инструменти ситуацията е различна:</w:t>
      </w:r>
    </w:p>
    <w:p>
      <w:pPr>
        <w:pStyle w:val="ListParagraph"/>
        <w:numPr>
          <w:ilvl w:val="0"/>
          <w:numId w:val="38"/>
        </w:numPr>
        <w:spacing w:after="120" w:line="276" w:lineRule="auto"/>
        <w:jc w:val="both"/>
        <w:rPr>
          <w:rFonts w:ascii="Times New Roman" w:hAnsi="Times New Roman"/>
          <w:noProof/>
          <w:sz w:val="24"/>
          <w:szCs w:val="24"/>
        </w:rPr>
      </w:pPr>
      <w:r>
        <w:rPr>
          <w:rFonts w:ascii="Times New Roman" w:hAnsi="Times New Roman"/>
          <w:noProof/>
          <w:sz w:val="24"/>
          <w:u w:val="single"/>
        </w:rPr>
        <w:t>Европейските структурни и инвестиционни фондове (ЕСИ фондове)</w:t>
      </w:r>
      <w:r>
        <w:rPr>
          <w:rFonts w:ascii="Times New Roman" w:hAnsi="Times New Roman"/>
          <w:noProof/>
          <w:sz w:val="24"/>
        </w:rPr>
        <w:t xml:space="preserve"> съставляват повече от 43 % от бюджета на ЕС. Принос за финансиране на политиките в областта на климата имат 28 споразумения за партньорство и повече от 530 програми в рамките на отделните фондове. Създадена е обща методика за определяне на нивото на подкрепа за целите, свързани с изменението на климата. Над 115 млрд. евро ще бъдат използвани за подкрепа на целите за действие в областта на климата, което съответства на около 25 % от общите средства.</w:t>
      </w:r>
    </w:p>
    <w:p>
      <w:pPr>
        <w:pStyle w:val="ListParagraph"/>
        <w:numPr>
          <w:ilvl w:val="0"/>
          <w:numId w:val="38"/>
        </w:numPr>
        <w:spacing w:after="120" w:line="276" w:lineRule="auto"/>
        <w:jc w:val="both"/>
        <w:rPr>
          <w:rFonts w:ascii="Times New Roman" w:hAnsi="Times New Roman"/>
          <w:noProof/>
          <w:sz w:val="24"/>
          <w:szCs w:val="24"/>
        </w:rPr>
      </w:pPr>
      <w:r>
        <w:rPr>
          <w:rFonts w:ascii="Times New Roman" w:hAnsi="Times New Roman"/>
          <w:noProof/>
          <w:sz w:val="24"/>
          <w:u w:val="single"/>
        </w:rPr>
        <w:t>Обща селскостопанска политика (ОСП)</w:t>
      </w:r>
      <w:r>
        <w:rPr>
          <w:rFonts w:ascii="Times New Roman" w:hAnsi="Times New Roman"/>
          <w:noProof/>
          <w:sz w:val="24"/>
        </w:rPr>
        <w:t>. Европейският фонд за гарантиране на земеделието (ЕАГФ) и Европейският земеделски фонд за развитие на селските райони (ЕЗФРСР) заедно съставляват 39 % от бюджета на ЕС. От 1990 г. насам свързаните със селското стопанство емисии, различни от емисии на CO</w:t>
      </w:r>
      <w:r>
        <w:rPr>
          <w:rFonts w:ascii="Times New Roman" w:hAnsi="Times New Roman"/>
          <w:noProof/>
          <w:sz w:val="24"/>
          <w:vertAlign w:val="subscript"/>
        </w:rPr>
        <w:t>2</w:t>
      </w:r>
      <w:r>
        <w:rPr>
          <w:rFonts w:ascii="Times New Roman" w:hAnsi="Times New Roman"/>
          <w:noProof/>
          <w:sz w:val="24"/>
        </w:rPr>
        <w:t xml:space="preserve">, са намалели с 24 % в ЕС. Принос за това отделяне на помощта от производството има подпомагането на съобразеното с климата селско стопанство по линия на ОСП. Политиката за развитие на селските райони в рамките на ОСП например подпомага модернизацията на стопанствата, за да се намали потреблението на енергия, да се произвежда възобновяема енергия, да се повиши ефективността при използването на влаганите ресурси и по този начин да се намалят емисиите. Изчислено е, че 13,6 млрд. евро от бюджета на ОСП през 2015 г. е бил за дейности, свързани с климата. </w:t>
      </w:r>
    </w:p>
    <w:p>
      <w:pPr>
        <w:pStyle w:val="ListParagraph"/>
        <w:numPr>
          <w:ilvl w:val="0"/>
          <w:numId w:val="38"/>
        </w:numPr>
        <w:spacing w:line="276" w:lineRule="auto"/>
        <w:jc w:val="both"/>
        <w:rPr>
          <w:rFonts w:ascii="Times New Roman" w:hAnsi="Times New Roman"/>
          <w:noProof/>
          <w:sz w:val="24"/>
          <w:szCs w:val="24"/>
        </w:rPr>
      </w:pPr>
      <w:r>
        <w:rPr>
          <w:rFonts w:ascii="Times New Roman" w:hAnsi="Times New Roman"/>
          <w:noProof/>
          <w:sz w:val="24"/>
          <w:u w:val="single"/>
        </w:rPr>
        <w:t>„Хоризонт 2020“</w:t>
      </w:r>
      <w:r>
        <w:rPr>
          <w:rFonts w:ascii="Times New Roman" w:hAnsi="Times New Roman"/>
          <w:noProof/>
          <w:sz w:val="24"/>
        </w:rPr>
        <w:t xml:space="preserve">. Тази програма на ЕС за финансиране на научни изследвания разполага със 79 млрд. евро за периода 2014—2020 г. (което съставлява 7 % от общия бюджет на ЕС). Поне 35 % от това финансиране се очаква да бъдат инвестирани в проекти, свързани с климата. Последните данни показват, че благодарение на научните изследвания, насочени към обществени предизвикателства (т.е. енергетика, транспорт или храни), тази цел от 35 % почти е постигната. Въпреки това частите по „Хоризонт 2020“, които изискват подхода „отдолу нагоре“ (т.е. тематично отворени покани за представяне на предложения), изостават. Това означава, че са необходими по-амбициозни и коригиращи действия, за да бъде постигната целта от 35 % интегриране. </w:t>
      </w:r>
    </w:p>
    <w:p>
      <w:pPr>
        <w:pStyle w:val="ListParagraph"/>
        <w:spacing w:line="276" w:lineRule="auto"/>
        <w:jc w:val="both"/>
        <w:rPr>
          <w:rFonts w:ascii="Times New Roman" w:hAnsi="Times New Roman"/>
          <w:noProof/>
          <w:sz w:val="24"/>
          <w:szCs w:val="24"/>
        </w:rPr>
      </w:pPr>
    </w:p>
    <w:p>
      <w:pPr>
        <w:pStyle w:val="ListParagraph"/>
        <w:spacing w:line="276" w:lineRule="auto"/>
        <w:jc w:val="both"/>
        <w:rPr>
          <w:rFonts w:ascii="Times New Roman" w:hAnsi="Times New Roman"/>
          <w:noProof/>
          <w:sz w:val="24"/>
          <w:szCs w:val="24"/>
        </w:rPr>
      </w:pPr>
      <w:r>
        <w:rPr>
          <w:rFonts w:ascii="Times New Roman" w:hAnsi="Times New Roman"/>
          <w:noProof/>
          <w:sz w:val="24"/>
        </w:rPr>
        <w:t>Промишлеността и европейските органи са създали също така различни публично-частни партньорства (ПЧП) като „Устойчива преработвателна промишленост чрез ефективно използване на ресурсите и енергийна ефективност“, за да се осигури по-ефективно използване на ресурсите и да се намалят емисиите на CO</w:t>
      </w:r>
      <w:r>
        <w:rPr>
          <w:rFonts w:ascii="Times New Roman" w:hAnsi="Times New Roman"/>
          <w:noProof/>
          <w:sz w:val="24"/>
          <w:vertAlign w:val="subscript"/>
        </w:rPr>
        <w:t>2</w:t>
      </w:r>
      <w:r>
        <w:rPr>
          <w:rFonts w:ascii="Times New Roman" w:hAnsi="Times New Roman"/>
          <w:noProof/>
          <w:sz w:val="24"/>
        </w:rPr>
        <w:t xml:space="preserve"> от промишлеността и сградите. Един скорошен анализ показва, че благодарение на тези ПЧП се реализират значителни намаления в потреблението на енергия и на емисиите на CO</w:t>
      </w:r>
      <w:r>
        <w:rPr>
          <w:rFonts w:ascii="Times New Roman" w:hAnsi="Times New Roman"/>
          <w:noProof/>
          <w:sz w:val="24"/>
          <w:vertAlign w:val="subscript"/>
        </w:rPr>
        <w:t>2</w:t>
      </w:r>
      <w:r>
        <w:rPr>
          <w:rFonts w:ascii="Times New Roman" w:hAnsi="Times New Roman"/>
          <w:noProof/>
          <w:sz w:val="24"/>
        </w:rPr>
        <w:t>.</w:t>
      </w:r>
    </w:p>
    <w:p>
      <w:pPr>
        <w:pStyle w:val="ListParagraph"/>
        <w:spacing w:line="276" w:lineRule="auto"/>
        <w:rPr>
          <w:rFonts w:ascii="Times New Roman" w:hAnsi="Times New Roman"/>
          <w:noProof/>
          <w:sz w:val="24"/>
          <w:szCs w:val="24"/>
        </w:rPr>
      </w:pPr>
    </w:p>
    <w:p>
      <w:pPr>
        <w:pStyle w:val="ListParagraph"/>
        <w:spacing w:line="276" w:lineRule="auto"/>
        <w:jc w:val="both"/>
        <w:rPr>
          <w:rFonts w:ascii="Times New Roman" w:hAnsi="Times New Roman"/>
          <w:noProof/>
          <w:sz w:val="24"/>
          <w:szCs w:val="24"/>
        </w:rPr>
      </w:pPr>
      <w:r>
        <w:rPr>
          <w:rFonts w:ascii="Times New Roman" w:hAnsi="Times New Roman"/>
          <w:noProof/>
          <w:sz w:val="24"/>
        </w:rPr>
        <w:t xml:space="preserve">Резултатите от COP21 и иновационното измерение на Парижкото споразумение спомагат за преодоляване на несъответствията в следващите работни програми, които обхващат периода 2018—2020 г. Също така, Интегрираният стратегически план за енергийните технологии (СЕТ) е първият резултат в областта на научните изследвания и иновациите в рамките на енергийния съюз, който дава нов тласък на разработването и внедряването на нисковъглеродни технологии чрез по-добро координиране и приоритизиране на усилията. Той е съсредоточен върху десет ключови насоки за действие, с които се цели постигането на приоритетите на енергийния съюз в областта на научните изследвания и иновациите въз основа на оценка на потребностите на енергийната система, тяхната значимост за преобразуването на енергийната система и потенциала за реализиране на растеж и работни места в ЕС. Тези действия са насочени към цялата верига за иновации — от базовите научни изследвания до навлизането на пазара — както от гледна точка на финансиране, така и от гледна точка на нормативна уредба. Предлага се също така нов финансов продукт — „Механизъм за енергийни демонстрационни проекти“, разработен с Европейската инвестиционна банка (ЕИБ) и насочен към мащабни демонстрационни проекти със стопански характер, които са първи по рода си в своята област </w:t>
      </w:r>
    </w:p>
    <w:p>
      <w:pPr>
        <w:pStyle w:val="ListParagraph"/>
        <w:spacing w:line="276" w:lineRule="auto"/>
        <w:rPr>
          <w:rFonts w:ascii="Times New Roman" w:hAnsi="Times New Roman"/>
          <w:noProof/>
          <w:sz w:val="24"/>
          <w:szCs w:val="24"/>
        </w:rPr>
      </w:pPr>
    </w:p>
    <w:p>
      <w:pPr>
        <w:pStyle w:val="ListParagraph"/>
        <w:numPr>
          <w:ilvl w:val="0"/>
          <w:numId w:val="38"/>
        </w:numPr>
        <w:spacing w:after="200" w:line="276" w:lineRule="auto"/>
        <w:jc w:val="both"/>
        <w:rPr>
          <w:noProof/>
        </w:rPr>
      </w:pPr>
      <w:r>
        <w:rPr>
          <w:rFonts w:ascii="Times New Roman" w:hAnsi="Times New Roman"/>
          <w:noProof/>
          <w:sz w:val="24"/>
          <w:u w:val="single"/>
        </w:rPr>
        <w:t>Европейският фонд за стратегически инвестиции (ЕФСИ)</w:t>
      </w:r>
      <w:r>
        <w:rPr>
          <w:rFonts w:ascii="Times New Roman" w:hAnsi="Times New Roman"/>
          <w:noProof/>
          <w:sz w:val="24"/>
        </w:rPr>
        <w:t xml:space="preserve"> представлява гаранция от бюджета на ЕС на стойност 16 млрд. евро, допълнена от отпуснати средства в размер на 5 млрд. евро от собствените ресурси на ЕИБ. Този фонд подпомага стратегически инвестиции в ключови области като инфраструктура, образование, научни изследвания, иновации и рисково финансиране за малки предприятия. Той би могъл да привлече 315 млрд. евро. От ЕФСИ вече са финансирани демонстрационни проекти за енергия от възобновяеми енергийни източници, включително свързани с ВЕИ транспорт, промишленост и съхраняване на енергията. На 16 септември 2016 г. Комисията предложи фондът да бъде разширен, за да бъдат обхванати допълнително иновативни, нисковъглеродни проекти за периода 2018—2020 г. Това предложение затвърждава концепцията за „допълняемост“, с която се гарантира избирането само на проекти, които не биха били реализирани без ЕФСИ. С оглед на тяхното значение за единния пазар, трансграничните инфраструктурни проекти, включително услуги, бяха специално набелязани като проекти, осигуряващи допълняемост. Предложението трябва да осигури общи инвестиции в размер на най-малко половин билион евро до 2020 г. Комисията прикани съзаконодателите да разгледат приоритетно нейното предложение.</w:t>
      </w:r>
    </w:p>
    <w:p>
      <w:pPr>
        <w:pStyle w:val="ListParagraph"/>
        <w:numPr>
          <w:ilvl w:val="0"/>
          <w:numId w:val="38"/>
        </w:numPr>
        <w:spacing w:after="120" w:line="276" w:lineRule="auto"/>
        <w:jc w:val="both"/>
        <w:rPr>
          <w:rFonts w:ascii="Times New Roman" w:hAnsi="Times New Roman"/>
          <w:noProof/>
          <w:sz w:val="24"/>
          <w:szCs w:val="24"/>
        </w:rPr>
      </w:pPr>
      <w:r>
        <w:rPr>
          <w:rFonts w:ascii="Times New Roman" w:hAnsi="Times New Roman"/>
          <w:noProof/>
          <w:sz w:val="24"/>
        </w:rPr>
        <w:t xml:space="preserve">Подпрограмата за действия по климата в рамките на програма </w:t>
      </w:r>
      <w:r>
        <w:rPr>
          <w:rFonts w:ascii="Times New Roman" w:hAnsi="Times New Roman"/>
          <w:noProof/>
          <w:sz w:val="24"/>
          <w:u w:val="single"/>
        </w:rPr>
        <w:t>LIFE</w:t>
      </w:r>
      <w:r>
        <w:rPr>
          <w:rFonts w:ascii="Times New Roman" w:hAnsi="Times New Roman"/>
          <w:noProof/>
          <w:sz w:val="24"/>
        </w:rPr>
        <w:t>, която през 2015 г. допринесе за прилагането и развитието на политиката и законодателството в областта на климата чрез безвъзмездни средства за дейности и финансови инструменти. Комисията предостави по линия на програмата 56 млн. евро за 40 проекта с европейска добавена стойност от гледна точка на смекчаване на последиците, адаптиране или управление и информиране. Около 30 НПО, работещи главно в областта на околната среда и действията по климата, получиха финансиране от порядъка на 10 млн. евро под формата на безвъзмездни средства за оперативни разходи. Постигнат беше напредък така също по двата финансови инструмента. По PF4EE (частно финансиране за енергийна ефективност) са подписани три операции (Испания, Франция и Чешката република). По NCFF беше направена комплексна проверка на две операции, които може да бъдат подписани през есента на 2016 г.</w:t>
      </w:r>
    </w:p>
    <w:p>
      <w:pPr>
        <w:pStyle w:val="ListParagraph"/>
        <w:numPr>
          <w:ilvl w:val="0"/>
          <w:numId w:val="38"/>
        </w:numPr>
        <w:spacing w:after="120" w:line="276" w:lineRule="auto"/>
        <w:jc w:val="both"/>
        <w:rPr>
          <w:rFonts w:ascii="Times New Roman" w:hAnsi="Times New Roman"/>
          <w:noProof/>
          <w:sz w:val="24"/>
          <w:szCs w:val="24"/>
        </w:rPr>
      </w:pPr>
      <w:r>
        <w:rPr>
          <w:rFonts w:ascii="Times New Roman" w:hAnsi="Times New Roman"/>
          <w:noProof/>
          <w:sz w:val="24"/>
          <w:u w:val="single"/>
        </w:rPr>
        <w:t>Инструменти за външни действия</w:t>
      </w:r>
      <w:r>
        <w:rPr>
          <w:rFonts w:ascii="Times New Roman" w:hAnsi="Times New Roman"/>
          <w:noProof/>
          <w:sz w:val="24"/>
        </w:rPr>
        <w:t>. Въпросът за климата е интегриран в бюджетите на ЕС за предоставяне на помощи като последица от Парижкото споразумение и за подкрепа на развиващите се и на съседните държави в изпълнението на техните планове за действие в областта на климата.</w:t>
      </w:r>
    </w:p>
    <w:p>
      <w:pPr>
        <w:pStyle w:val="ManualHeading2"/>
        <w:rPr>
          <w:i/>
          <w:noProof/>
        </w:rPr>
      </w:pPr>
      <w:bookmarkStart w:id="192" w:name="_Toc463527705"/>
      <w:bookmarkStart w:id="193" w:name="_Toc463538591"/>
      <w:bookmarkStart w:id="194" w:name="_Toc463621165"/>
      <w:bookmarkStart w:id="195" w:name="_Toc463628467"/>
      <w:bookmarkStart w:id="196" w:name="_Toc465073867"/>
      <w:bookmarkStart w:id="197" w:name="_Toc465090130"/>
      <w:bookmarkStart w:id="198" w:name="_Toc466043294"/>
      <w:r>
        <w:t>2.3.</w:t>
      </w:r>
      <w:r>
        <w:tab/>
      </w:r>
      <w:r>
        <w:rPr>
          <w:noProof/>
        </w:rPr>
        <w:t>Подкрепа за развиващите се държави</w:t>
      </w:r>
      <w:bookmarkEnd w:id="192"/>
      <w:bookmarkEnd w:id="193"/>
      <w:bookmarkEnd w:id="194"/>
      <w:bookmarkEnd w:id="195"/>
      <w:bookmarkEnd w:id="196"/>
      <w:bookmarkEnd w:id="197"/>
      <w:bookmarkEnd w:id="198"/>
      <w:r>
        <w:rPr>
          <w:noProof/>
        </w:rPr>
        <w:t xml:space="preserve"> </w:t>
      </w:r>
    </w:p>
    <w:p>
      <w:pPr>
        <w:spacing w:line="276" w:lineRule="auto"/>
        <w:rPr>
          <w:noProof/>
        </w:rPr>
      </w:pPr>
      <w:r>
        <w:rPr>
          <w:noProof/>
        </w:rPr>
        <w:t xml:space="preserve">След сключването на Парижкото споразумение подкрепата за развиващите се държави в изпълнението на техния национално определен принос (НОП) играе важна роля за успешното преминаване към икономики с ниски емисии. </w:t>
      </w:r>
    </w:p>
    <w:p>
      <w:pPr>
        <w:spacing w:line="276" w:lineRule="auto"/>
        <w:rPr>
          <w:noProof/>
        </w:rPr>
      </w:pPr>
      <w:r>
        <w:rPr>
          <w:noProof/>
        </w:rPr>
        <w:t>На Конференцията за изменението на климата в Копенхаген през 2009 г. развитите държави се ангажираха с дългосрочна цел съвместно да мобилизират 100 млрд. щ.д. годишно, считано от 2020 г., за резултатни смекчаващи мерки и прозрачност на изпълнението. Това финансиране ще бъде привлечено от разнообразни източници, включително публични и частни, двустранни и многостранни, както и алтернативни източници на финансиране. На Конференцията за изменението на климата в Париж през 2015 г. развитите държави — страни по Споразумението, се съгласиха да продължат своята съществуваща обща цел за мобилизиране на средства до 2025 г. и определиха нова количествена цел с долна граница от 100 млрд. щ.д. годишно.</w:t>
      </w:r>
    </w:p>
    <w:p>
      <w:pPr>
        <w:spacing w:line="276" w:lineRule="auto"/>
        <w:rPr>
          <w:noProof/>
        </w:rPr>
      </w:pPr>
      <w:r>
        <w:rPr>
          <w:noProof/>
        </w:rPr>
        <w:t xml:space="preserve">Поетото обещание за предоставяне на 100 млрд. щ.д. помогна за значително увеличаване на мащаба на финансирането в областта на климата в контекста на сътрудничеството за развитие, както и чрез международни банки и банки за развитие. ЕС и неговите държави членки са най-големите донори на официална помощ за развитие на развиващите се държави, като през 2014 г. са предоставили 68 млрд. евро. </w:t>
      </w:r>
    </w:p>
    <w:p>
      <w:pPr>
        <w:spacing w:line="276" w:lineRule="auto"/>
        <w:rPr>
          <w:noProof/>
        </w:rPr>
      </w:pPr>
      <w:r>
        <w:rPr>
          <w:noProof/>
        </w:rPr>
        <w:t>Данните за 2015 г. относно разходите, направени конкретно за действия по климата, понастоящем се консолидират и ще бъдат съобщени преди края на годината. През 2014 г. ЕС и неговите държави членки съвместно се ангажираха да подпомогнат развиващи се държави с 14,5 млрд. евро за справяне с изменението на климата. През 2015 г. ЕС, ЕИБ и държавите членки осигуриха 17,6 млрд. евро, за да подпомогнат развиващите се страни в борбата им с изменението на климата.</w:t>
      </w:r>
    </w:p>
    <w:p>
      <w:pPr>
        <w:pStyle w:val="ManualHeading1"/>
        <w:rPr>
          <w:noProof/>
        </w:rPr>
      </w:pPr>
      <w:bookmarkStart w:id="199" w:name="_Toc463527706"/>
      <w:bookmarkStart w:id="200" w:name="_Toc463538592"/>
      <w:bookmarkStart w:id="201" w:name="_Toc463621166"/>
      <w:bookmarkStart w:id="202" w:name="_Toc428971769"/>
      <w:bookmarkStart w:id="203" w:name="_Toc428971820"/>
      <w:bookmarkStart w:id="204" w:name="_Toc428971926"/>
      <w:bookmarkStart w:id="205" w:name="_Toc428972056"/>
      <w:bookmarkStart w:id="206" w:name="_Toc428972156"/>
      <w:bookmarkStart w:id="207" w:name="_Toc428972417"/>
      <w:bookmarkStart w:id="208" w:name="_Toc429056993"/>
      <w:bookmarkStart w:id="209" w:name="_Toc428971770"/>
      <w:bookmarkStart w:id="210" w:name="_Toc428971821"/>
      <w:bookmarkStart w:id="211" w:name="_Toc428971927"/>
      <w:bookmarkStart w:id="212" w:name="_Toc428972057"/>
      <w:bookmarkStart w:id="213" w:name="_Toc428972157"/>
      <w:bookmarkStart w:id="214" w:name="_Toc428972418"/>
      <w:bookmarkStart w:id="215" w:name="_Toc429056994"/>
      <w:bookmarkStart w:id="216" w:name="_Toc428971771"/>
      <w:bookmarkStart w:id="217" w:name="_Toc428971822"/>
      <w:bookmarkStart w:id="218" w:name="_Toc428971928"/>
      <w:bookmarkStart w:id="219" w:name="_Toc428972058"/>
      <w:bookmarkStart w:id="220" w:name="_Toc428972158"/>
      <w:bookmarkStart w:id="221" w:name="_Toc428972419"/>
      <w:bookmarkStart w:id="222" w:name="_Toc429056995"/>
      <w:bookmarkStart w:id="223" w:name="_Toc428971772"/>
      <w:bookmarkStart w:id="224" w:name="_Toc428971823"/>
      <w:bookmarkStart w:id="225" w:name="_Toc428971929"/>
      <w:bookmarkStart w:id="226" w:name="_Toc428972059"/>
      <w:bookmarkStart w:id="227" w:name="_Toc428972159"/>
      <w:bookmarkStart w:id="228" w:name="_Toc428972420"/>
      <w:bookmarkStart w:id="229" w:name="_Toc429056996"/>
      <w:bookmarkStart w:id="230" w:name="_Toc398043851"/>
      <w:bookmarkStart w:id="231" w:name="_Toc398193317"/>
      <w:bookmarkStart w:id="232" w:name="_Toc390936627"/>
      <w:bookmarkStart w:id="233" w:name="_Toc390942408"/>
      <w:bookmarkStart w:id="234" w:name="_Toc390936628"/>
      <w:bookmarkStart w:id="235" w:name="_Toc390942409"/>
      <w:bookmarkStart w:id="236" w:name="_Toc465090131"/>
      <w:bookmarkStart w:id="237" w:name="_Toc466043295"/>
      <w:bookmarkStart w:id="238" w:name="_Ref459646814"/>
      <w:bookmarkStart w:id="239" w:name="_Toc461715120"/>
      <w:bookmarkStart w:id="240" w:name="_Toc395255564"/>
      <w:bookmarkStart w:id="241" w:name="_Toc392749511"/>
      <w:bookmarkStart w:id="242" w:name="_Toc371338170"/>
      <w:bookmarkStart w:id="243" w:name="_Ref389744201"/>
      <w:bookmarkEnd w:id="161"/>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t>3.</w:t>
      </w:r>
      <w:r>
        <w:tab/>
      </w:r>
      <w:r>
        <w:rPr>
          <w:noProof/>
        </w:rPr>
        <w:t>Ограничаване на емисиите от ЕС</w:t>
      </w:r>
      <w:bookmarkEnd w:id="236"/>
      <w:bookmarkEnd w:id="237"/>
    </w:p>
    <w:p>
      <w:pPr>
        <w:spacing w:line="276" w:lineRule="auto"/>
        <w:rPr>
          <w:noProof/>
        </w:rPr>
      </w:pPr>
      <w:r>
        <w:rPr>
          <w:noProof/>
        </w:rPr>
        <w:t>През октомври 2014 г. ръководителите на ЕС постигнаха съгласие по основните градивни елементи за рамката на ЕС в областта за климата и енергетиката за периода до 2030 г. ЕС определи обвързваща цел за цялата икономика за намаляване на емисиите с поне 40 % до 2030 г. спрямо нивата от 1990 г. Този ангажимент е съобразен с ефективен и икономичен път за постигане на дългосрочните цели на ЕС в областта на климата и послужи като основа за международния ангажимент на ЕС в рамките на Парижкото споразумение относно изменението на климата, като ще бъде изпълнен съвместно от всички държави членки.</w:t>
      </w:r>
    </w:p>
    <w:p>
      <w:pPr>
        <w:spacing w:line="276" w:lineRule="auto"/>
        <w:rPr>
          <w:noProof/>
        </w:rPr>
      </w:pPr>
      <w:r>
        <w:rPr>
          <w:noProof/>
        </w:rPr>
        <w:t xml:space="preserve">За да започне изпълнението на този ангажимент, през юли 2015 г. Комисията представи предложение за реформиране на схемата на ЕС за търговия с емисии (вж. раздел 3.1). През юли 2016 г. Комисията представи мерки, свързани с другите основни елементи на икономиката, които ще допринесат към действията в областта на климата: сградния сектор, секторите на транспорта, отпадъците и селското стопанство, както и земеползването и горското стопанство (вж. раздел 3.2). </w:t>
      </w:r>
    </w:p>
    <w:p>
      <w:pPr>
        <w:spacing w:line="276" w:lineRule="auto"/>
        <w:rPr>
          <w:noProof/>
        </w:rPr>
      </w:pPr>
      <w:r>
        <w:rPr>
          <w:noProof/>
        </w:rPr>
        <w:t>Комисията осъществява също така инициативите, предвидени в контекста на Рамковата стратегия за устойчив енергиен съюз с ориентирана към бъдещето политика по въпросите на изменението на климата, за да предприеме мерки за енергията от възобновяеми източници, енергийната ефективност, транспорта и научноизследователските и развойни дейности и да се усъвършенства управлението на енергийния съюз.</w:t>
      </w:r>
    </w:p>
    <w:p>
      <w:pPr>
        <w:pStyle w:val="ManualHeading2"/>
        <w:rPr>
          <w:i/>
          <w:noProof/>
        </w:rPr>
      </w:pPr>
      <w:bookmarkStart w:id="244" w:name="_Toc420673517"/>
      <w:bookmarkStart w:id="245" w:name="_Ref425350970"/>
      <w:bookmarkStart w:id="246" w:name="_Ref425414156"/>
      <w:bookmarkStart w:id="247" w:name="_Toc429156137"/>
      <w:bookmarkStart w:id="248" w:name="_Toc456787444"/>
      <w:bookmarkStart w:id="249" w:name="_Ref459812497"/>
      <w:bookmarkStart w:id="250" w:name="_Ref459812722"/>
      <w:bookmarkStart w:id="251" w:name="_Toc461443632"/>
      <w:bookmarkStart w:id="252" w:name="_Toc461715121"/>
      <w:bookmarkStart w:id="253" w:name="_Toc461715495"/>
      <w:bookmarkStart w:id="254" w:name="_Ref463526912"/>
      <w:bookmarkStart w:id="255" w:name="_Toc463527709"/>
      <w:bookmarkStart w:id="256" w:name="_Toc463538595"/>
      <w:bookmarkStart w:id="257" w:name="_Toc463621169"/>
      <w:bookmarkStart w:id="258" w:name="_Toc463628469"/>
      <w:bookmarkStart w:id="259" w:name="_Toc465073869"/>
      <w:bookmarkStart w:id="260" w:name="_Toc465090132"/>
      <w:bookmarkStart w:id="261" w:name="_Toc466043296"/>
      <w:bookmarkEnd w:id="238"/>
      <w:bookmarkEnd w:id="239"/>
      <w:r>
        <w:t>3.1.</w:t>
      </w:r>
      <w:r>
        <w:tab/>
      </w:r>
      <w:r>
        <w:rPr>
          <w:noProof/>
        </w:rPr>
        <w:t>Преразглеждане на СТЕ на ЕС</w:t>
      </w:r>
      <w:bookmarkEnd w:id="244"/>
      <w:bookmarkEnd w:id="245"/>
      <w:bookmarkEnd w:id="246"/>
      <w:r>
        <w:rPr>
          <w:noProof/>
        </w:rPr>
        <w:t xml:space="preserve"> — фаза 4 (2021—2030 г.)</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Pr>
          <w:noProof/>
        </w:rPr>
        <w:t xml:space="preserve"> </w:t>
      </w:r>
    </w:p>
    <w:p>
      <w:pPr>
        <w:spacing w:line="276" w:lineRule="auto"/>
        <w:rPr>
          <w:noProof/>
        </w:rPr>
      </w:pPr>
      <w:r>
        <w:rPr>
          <w:noProof/>
        </w:rPr>
        <w:t>Законодателното предложение на Комисията от юли 2015 г. за преразглеждане на СТЕ на ЕС за фаза 4 понастоящем е в процес на разглеждане от Съвета и Европейския парламент. С предложението се цели до 2030 г. да се постигне намаление с 43 % на емисиите по СТЕ на ЕС спрямо нивата от 2005 г.</w:t>
      </w:r>
    </w:p>
    <w:p>
      <w:pPr>
        <w:pStyle w:val="ManualHeading2"/>
        <w:rPr>
          <w:i/>
          <w:noProof/>
        </w:rPr>
      </w:pPr>
      <w:bookmarkStart w:id="262" w:name="_Toc456787445"/>
      <w:bookmarkStart w:id="263" w:name="_Toc461443633"/>
      <w:bookmarkStart w:id="264" w:name="_Toc461715122"/>
      <w:bookmarkStart w:id="265" w:name="_Toc461715496"/>
      <w:bookmarkStart w:id="266" w:name="_Ref463526945"/>
      <w:bookmarkStart w:id="267" w:name="_Toc463527710"/>
      <w:bookmarkStart w:id="268" w:name="_Toc463538596"/>
      <w:bookmarkStart w:id="269" w:name="_Toc463621170"/>
      <w:bookmarkStart w:id="270" w:name="_Toc463628470"/>
      <w:bookmarkStart w:id="271" w:name="_Toc465073870"/>
      <w:bookmarkStart w:id="272" w:name="_Toc465090133"/>
      <w:bookmarkStart w:id="273" w:name="_Toc466043297"/>
      <w:bookmarkStart w:id="274" w:name="_Ref424065028"/>
      <w:bookmarkStart w:id="275" w:name="_Toc429156139"/>
      <w:bookmarkEnd w:id="240"/>
      <w:bookmarkEnd w:id="241"/>
      <w:r>
        <w:t>3.2.</w:t>
      </w:r>
      <w:r>
        <w:tab/>
      </w:r>
      <w:r>
        <w:rPr>
          <w:noProof/>
        </w:rPr>
        <w:t>Законодателни предложения за Регламент за разпределяне на усилията и за земеползването за периода 2021—2030 г.</w:t>
      </w:r>
      <w:bookmarkEnd w:id="262"/>
      <w:bookmarkEnd w:id="263"/>
      <w:bookmarkEnd w:id="264"/>
      <w:bookmarkEnd w:id="265"/>
      <w:bookmarkEnd w:id="266"/>
      <w:bookmarkEnd w:id="267"/>
      <w:bookmarkEnd w:id="268"/>
      <w:bookmarkEnd w:id="269"/>
      <w:bookmarkEnd w:id="270"/>
      <w:bookmarkEnd w:id="271"/>
      <w:bookmarkEnd w:id="272"/>
      <w:bookmarkEnd w:id="273"/>
    </w:p>
    <w:p>
      <w:pPr>
        <w:spacing w:line="276" w:lineRule="auto"/>
        <w:rPr>
          <w:noProof/>
        </w:rPr>
      </w:pPr>
      <w:r>
        <w:rPr>
          <w:noProof/>
        </w:rPr>
        <w:t>През октомври 2014 г. ръководителите на ЕС поеха политически ангажимент за намаляване на емисиите от сектори на икономиката, които не са обхванати от СТЕ на ЕС, с 30 % до 2030 г. спрямо нивата от 2005 г. Те се споразумяха също така всички сектори, в това число земеползването, да участват в изпълнението на ангажиментите на ЕС съгласно Парижкото споразумение относно изменението на климата.</w:t>
      </w:r>
    </w:p>
    <w:p>
      <w:pPr>
        <w:spacing w:line="276" w:lineRule="auto"/>
        <w:rPr>
          <w:noProof/>
        </w:rPr>
      </w:pPr>
      <w:r>
        <w:rPr>
          <w:noProof/>
        </w:rPr>
        <w:t xml:space="preserve">Настоящото Решение за разпределяне на усилията, с което държавите членки се задължават да изпълняват задължителни годишни цели за емисии на парникови газове в сектори, които не са обхванати от СТЕ, с изключение на земеползването, е приложимо за периода 2013—2020 г. На 20 юли 2016 г., в отговор на политическия ангажимент от 2014 г., Комисията представи пакет от мерки за ускоряване на прехода към ниски въглеродни емисии във всички сектори на икономиката в Европа за периода 2021—2030 г. В първото законодателно предложение за държавите членки са определени задължителни годишни цели за емисиите на парникови газове за периода 2021—2030 г. за секторите, които не се регулират по СТЕ на ЕС, включително сградите, селското стопанство, управлението на отпадъците, транспорта и някои промишлени дейности. </w:t>
      </w:r>
    </w:p>
    <w:p>
      <w:pPr>
        <w:spacing w:line="276" w:lineRule="auto"/>
        <w:rPr>
          <w:noProof/>
        </w:rPr>
      </w:pPr>
      <w:r>
        <w:rPr>
          <w:noProof/>
        </w:rPr>
        <w:t>Определянето на национални цели за намаляване на емисиите е основано на справедливост, солидарност, икономическа ефективност и екологосъобразност. В предложението са отчетени различните възможности на държавите членки да предприемат действия, като целите са диференцирани според БВП на глава от населението. Този подход гарантира справедливост, тъй като държавите членки с по-високи доходи поемат по-амбициозни цели, отколкото държавите членки с по-ниски доходи. Целите за 2030 г. са в обхвата от 0 % до -40 % спрямо нивата от 2005 г.</w:t>
      </w:r>
    </w:p>
    <w:p>
      <w:pPr>
        <w:spacing w:line="276" w:lineRule="auto"/>
        <w:rPr>
          <w:noProof/>
        </w:rPr>
      </w:pPr>
      <w:r>
        <w:rPr>
          <w:noProof/>
        </w:rPr>
        <w:t xml:space="preserve">Ръководителите на ЕС отчитат също така, че подходът, основан единствено на относителния БВП на глава от населението, би довел до относително високи разходи за постигане на съответствие за някои държави с високи доходи. Съответно целите за държавите с високи доходи са коригирани в предложението с цел да бъде отразена икономическата ефективност. Предложени са също така две строго ограничени възможности за гъвкавост: държави членки, които отговарят на определени условия, биха могли да получат квоти от СТЕ на ЕС, а всички държави членки може да използват засилени действия в секторите на земеползването, за да постигнат своите задължителни цели. </w:t>
      </w:r>
    </w:p>
    <w:p>
      <w:pPr>
        <w:spacing w:line="276" w:lineRule="auto"/>
        <w:rPr>
          <w:noProof/>
        </w:rPr>
      </w:pPr>
      <w:r>
        <w:rPr>
          <w:noProof/>
        </w:rPr>
        <w:t>Второто законодателно предложение се отнася до емисиите на CO</w:t>
      </w:r>
      <w:r>
        <w:rPr>
          <w:rFonts w:ascii="Cambria Math" w:hAnsi="Cambria Math"/>
          <w:noProof/>
        </w:rPr>
        <w:t>₂</w:t>
      </w:r>
      <w:r>
        <w:rPr>
          <w:noProof/>
        </w:rPr>
        <w:t xml:space="preserve"> и поглъщанията от земеползването, промените в земеползването и горското стопанство (LULUCF) и в него в определен обвързващ ангажимент за всяка държава членка и правилата за отчитане с оглед на установяването на съответствие. С предложението се изисква всяка държава членка да гарантира, че отчетените емисии на парникови газове от земеползването са напълно компенсирани с равностойни поглъщания на CO</w:t>
      </w:r>
      <w:r>
        <w:rPr>
          <w:rFonts w:ascii="Cambria Math" w:hAnsi="Cambria Math"/>
          <w:noProof/>
        </w:rPr>
        <w:t>₂</w:t>
      </w:r>
      <w:r>
        <w:rPr>
          <w:noProof/>
        </w:rPr>
        <w:t xml:space="preserve"> от атмосферата чрез действия в сектора. Например ако държава членка изсича горите си (обезлесяване), тя трябва да компенсира съответните емисии със засаждането на нова гора (залесяване), чрез подобряване на устойчивото управление на своите съществуващи гори, обработваеми земи и пасища или алтернативно чрез допълнително намаляване в секторите за разпределяне на усилията.</w:t>
      </w:r>
    </w:p>
    <w:p>
      <w:pPr>
        <w:spacing w:line="276" w:lineRule="auto"/>
        <w:rPr>
          <w:noProof/>
        </w:rPr>
      </w:pPr>
      <w:r>
        <w:rPr>
          <w:noProof/>
        </w:rPr>
        <w:t xml:space="preserve">Предложението на Комисията се основава на внимателно преценен баланс между повече стимули за улавяне на въглерод от почвите и горите и необходимостта да се поддържа екологосъобразността на рамката на ЕС в областта на климата, така че да се стимулират намаления на емисиите в сградния сектор и секторите на транспорта и селското стопанство. То включва също така възможност държави членки да търгуват с кредити за LULUCF.   </w:t>
      </w:r>
    </w:p>
    <w:p>
      <w:pPr>
        <w:spacing w:line="276" w:lineRule="auto"/>
        <w:rPr>
          <w:noProof/>
        </w:rPr>
      </w:pPr>
      <w:r>
        <w:rPr>
          <w:noProof/>
        </w:rPr>
        <w:t>Земеползването и горското стопанство включват използването на почвите, дървета, растения, биомаса и дървен материал и имат уникална възможност да допринесат за провеждането на ефективна политика в областта на климата. Това се дължи на факта, че секторът не само отделя парникови газове, но също така поглъща CO</w:t>
      </w:r>
      <w:r>
        <w:rPr>
          <w:rFonts w:ascii="Cambria Math" w:hAnsi="Cambria Math"/>
          <w:noProof/>
        </w:rPr>
        <w:t>₂</w:t>
      </w:r>
      <w:r>
        <w:rPr>
          <w:noProof/>
        </w:rPr>
        <w:t xml:space="preserve"> от атмосферата.  </w:t>
      </w:r>
    </w:p>
    <w:p>
      <w:pPr>
        <w:pStyle w:val="ManualHeading2"/>
        <w:rPr>
          <w:i/>
          <w:noProof/>
        </w:rPr>
      </w:pPr>
      <w:bookmarkStart w:id="276" w:name="_Toc429156142"/>
      <w:bookmarkStart w:id="277" w:name="_Toc456787450"/>
      <w:bookmarkStart w:id="278" w:name="_Toc461443637"/>
      <w:bookmarkStart w:id="279" w:name="_Toc461715126"/>
      <w:bookmarkStart w:id="280" w:name="_Toc461715500"/>
      <w:bookmarkStart w:id="281" w:name="_Toc463527717"/>
      <w:bookmarkStart w:id="282" w:name="_Toc463538603"/>
      <w:bookmarkStart w:id="283" w:name="_Toc463621177"/>
      <w:bookmarkStart w:id="284" w:name="_Toc463628471"/>
      <w:bookmarkStart w:id="285" w:name="_Toc465073871"/>
      <w:bookmarkStart w:id="286" w:name="_Toc465090134"/>
      <w:bookmarkStart w:id="287" w:name="_Toc466043298"/>
      <w:bookmarkEnd w:id="274"/>
      <w:bookmarkEnd w:id="275"/>
      <w:r>
        <w:t>3.3.</w:t>
      </w:r>
      <w:r>
        <w:tab/>
      </w:r>
      <w:r>
        <w:rPr>
          <w:noProof/>
        </w:rPr>
        <w:t>Сектор на автомобилния транспорт</w:t>
      </w:r>
      <w:bookmarkEnd w:id="276"/>
      <w:bookmarkEnd w:id="277"/>
      <w:bookmarkEnd w:id="278"/>
      <w:bookmarkEnd w:id="279"/>
      <w:bookmarkEnd w:id="280"/>
      <w:bookmarkEnd w:id="281"/>
      <w:bookmarkEnd w:id="282"/>
      <w:bookmarkEnd w:id="283"/>
      <w:bookmarkEnd w:id="284"/>
      <w:bookmarkEnd w:id="285"/>
      <w:bookmarkEnd w:id="286"/>
      <w:bookmarkEnd w:id="287"/>
      <w:r>
        <w:rPr>
          <w:noProof/>
        </w:rPr>
        <w:t xml:space="preserve"> </w:t>
      </w:r>
    </w:p>
    <w:p>
      <w:pPr>
        <w:autoSpaceDE w:val="0"/>
        <w:autoSpaceDN w:val="0"/>
        <w:spacing w:line="276" w:lineRule="auto"/>
        <w:rPr>
          <w:noProof/>
        </w:rPr>
      </w:pPr>
      <w:r>
        <w:rPr>
          <w:noProof/>
        </w:rPr>
        <w:t xml:space="preserve">През юли 2016 г. Комисията прие Европейска стратегия за мобилност с ниски емисии в рамките на пакета от мерки за ускоряване на прехода към икономика с ниски въглеродни емисии в Европа. На транспорта се дължи почти една четвърт от емисиите на парникови газове в Европа; той е и основната причина за замърсяването на въздуха в градовете. </w:t>
      </w:r>
    </w:p>
    <w:p>
      <w:pPr>
        <w:autoSpaceDE w:val="0"/>
        <w:autoSpaceDN w:val="0"/>
        <w:spacing w:line="276" w:lineRule="auto"/>
        <w:rPr>
          <w:noProof/>
        </w:rPr>
      </w:pPr>
      <w:r>
        <w:rPr>
          <w:noProof/>
        </w:rPr>
        <w:t>В стратегията е определена ясната цел: до средата на века емисиите на парникови газове от транспорта ще трябва да бъдат поне с 60 % по-ниски спрямо тези през 1990 г. и да е налице устойчива ориентация към понижаване до нулеви емисии. Емисиите на замърсители на въздуха от транспорта са вредни за здравето на човека и трябва незабавно да бъдат драстично намалени. Решаването на тези предизвикателства ще даде възможност за модернизирането на европейската икономика и за засилването на вътрешния ѝ пазар.</w:t>
      </w:r>
    </w:p>
    <w:p>
      <w:pPr>
        <w:autoSpaceDE w:val="0"/>
        <w:autoSpaceDN w:val="0"/>
        <w:spacing w:line="276" w:lineRule="auto"/>
        <w:rPr>
          <w:noProof/>
        </w:rPr>
      </w:pPr>
      <w:r>
        <w:rPr>
          <w:noProof/>
        </w:rPr>
        <w:t xml:space="preserve">Стратегията включва действията, които Комисията планира за следващите години, като се съсредоточава по-специално върху автомобилния транспорт, на който се дължат над 70 % от емисиите от транспорта и голяма част от замърсяването на въздуха. Тези действия са насочени към три ключови области: i) повишаване на ефективността на транспортната система; ii) нискоемисионна алтернативна енергия за транспорта; както и iii) превозни средства с ниски и нулеви емисии. За това преобразуване ще спомогнат и хоризонтални способстващи фактори като стратегията за енергиен съюз, научните изследвания и иновациите, промишлената и инвестиционната политика, стратегиите за цифровия единен пазар и програмата за умения. </w:t>
      </w:r>
    </w:p>
    <w:p>
      <w:pPr>
        <w:pStyle w:val="ManualHeading2"/>
        <w:rPr>
          <w:i/>
          <w:noProof/>
          <w:u w:val="single"/>
        </w:rPr>
      </w:pPr>
      <w:bookmarkStart w:id="288" w:name="_Toc456787451"/>
      <w:bookmarkStart w:id="289" w:name="_Toc461443639"/>
      <w:bookmarkStart w:id="290" w:name="_Toc461715127"/>
      <w:bookmarkStart w:id="291" w:name="_Toc461715501"/>
      <w:bookmarkStart w:id="292" w:name="_Toc463527718"/>
      <w:bookmarkStart w:id="293" w:name="_Toc463538604"/>
      <w:bookmarkStart w:id="294" w:name="_Toc463621178"/>
      <w:bookmarkStart w:id="295" w:name="_Toc463628472"/>
      <w:bookmarkStart w:id="296" w:name="_Toc465073872"/>
      <w:bookmarkStart w:id="297" w:name="_Toc465090135"/>
      <w:bookmarkStart w:id="298" w:name="_Toc466043299"/>
      <w:r>
        <w:t>3.4.</w:t>
      </w:r>
      <w:r>
        <w:tab/>
      </w:r>
      <w:r>
        <w:rPr>
          <w:noProof/>
          <w:u w:val="single"/>
        </w:rPr>
        <w:t xml:space="preserve">Системата за мониторинг, докладване и </w:t>
      </w:r>
      <w:r>
        <w:rPr>
          <w:noProof/>
        </w:rPr>
        <w:t>проверка (МДП) в сектора на корабоплаването на ЕС</w:t>
      </w:r>
      <w:bookmarkEnd w:id="288"/>
      <w:bookmarkEnd w:id="289"/>
      <w:bookmarkEnd w:id="290"/>
      <w:bookmarkEnd w:id="291"/>
      <w:bookmarkEnd w:id="292"/>
      <w:bookmarkEnd w:id="293"/>
      <w:bookmarkEnd w:id="294"/>
      <w:bookmarkEnd w:id="295"/>
      <w:bookmarkEnd w:id="296"/>
      <w:bookmarkEnd w:id="297"/>
      <w:bookmarkEnd w:id="298"/>
      <w:r>
        <w:rPr>
          <w:noProof/>
        </w:rPr>
        <w:t xml:space="preserve"> </w:t>
      </w:r>
    </w:p>
    <w:p>
      <w:pPr>
        <w:spacing w:line="276" w:lineRule="auto"/>
        <w:rPr>
          <w:noProof/>
        </w:rPr>
      </w:pPr>
      <w:r>
        <w:rPr>
          <w:noProof/>
        </w:rPr>
        <w:t>ЕС подкрепя глобален подход за намаляване на емисиите от международното корабоплаване, което представлява голям и нарастващ източник на емисии. През април 2015 г. ЕС прие регламент, чрез който бе създадена общоевропейска система за МДВ на корабоплаването като първа стъпка в стратегията на ЕС към намаляване на емисиите в този сектор. По този регламент се изисква големите кораби с брутен тонаж над 5000 тона, които използват пристанищата на ЕС, след 1 януари 2018 г. да извършват мониторинг и впоследствие да докладват своите проверени годишни емисии на CO</w:t>
      </w:r>
      <w:r>
        <w:rPr>
          <w:noProof/>
          <w:vertAlign w:val="subscript"/>
        </w:rPr>
        <w:t>2</w:t>
      </w:r>
      <w:r>
        <w:rPr>
          <w:noProof/>
        </w:rPr>
        <w:t xml:space="preserve"> и други данни, свързани с енергопотреблението.</w:t>
      </w:r>
    </w:p>
    <w:p>
      <w:pPr>
        <w:spacing w:line="276" w:lineRule="auto"/>
        <w:rPr>
          <w:noProof/>
        </w:rPr>
      </w:pPr>
      <w:r>
        <w:rPr>
          <w:noProof/>
        </w:rPr>
        <w:t>Целта на системата на ЕС за МДП на емисиите от корабоплаването е да допринесе за изграждането на международна система в сектора на корабоплаването. Понастоящем този въпрос се обсъжда в Международната морска организация. Системата на ЕС за МДП в сектора на корабоплаването освен това ще осигури нови възможности за съгласуване на стандартите за ефективност на съществуващите кораби. След като бъде приета глобална система, законодателството на ЕС за МДП изисква от Комисията да направи съответната оценка с оглед на хармонизирането на системата на ЕС, където е целесъобразно.</w:t>
      </w:r>
    </w:p>
    <w:p>
      <w:pPr>
        <w:pStyle w:val="ManualHeading2"/>
        <w:rPr>
          <w:i/>
          <w:noProof/>
        </w:rPr>
      </w:pPr>
      <w:bookmarkStart w:id="299" w:name="_Toc463527719"/>
      <w:bookmarkStart w:id="300" w:name="_Toc463538605"/>
      <w:bookmarkStart w:id="301" w:name="_Toc463621179"/>
      <w:bookmarkStart w:id="302" w:name="_Toc463628473"/>
      <w:bookmarkStart w:id="303" w:name="_Toc465073873"/>
      <w:bookmarkStart w:id="304" w:name="_Toc465090136"/>
      <w:bookmarkStart w:id="305" w:name="_Toc466043300"/>
      <w:r>
        <w:t>3.5.</w:t>
      </w:r>
      <w:r>
        <w:tab/>
      </w:r>
      <w:r>
        <w:rPr>
          <w:noProof/>
        </w:rPr>
        <w:t>Улавяне и съхранение на СО2</w:t>
      </w:r>
      <w:bookmarkEnd w:id="299"/>
      <w:bookmarkEnd w:id="300"/>
      <w:bookmarkEnd w:id="301"/>
      <w:bookmarkEnd w:id="302"/>
      <w:bookmarkEnd w:id="303"/>
      <w:bookmarkEnd w:id="304"/>
      <w:bookmarkEnd w:id="305"/>
    </w:p>
    <w:p>
      <w:pPr>
        <w:spacing w:line="276" w:lineRule="auto"/>
        <w:rPr>
          <w:noProof/>
        </w:rPr>
      </w:pPr>
      <w:r>
        <w:rPr>
          <w:noProof/>
        </w:rPr>
        <w:t>В представените на Комисията доклади относно прилагането на Директивата за улавяне и съхранение на въглероден диоксид (CCS) държавите членки посочват, че въпреки липсата на положителна оценка за техническата и икономическата осъществимост на реконструкцията на инсталациите за улавяне и съхранение на въглероден диоксид (CCS), новоизгражданите електроцентрали обикновено надхвърлят законовите изисквания и отделят площ за евентуална реконструкция за CCS, ако в бъдеще условията се променят. По-подробна информация ще бъде предоставена във втория доклад на Комисията по прилагането на Директивата относно съхранението на въглероден диоксид в геоложки формации, чието публикуване е планирано за по-късно през годината. В доклада ще бъде направен също така преглед на най-новите достижения, свързани с подготовката на местата за съхранение, проучването и разрешенията, разрешителните за експлоатация на големи електроцентрали, националните планове за развитие на инфраструктурата за съхранение и транспортиране на CO</w:t>
      </w:r>
      <w:r>
        <w:rPr>
          <w:noProof/>
          <w:vertAlign w:val="subscript"/>
        </w:rPr>
        <w:t>2</w:t>
      </w:r>
      <w:r>
        <w:rPr>
          <w:noProof/>
        </w:rPr>
        <w:t xml:space="preserve"> и научноизследователски проекти, които имат отношение към посочената директива.</w:t>
      </w:r>
    </w:p>
    <w:p>
      <w:pPr>
        <w:pStyle w:val="ManualHeading2"/>
        <w:rPr>
          <w:i/>
          <w:noProof/>
        </w:rPr>
      </w:pPr>
      <w:bookmarkStart w:id="306" w:name="_Toc463527720"/>
      <w:bookmarkStart w:id="307" w:name="_Toc463538606"/>
      <w:bookmarkStart w:id="308" w:name="_Toc463621180"/>
      <w:bookmarkStart w:id="309" w:name="_Toc466043301"/>
      <w:bookmarkEnd w:id="306"/>
      <w:bookmarkEnd w:id="307"/>
      <w:bookmarkEnd w:id="308"/>
      <w:r>
        <w:t>3.6.</w:t>
      </w:r>
      <w:r>
        <w:tab/>
      </w:r>
      <w:r>
        <w:rPr>
          <w:noProof/>
        </w:rPr>
        <w:t>Флуорсъдържащи газове</w:t>
      </w:r>
      <w:bookmarkEnd w:id="309"/>
    </w:p>
    <w:p>
      <w:pPr>
        <w:spacing w:line="276" w:lineRule="auto"/>
        <w:rPr>
          <w:noProof/>
        </w:rPr>
      </w:pPr>
      <w:r>
        <w:rPr>
          <w:noProof/>
        </w:rPr>
        <w:t>Новият европейски Регламент за контрол на емисиите на флуорсъдържащи парникови газове (флуорсъдържащи газове) се прилага от 1 януари 2015 г. С него се затягат съществуващите мерки (т.е. ограничаване разпространението на газове чрез откриване на неплътност или нехерметичност, монтаж на оборудването от обучен персонал, улавяне на използвани газове и т.н.) и се въвежда постепенно премахване от употреба на флуоровъглеводороди (HFC), което ще спомогне за намаляването на общите емисии от ЕС на флуорсъдържащи газове с две трети до 2030 г. спрямо нивата от 2014 г. През 2016 г. квотите, необходими за законното пускане на HFC на пазара на ЕС, бяха намалени до 93 % от нивата от 2015 г. С Регламента за флуорсъдържащите газове се забранява също така пускането на пазара на флуорсъдържащи газове при определени обстоятелства, когато са налични алтернативи. Например от 1 януари 2016 г. е в сила забрана на противопожарно оборудване, в което се използва HFC-23.</w:t>
      </w:r>
      <w:bookmarkStart w:id="310" w:name="_Toc456787453"/>
    </w:p>
    <w:p>
      <w:pPr>
        <w:pStyle w:val="ManualHeading2"/>
        <w:rPr>
          <w:i/>
          <w:noProof/>
        </w:rPr>
      </w:pPr>
      <w:bookmarkStart w:id="311" w:name="_Toc461443642"/>
      <w:bookmarkStart w:id="312" w:name="_Toc461715129"/>
      <w:bookmarkStart w:id="313" w:name="_Toc461715503"/>
      <w:bookmarkStart w:id="314" w:name="_Toc463527722"/>
      <w:bookmarkStart w:id="315" w:name="_Toc463538608"/>
      <w:bookmarkStart w:id="316" w:name="_Toc463621182"/>
      <w:bookmarkStart w:id="317" w:name="_Toc463628474"/>
      <w:bookmarkStart w:id="318" w:name="_Toc465073874"/>
      <w:bookmarkStart w:id="319" w:name="_Toc465090137"/>
      <w:bookmarkStart w:id="320" w:name="_Toc466043302"/>
      <w:r>
        <w:t>3.7.</w:t>
      </w:r>
      <w:r>
        <w:tab/>
      </w:r>
      <w:r>
        <w:rPr>
          <w:noProof/>
        </w:rPr>
        <w:t>Управление</w:t>
      </w:r>
      <w:bookmarkEnd w:id="310"/>
      <w:bookmarkEnd w:id="311"/>
      <w:bookmarkEnd w:id="312"/>
      <w:bookmarkEnd w:id="313"/>
      <w:bookmarkEnd w:id="314"/>
      <w:bookmarkEnd w:id="315"/>
      <w:bookmarkEnd w:id="316"/>
      <w:bookmarkEnd w:id="317"/>
      <w:bookmarkEnd w:id="318"/>
      <w:bookmarkEnd w:id="319"/>
      <w:bookmarkEnd w:id="320"/>
      <w:r>
        <w:rPr>
          <w:noProof/>
        </w:rPr>
        <w:t xml:space="preserve"> </w:t>
      </w:r>
    </w:p>
    <w:p>
      <w:pPr>
        <w:spacing w:line="276" w:lineRule="auto"/>
        <w:rPr>
          <w:noProof/>
        </w:rPr>
      </w:pPr>
      <w:r>
        <w:rPr>
          <w:noProof/>
        </w:rPr>
        <w:t xml:space="preserve">Рамковата стратегия за енергиен съюз, приета от държавните ръководители от ЕС през февруари 2015 г., ще гарантира сигурно, достъпно и екологосъобразно енергоснабдяване в Европа. За тази цел ще са необходими значителни инвестиции в производството, мрежите и енергийната ефективност, които се оценяват на около 200 млрд. евро годишно през следващото десетилетие. Целите на тази стратегия може да бъдат постигнати само ако националните политики са съгласувани с тези на другите държави членки и допълват законодателството на ЕС в областта на енергетиката и климата. </w:t>
      </w:r>
    </w:p>
    <w:p>
      <w:pPr>
        <w:spacing w:line="276" w:lineRule="auto"/>
        <w:rPr>
          <w:noProof/>
        </w:rPr>
      </w:pPr>
      <w:r>
        <w:rPr>
          <w:noProof/>
        </w:rPr>
        <w:t>Поради тези причини ръководителите на ЕС се съгласиха да бъде разработена надеждна и прозрачна система на управление без ненужна административна тежест на равнището на ЕС. Уточнено беше също така, че въпросната система на управление ще включва стратегическо планиране и докладване относно изпълнението на политиките в областта на климата и енергетиката. Преди края на 2016 г. Комисията ще представи предложение за оптимизиране на съществуващите задължения за планиране, докладване и мониторинг, както и по отношение на процеса на управление на енергийния съюз. Предвижда се, че от 2021 г. нататък докладът за изпълнението на Парижкото споразумение ще бъде включен в редовния доклад на Комисията за мониторинг съгласно предстоящото предложение за Регламент относно управлението на енергийния съюз.</w:t>
      </w:r>
    </w:p>
    <w:p>
      <w:pPr>
        <w:pStyle w:val="ManualHeading2"/>
        <w:rPr>
          <w:i/>
          <w:noProof/>
        </w:rPr>
      </w:pPr>
      <w:bookmarkStart w:id="321" w:name="_Toc456787454"/>
      <w:bookmarkStart w:id="322" w:name="_Toc461443643"/>
      <w:bookmarkStart w:id="323" w:name="_Toc461715130"/>
      <w:bookmarkStart w:id="324" w:name="_Toc461715504"/>
      <w:bookmarkStart w:id="325" w:name="_Toc463527723"/>
      <w:bookmarkStart w:id="326" w:name="_Toc463538609"/>
      <w:bookmarkStart w:id="327" w:name="_Toc463621183"/>
      <w:bookmarkStart w:id="328" w:name="_Toc463628475"/>
      <w:bookmarkStart w:id="329" w:name="_Toc465073875"/>
      <w:bookmarkStart w:id="330" w:name="_Toc465090138"/>
      <w:bookmarkStart w:id="331" w:name="_Toc466043303"/>
      <w:r>
        <w:t>3.8.</w:t>
      </w:r>
      <w:r>
        <w:tab/>
      </w:r>
      <w:r>
        <w:rPr>
          <w:noProof/>
        </w:rPr>
        <w:t>Инициативи, свързани с пазара на въглеродни емисии, и Партньорство за пазарна готовност (ППГ)</w:t>
      </w:r>
      <w:bookmarkEnd w:id="321"/>
      <w:bookmarkEnd w:id="322"/>
      <w:bookmarkEnd w:id="323"/>
      <w:bookmarkEnd w:id="324"/>
      <w:bookmarkEnd w:id="325"/>
      <w:bookmarkEnd w:id="326"/>
      <w:bookmarkEnd w:id="327"/>
      <w:bookmarkEnd w:id="328"/>
      <w:bookmarkEnd w:id="329"/>
      <w:bookmarkEnd w:id="330"/>
      <w:bookmarkEnd w:id="331"/>
    </w:p>
    <w:p>
      <w:pPr>
        <w:spacing w:line="276" w:lineRule="auto"/>
        <w:rPr>
          <w:noProof/>
        </w:rPr>
      </w:pPr>
      <w:r>
        <w:rPr>
          <w:noProof/>
        </w:rPr>
        <w:t xml:space="preserve">Държавите от ЕС да подкрепят прилагането на пазарни инструменти като СТЕ, които се явяват ключови механизми за реализиране на ефективни вътрешния намаления на емисиите. Това се постига чрез двустранно техническо подпомагане и обмен, главно в Китай и Южна Корея, но също така чрез многостранни инициативи, предприемани от Световната банка, като Партньорството за пазарна готовност (ППГ), към което ЕС дава най-голям принос. През тази година беше разширена двустранната подкрепа за Китай като  финансирането в рамките на ППГ беше преориентирано към подпомагане на предварителния анализ на политиките по определяне на цени на въглеродните емисии с цел да се подпомогне изпълнението на ангажиментите по Парижкото споразумение. Основните цели за ангажиране на международната общност на тема пазари продължават да бъдат съсредоточени върху вътрешните действия. </w:t>
      </w:r>
    </w:p>
    <w:p>
      <w:pPr>
        <w:pStyle w:val="ManualHeading1"/>
        <w:rPr>
          <w:noProof/>
        </w:rPr>
      </w:pPr>
      <w:bookmarkStart w:id="332" w:name="_Toc390936614"/>
      <w:bookmarkStart w:id="333" w:name="_Toc390942394"/>
      <w:bookmarkStart w:id="334" w:name="_Toc390936615"/>
      <w:bookmarkStart w:id="335" w:name="_Toc390942395"/>
      <w:bookmarkStart w:id="336" w:name="_Toc397612356"/>
      <w:bookmarkStart w:id="337" w:name="_Toc398043847"/>
      <w:bookmarkStart w:id="338" w:name="_Toc398193313"/>
      <w:bookmarkStart w:id="339" w:name="_Toc465090139"/>
      <w:bookmarkStart w:id="340" w:name="_Toc466043304"/>
      <w:bookmarkStart w:id="341" w:name="_Toc429156144"/>
      <w:bookmarkStart w:id="342" w:name="_Toc461715131"/>
      <w:bookmarkEnd w:id="242"/>
      <w:bookmarkEnd w:id="243"/>
      <w:bookmarkEnd w:id="332"/>
      <w:bookmarkEnd w:id="333"/>
      <w:bookmarkEnd w:id="334"/>
      <w:bookmarkEnd w:id="335"/>
      <w:bookmarkEnd w:id="336"/>
      <w:bookmarkEnd w:id="337"/>
      <w:bookmarkEnd w:id="338"/>
      <w:r>
        <w:t>4.</w:t>
      </w:r>
      <w:r>
        <w:tab/>
      </w:r>
      <w:r>
        <w:rPr>
          <w:noProof/>
        </w:rPr>
        <w:t>Адаптиране към изменението на климата</w:t>
      </w:r>
      <w:bookmarkEnd w:id="339"/>
      <w:bookmarkEnd w:id="340"/>
      <w:r>
        <w:rPr>
          <w:noProof/>
        </w:rPr>
        <w:t xml:space="preserve"> </w:t>
      </w:r>
      <w:bookmarkEnd w:id="341"/>
      <w:bookmarkEnd w:id="342"/>
    </w:p>
    <w:p>
      <w:pPr>
        <w:spacing w:line="276" w:lineRule="auto"/>
        <w:rPr>
          <w:noProof/>
        </w:rPr>
      </w:pPr>
      <w:r>
        <w:rPr>
          <w:noProof/>
        </w:rPr>
        <w:t>Стратегията на ЕС за адаптиране към изменението на климата от 2013 г. има за цел да подготви ЕС за настоящите и бъдещите въздействия от изменението на климата. С нея се насърчават действията за адаптиране в рамките на ЕС, като се осигурява включване на адаптирането във всички съответни политики на ЕС и се обезпечава по-добра координация, съгласуваност и обмен на информация между държавите членки. Комисията ще докладва на Европейския парламент и на Съвета относно изпълнението на стратегията за адаптиране и ще извърши оценка на изпълнението.</w:t>
      </w:r>
    </w:p>
    <w:p>
      <w:pPr>
        <w:spacing w:line="276" w:lineRule="auto"/>
        <w:rPr>
          <w:noProof/>
          <w:highlight w:val="yellow"/>
        </w:rPr>
      </w:pPr>
      <w:r>
        <w:rPr>
          <w:noProof/>
        </w:rPr>
        <w:t xml:space="preserve">Общите тенденции включват следното:  </w:t>
      </w:r>
    </w:p>
    <w:p>
      <w:pPr>
        <w:numPr>
          <w:ilvl w:val="0"/>
          <w:numId w:val="41"/>
        </w:numPr>
        <w:spacing w:line="276" w:lineRule="auto"/>
        <w:rPr>
          <w:noProof/>
        </w:rPr>
      </w:pPr>
      <w:r>
        <w:rPr>
          <w:noProof/>
        </w:rPr>
        <w:t xml:space="preserve">Редица държави членки обръщат внимание на планирането на адаптирането и идентифицирането на рисковете и уязвимостите, свързани с изменението на климата. Национални стратегии за адаптиране са приети от 21 държави членки, а в повечето от останалите държави членки такива стратегии са в процес на изготвяне. На повечето държави членки обаче все още предстои да определят и да пристъпят към прилагане на планове за действие за адаптиране. </w:t>
      </w:r>
    </w:p>
    <w:p>
      <w:pPr>
        <w:numPr>
          <w:ilvl w:val="0"/>
          <w:numId w:val="41"/>
        </w:numPr>
        <w:spacing w:line="276" w:lineRule="auto"/>
        <w:rPr>
          <w:noProof/>
        </w:rPr>
      </w:pPr>
      <w:r>
        <w:rPr>
          <w:noProof/>
        </w:rPr>
        <w:t xml:space="preserve">Секторите, които най-често се определят за оптимизиране с оглед на адаптирането, са управлението на водите и водните ресурси, горите и горското стопанство, селското стопанство, биологичното разнообразие и екосистемите, както и здравето на хората. Както се посочва в глобалната стратегия за външна политика и сигурност, представена това лято на Европейския съвет, изменението на климата усилва конфликтните ситуации в ЕС.   </w:t>
      </w:r>
    </w:p>
    <w:p>
      <w:pPr>
        <w:numPr>
          <w:ilvl w:val="0"/>
          <w:numId w:val="41"/>
        </w:numPr>
        <w:spacing w:line="276" w:lineRule="auto"/>
        <w:rPr>
          <w:noProof/>
        </w:rPr>
      </w:pPr>
      <w:r>
        <w:rPr>
          <w:noProof/>
        </w:rPr>
        <w:t>По-малко от половината държави членки прилагат адаптиране в ключови сектори.</w:t>
      </w:r>
    </w:p>
    <w:p>
      <w:pPr>
        <w:numPr>
          <w:ilvl w:val="0"/>
          <w:numId w:val="41"/>
        </w:numPr>
        <w:spacing w:line="276" w:lineRule="auto"/>
        <w:rPr>
          <w:noProof/>
        </w:rPr>
      </w:pPr>
      <w:r>
        <w:rPr>
          <w:noProof/>
        </w:rPr>
        <w:t xml:space="preserve">В повечето държави членки разработването и внедряването на системи за мониторинг и оценка все още са на ранни етапи. </w:t>
      </w:r>
    </w:p>
    <w:p>
      <w:pPr>
        <w:numPr>
          <w:ilvl w:val="0"/>
          <w:numId w:val="41"/>
        </w:numPr>
        <w:spacing w:line="276" w:lineRule="auto"/>
        <w:rPr>
          <w:noProof/>
        </w:rPr>
      </w:pPr>
      <w:r>
        <w:rPr>
          <w:noProof/>
        </w:rPr>
        <w:t>Наблюдава се интензифициране на работата на ниво град и на градските политики в областта на изменението на климата. В новото Споразумение на кметовете аспектите на адаптирането са обединени с усилията за смекчаване на последиците в една европейска инициатива, която обхващаща почти 7000 града по целия свят. Политиката в областта на климата в градовете е подпомогната така също с изразеното признание в Парижкото споразумение, че градовете са основни участници в неговото изпълнение.</w:t>
      </w:r>
    </w:p>
    <w:p>
      <w:pPr>
        <w:pStyle w:val="ManualHeading1"/>
        <w:rPr>
          <w:noProof/>
        </w:rPr>
      </w:pPr>
      <w:bookmarkStart w:id="343" w:name="_Toc390936632"/>
      <w:bookmarkStart w:id="344" w:name="_Toc390942413"/>
      <w:bookmarkStart w:id="345" w:name="_Toc461715132"/>
      <w:bookmarkStart w:id="346" w:name="_Toc465090140"/>
      <w:bookmarkStart w:id="347" w:name="_Toc466043305"/>
      <w:bookmarkStart w:id="348" w:name="_Toc429156145"/>
      <w:bookmarkStart w:id="349" w:name="_Toc395255569"/>
      <w:bookmarkStart w:id="350" w:name="_Toc392749516"/>
      <w:bookmarkStart w:id="351" w:name="_Toc371338173"/>
      <w:bookmarkEnd w:id="343"/>
      <w:bookmarkEnd w:id="344"/>
      <w:r>
        <w:t>5.</w:t>
      </w:r>
      <w:r>
        <w:tab/>
      </w:r>
      <w:r>
        <w:rPr>
          <w:noProof/>
        </w:rPr>
        <w:t xml:space="preserve">Участие в международната </w:t>
      </w:r>
      <w:bookmarkEnd w:id="345"/>
      <w:r>
        <w:rPr>
          <w:noProof/>
        </w:rPr>
        <w:t>политика в областта на климата</w:t>
      </w:r>
      <w:bookmarkEnd w:id="346"/>
      <w:bookmarkEnd w:id="347"/>
    </w:p>
    <w:p>
      <w:pPr>
        <w:pStyle w:val="ManualHeading2"/>
        <w:rPr>
          <w:i/>
          <w:noProof/>
          <w:u w:val="single"/>
        </w:rPr>
      </w:pPr>
      <w:bookmarkStart w:id="352" w:name="_Toc461715134"/>
      <w:bookmarkStart w:id="353" w:name="_Toc461715508"/>
      <w:bookmarkStart w:id="354" w:name="_Toc463527727"/>
      <w:bookmarkStart w:id="355" w:name="_Toc463538613"/>
      <w:bookmarkStart w:id="356" w:name="_Toc463621191"/>
      <w:bookmarkStart w:id="357" w:name="_Toc463628478"/>
      <w:bookmarkStart w:id="358" w:name="_Toc465073878"/>
      <w:bookmarkStart w:id="359" w:name="_Toc465090141"/>
      <w:bookmarkStart w:id="360" w:name="_Toc466043306"/>
      <w:r>
        <w:t>5.1.</w:t>
      </w:r>
      <w:r>
        <w:tab/>
      </w:r>
      <w:r>
        <w:rPr>
          <w:noProof/>
        </w:rPr>
        <w:t>Въздухоплаване</w:t>
      </w:r>
      <w:bookmarkEnd w:id="352"/>
      <w:bookmarkEnd w:id="353"/>
      <w:bookmarkEnd w:id="354"/>
      <w:bookmarkEnd w:id="355"/>
      <w:bookmarkEnd w:id="356"/>
      <w:bookmarkEnd w:id="357"/>
      <w:bookmarkEnd w:id="358"/>
      <w:bookmarkEnd w:id="359"/>
      <w:bookmarkEnd w:id="360"/>
      <w:r>
        <w:rPr>
          <w:noProof/>
        </w:rPr>
        <w:t xml:space="preserve"> </w:t>
      </w:r>
    </w:p>
    <w:p>
      <w:pPr>
        <w:pStyle w:val="ManualHeading2"/>
        <w:rPr>
          <w:i/>
          <w:noProof/>
        </w:rPr>
      </w:pPr>
      <w:bookmarkStart w:id="361" w:name="_Toc461715135"/>
      <w:bookmarkStart w:id="362" w:name="_Toc461715509"/>
      <w:bookmarkStart w:id="363" w:name="_Toc463527728"/>
      <w:bookmarkStart w:id="364" w:name="_Toc463538614"/>
      <w:bookmarkStart w:id="365" w:name="_Toc463621192"/>
      <w:bookmarkStart w:id="366" w:name="_Toc463628479"/>
      <w:bookmarkStart w:id="367" w:name="_Toc465073879"/>
      <w:bookmarkStart w:id="368" w:name="_Toc465090142"/>
      <w:bookmarkStart w:id="369" w:name="_Toc466043307"/>
      <w:r>
        <w:tab/>
      </w:r>
      <w:r>
        <w:rPr>
          <w:noProof/>
        </w:rPr>
        <w:t>Политика в областта на въздухоплаването</w:t>
      </w:r>
      <w:bookmarkEnd w:id="361"/>
      <w:bookmarkEnd w:id="362"/>
      <w:bookmarkEnd w:id="363"/>
      <w:bookmarkEnd w:id="364"/>
      <w:bookmarkEnd w:id="365"/>
      <w:bookmarkEnd w:id="366"/>
      <w:bookmarkEnd w:id="367"/>
      <w:bookmarkEnd w:id="368"/>
      <w:bookmarkEnd w:id="369"/>
    </w:p>
    <w:p>
      <w:pPr>
        <w:autoSpaceDE w:val="0"/>
        <w:autoSpaceDN w:val="0"/>
        <w:spacing w:line="276" w:lineRule="auto"/>
        <w:rPr>
          <w:noProof/>
        </w:rPr>
      </w:pPr>
    </w:p>
    <w:p>
      <w:pPr>
        <w:autoSpaceDE w:val="0"/>
        <w:autoSpaceDN w:val="0"/>
        <w:spacing w:line="276" w:lineRule="auto"/>
        <w:rPr>
          <w:noProof/>
        </w:rPr>
      </w:pPr>
      <w:r>
        <w:rPr>
          <w:noProof/>
        </w:rPr>
        <w:t>ЕС подпомага и участва в разработването на глобална мярка за намаляване на емисиите на CO</w:t>
      </w:r>
      <w:r>
        <w:rPr>
          <w:noProof/>
          <w:vertAlign w:val="subscript"/>
        </w:rPr>
        <w:t>2</w:t>
      </w:r>
      <w:r>
        <w:rPr>
          <w:noProof/>
        </w:rPr>
        <w:t xml:space="preserve"> от международното въздухоплаване. След постигането на споразумение на 38</w:t>
      </w:r>
      <w:r>
        <w:rPr>
          <w:noProof/>
          <w:vertAlign w:val="superscript"/>
        </w:rPr>
        <w:t>та</w:t>
      </w:r>
      <w:r>
        <w:rPr>
          <w:noProof/>
        </w:rPr>
        <w:t xml:space="preserve"> Асамблея на ИКАО през 2013 г. за разработване на глобална пазарна мярка, ИКАО работи активно по планирането на такава мярка заедно със своите държави членки. От ИКАО е избрана схема за компенсиране на въглеродните емисии с цел да се стабилизират емисиите от международното въздухоплаване на нивата от 2020 г. На 39</w:t>
      </w:r>
      <w:r>
        <w:rPr>
          <w:noProof/>
          <w:vertAlign w:val="superscript"/>
        </w:rPr>
        <w:t>та</w:t>
      </w:r>
      <w:r>
        <w:rPr>
          <w:noProof/>
        </w:rPr>
        <w:t xml:space="preserve"> Асамблея на ИКАО в началото на октомври 2016 г. беше приета резолюция за прилагането на тази мярка от 2020 г. Според нивото на участие в първата доброволна фаза на схемата, която ще продължи до 2027 г., обхванатите емисии са около 80 % от необходимото за постигане на въглеродна неутралност от 2020 г. нататък. Тази първа стъпка ще трябва да бъде допълнена от други ключови елементи от замисъла на схемата, по-специално правила за мониторинг, докладване и проверка на емисиите и критерии за допустимост за емисионни единици, както и създаването на регистър. Това са ключови елементи от гледна точка на ефективността и екологосъобразността и всички те ще трябва да бъдат разработени преди 2020 г., за да може схемата да заработи според планираното. </w:t>
      </w:r>
    </w:p>
    <w:p>
      <w:pPr>
        <w:autoSpaceDE w:val="0"/>
        <w:autoSpaceDN w:val="0"/>
        <w:spacing w:line="276" w:lineRule="auto"/>
        <w:rPr>
          <w:noProof/>
        </w:rPr>
      </w:pPr>
    </w:p>
    <w:p>
      <w:pPr>
        <w:autoSpaceDE w:val="0"/>
        <w:autoSpaceDN w:val="0"/>
        <w:spacing w:line="276" w:lineRule="auto"/>
        <w:rPr>
          <w:noProof/>
        </w:rPr>
      </w:pPr>
      <w:r>
        <w:rPr>
          <w:noProof/>
        </w:rPr>
        <w:t>След приемането на решението от Асамблеята за глобална пазарна мярка за въздухоплаването, Комисията ще докладва на Европейския парламент и на Съвета относно резултатите от Асамблеята и ще направи, ако е целесъобразно, предложение за преразглеждане на обхвата на СТЕ на ЕС за въздухоплаването.</w:t>
      </w:r>
    </w:p>
    <w:p>
      <w:pPr>
        <w:pStyle w:val="ManualHeading2"/>
        <w:rPr>
          <w:i/>
          <w:noProof/>
          <w:u w:val="single"/>
        </w:rPr>
      </w:pPr>
      <w:bookmarkStart w:id="370" w:name="_Toc461715136"/>
      <w:bookmarkStart w:id="371" w:name="_Toc461715510"/>
      <w:bookmarkStart w:id="372" w:name="_Toc463527729"/>
      <w:bookmarkStart w:id="373" w:name="_Toc463538615"/>
      <w:bookmarkStart w:id="374" w:name="_Toc463621193"/>
      <w:bookmarkStart w:id="375" w:name="_Toc463628480"/>
      <w:bookmarkStart w:id="376" w:name="_Toc465073880"/>
      <w:bookmarkStart w:id="377" w:name="_Toc465090143"/>
      <w:bookmarkStart w:id="378" w:name="_Toc466043308"/>
      <w:r>
        <w:tab/>
      </w:r>
      <w:r>
        <w:rPr>
          <w:noProof/>
          <w:u w:val="single"/>
        </w:rPr>
        <w:t xml:space="preserve">Общо въздействие на </w:t>
      </w:r>
      <w:r>
        <w:rPr>
          <w:noProof/>
        </w:rPr>
        <w:t>въздухоплаването върху изменението на климата</w:t>
      </w:r>
      <w:bookmarkEnd w:id="370"/>
      <w:bookmarkEnd w:id="371"/>
      <w:bookmarkEnd w:id="372"/>
      <w:bookmarkEnd w:id="373"/>
      <w:bookmarkEnd w:id="374"/>
      <w:bookmarkEnd w:id="375"/>
      <w:bookmarkEnd w:id="376"/>
      <w:bookmarkEnd w:id="377"/>
      <w:bookmarkEnd w:id="378"/>
    </w:p>
    <w:p>
      <w:pPr>
        <w:autoSpaceDE w:val="0"/>
        <w:autoSpaceDN w:val="0"/>
        <w:spacing w:line="276" w:lineRule="auto"/>
        <w:rPr>
          <w:noProof/>
        </w:rPr>
      </w:pPr>
      <w:r>
        <w:rPr>
          <w:noProof/>
        </w:rPr>
        <w:t>Общите докладвани емисии от въздухоплаването съставляват приблизително 3,6 % от общите емисии на парникови газове от ЕС през 2015 г. Причина за по-голямата част от тези емисии са международните полети. Въпреки че средното изгорено гориво на пролетян пътник-километър е намаляло с 19 % в периода 2005—2014 г., емисиите на CO</w:t>
      </w:r>
      <w:r>
        <w:rPr>
          <w:noProof/>
          <w:vertAlign w:val="subscript"/>
        </w:rPr>
        <w:t>2</w:t>
      </w:r>
      <w:r>
        <w:rPr>
          <w:noProof/>
        </w:rPr>
        <w:t xml:space="preserve"> са се увеличили с 5 % за същия период. </w:t>
      </w:r>
    </w:p>
    <w:p>
      <w:pPr>
        <w:autoSpaceDE w:val="0"/>
        <w:autoSpaceDN w:val="0"/>
        <w:spacing w:line="276" w:lineRule="auto"/>
        <w:rPr>
          <w:noProof/>
        </w:rPr>
      </w:pPr>
      <w:r>
        <w:rPr>
          <w:noProof/>
        </w:rPr>
        <w:t>Емисиите на азотни оксиди (NOx), аерозоли и прекурсори на аерозоли (сажди и сулфат) и по-голямата облачност също допринасят за изменението на климата. Във визията на ЕС за въздухоплаването за 2050 г. се отчитат тези фактори, различни от CO</w:t>
      </w:r>
      <w:r>
        <w:rPr>
          <w:noProof/>
          <w:vertAlign w:val="subscript"/>
        </w:rPr>
        <w:t>2</w:t>
      </w:r>
      <w:r>
        <w:rPr>
          <w:noProof/>
        </w:rPr>
        <w:t>, и се отправя апел за 90 % намаляване на емисиите на NOx до 2050 г. спрямо нивата от 2000 г. През последните години се полагат усилия да се направи оценка на въздействието на фактори, различни от CO</w:t>
      </w:r>
      <w:r>
        <w:rPr>
          <w:noProof/>
          <w:vertAlign w:val="subscript"/>
        </w:rPr>
        <w:t>2</w:t>
      </w:r>
      <w:r>
        <w:rPr>
          <w:noProof/>
        </w:rPr>
        <w:t>, върху изменението на климата.  В едно изследване, което е озаглавено „QUANTIFY“ и е частично финансирано по програмата на ЕС за финансиране на научни изследвания, се прави опит за оценка на общото въздействие на въздухоплаването. Заключението е, че през 2005 г. въздухоплаването е ималоа дял от около 3,5 % от общото антропогенно въздействие (т.е. изменение на енергийния баланс на Земята поради икономическата дейност на човека).(р((</w:t>
      </w:r>
    </w:p>
    <w:p>
      <w:pPr>
        <w:pStyle w:val="ManualHeading2"/>
        <w:rPr>
          <w:i/>
          <w:noProof/>
        </w:rPr>
      </w:pPr>
      <w:bookmarkStart w:id="379" w:name="_Toc463527730"/>
      <w:bookmarkStart w:id="380" w:name="_Toc463538616"/>
      <w:bookmarkStart w:id="381" w:name="_Toc463621194"/>
      <w:bookmarkStart w:id="382" w:name="_Toc463628481"/>
      <w:bookmarkStart w:id="383" w:name="_Toc465073881"/>
      <w:bookmarkStart w:id="384" w:name="_Toc465090144"/>
      <w:bookmarkStart w:id="385" w:name="_Toc466043309"/>
      <w:r>
        <w:t>5.2.</w:t>
      </w:r>
      <w:r>
        <w:tab/>
      </w:r>
      <w:r>
        <w:rPr>
          <w:noProof/>
        </w:rPr>
        <w:t>Намаляване на флуоровъглеводородите съгласно Монреалския протокол</w:t>
      </w:r>
      <w:bookmarkEnd w:id="379"/>
      <w:bookmarkEnd w:id="380"/>
      <w:bookmarkEnd w:id="381"/>
      <w:bookmarkEnd w:id="382"/>
      <w:bookmarkEnd w:id="383"/>
      <w:bookmarkEnd w:id="384"/>
      <w:bookmarkEnd w:id="385"/>
    </w:p>
    <w:p>
      <w:pPr>
        <w:autoSpaceDE w:val="0"/>
        <w:autoSpaceDN w:val="0"/>
        <w:spacing w:line="276" w:lineRule="auto"/>
        <w:rPr>
          <w:noProof/>
        </w:rPr>
      </w:pPr>
      <w:r>
        <w:rPr>
          <w:noProof/>
        </w:rPr>
        <w:t>ЕС взе активно участие в преговорите по амбициозната глобална цел за ограничаване на глобалното производство и употребата на флуоровъглеводороди (HFC) съгласно Монреалския протокол. В научните среди се счита, че едно амбициозно намаляване на HFC би могло да предотврати до 0,5°C от глобалното затопляне до края на века. С влизането в сила на Регламента на ЕС относно флуорсъдържащите парникови газове през 2015 г. и предложението от ЕС за изменение, представено през 2015 г., се спомогна за постигането на консенсус по Изменението от Кигали, прието на 15 октомври 2016 г., което представлява важна стъпка в посока на изпълнението на Парижкото споразумение.</w:t>
      </w:r>
    </w:p>
    <w:p>
      <w:pPr>
        <w:autoSpaceDE w:val="0"/>
        <w:autoSpaceDN w:val="0"/>
        <w:spacing w:line="276" w:lineRule="auto"/>
        <w:rPr>
          <w:noProof/>
        </w:rPr>
      </w:pPr>
      <w:r>
        <w:rPr>
          <w:noProof/>
        </w:rPr>
        <w:t>За улесняване на своевременните действия по HFC в латиноамериканските държави и държавите от Карибите, Африка, Югоизточна Азия и Тихоокеанския басейн, Европейската комисия продължава да предоставя финансова помощ за конкретни проекти в тези региони.</w:t>
      </w:r>
    </w:p>
    <w:p>
      <w:pPr>
        <w:pStyle w:val="ManualHeading1"/>
        <w:rPr>
          <w:noProof/>
        </w:rPr>
      </w:pPr>
      <w:bookmarkStart w:id="386" w:name="_Toc465090145"/>
      <w:bookmarkStart w:id="387" w:name="_Toc466043310"/>
      <w:r>
        <w:t>6.</w:t>
      </w:r>
      <w:r>
        <w:tab/>
      </w:r>
      <w:r>
        <w:rPr>
          <w:noProof/>
        </w:rPr>
        <w:t>Споделяне на опит</w:t>
      </w:r>
      <w:bookmarkEnd w:id="386"/>
      <w:bookmarkEnd w:id="387"/>
    </w:p>
    <w:p>
      <w:pPr>
        <w:spacing w:line="276" w:lineRule="auto"/>
        <w:rPr>
          <w:noProof/>
        </w:rPr>
      </w:pPr>
      <w:r>
        <w:rPr>
          <w:noProof/>
        </w:rPr>
        <w:t xml:space="preserve">Европейската комисия редовно извършва последващи оценки на политиките в областта на климата, за да се разберат по-добре основните фактори, водещи до намаляване на емисиите, и за да се определи количествено въздействието на политиките в областта на климата върху емисиите. От първото проучване, основано на декомпозиционен анализ, е видно, че намаленията на емисиите, които се наблюдават след 1990 г., и постигнатият напредък от гледна точка на емисионната интензивност на икономиката (вж. фигура 2), се дължат главно на технологичната промяна и иновациите. Относителното пренасочване между икономическите сектори, включително от промишлеността към услугите, в усреднени стойности има слабо въздействие в целия ЕС. Затова наблюдаваното на фигура 2 разделяне се обяснява главно с техническия прогрес, който прави увеличаването на БВП възможно, като в същото време се отделят по-малко парникови газове. </w:t>
      </w:r>
    </w:p>
    <w:p>
      <w:pPr>
        <w:spacing w:line="276" w:lineRule="auto"/>
        <w:rPr>
          <w:noProof/>
        </w:rPr>
      </w:pPr>
      <w:r>
        <w:rPr>
          <w:noProof/>
        </w:rPr>
        <w:t>През 2016 г. бяха разработени два иконометрични модела, за да се покаже по какъв начин политиката в областта на климата допринася за намаляването на емисиите. Поради ограниченията на използваните методики, беше възможно да бъдат анализирани само емисиите на CO</w:t>
      </w:r>
      <w:r>
        <w:rPr>
          <w:noProof/>
          <w:vertAlign w:val="subscript"/>
        </w:rPr>
        <w:t>2</w:t>
      </w:r>
      <w:r>
        <w:rPr>
          <w:noProof/>
        </w:rPr>
        <w:t xml:space="preserve"> от горене през периода 1990—2012 г. Първият модел представя количествена оценка на въздействието на СТЕ на ЕС върху емисиите. Вторият модел, който се основава на различен подход, определя количествено въздействието на националните политики върху емисиите, включително енергийните и транспортните данъци и политиките в областта на възобновяемите енергийни източници. </w:t>
      </w:r>
    </w:p>
    <w:p>
      <w:pPr>
        <w:spacing w:line="276" w:lineRule="auto"/>
        <w:rPr>
          <w:noProof/>
        </w:rPr>
      </w:pPr>
      <w:r>
        <w:rPr>
          <w:noProof/>
        </w:rPr>
        <w:t xml:space="preserve">С представеното на фигура 5 се цели да се даде опростена картина на резултатите от горепосочения анализ за периода 1990—2012 г. Намаляването на емисиите благодарение на СТЕ е представено в червено на тази графика. Представено е също така намаляването на емисиите вследствие на енергийните и транспортните данъци и политиките в областта на възобновяемите енергийни източници. Те са съпоставени с действителните емисии, представени в долната част на графиката в синьо. Общата стойност представлява емисиите, които биха били отделени в отсъствието на тези политики. </w:t>
      </w:r>
    </w:p>
    <w:p>
      <w:pPr>
        <w:spacing w:line="276" w:lineRule="auto"/>
        <w:rPr>
          <w:noProof/>
        </w:rPr>
      </w:pPr>
      <w:r>
        <w:rPr>
          <w:noProof/>
        </w:rPr>
        <w:t>С оглед на опростяването на методиката на графиката се приема, че СТЕ не оказва въздействие върху използването на енергия от възобновяеми източници или върху другите политики. По-подробно описание на методиките и на техните ограничения е дадено на интернет страницата на ГД „Действия по климата“.</w:t>
      </w:r>
    </w:p>
    <w:p>
      <w:pPr>
        <w:pStyle w:val="Caption"/>
        <w:spacing w:line="276" w:lineRule="auto"/>
        <w:rPr>
          <w:noProof/>
        </w:rPr>
      </w:pPr>
      <w:bookmarkStart w:id="388" w:name="_Ref463948975"/>
      <w:bookmarkStart w:id="389" w:name="_Toc465952178"/>
      <w:r>
        <w:rPr>
          <w:noProof/>
        </w:rPr>
        <w:t xml:space="preserve">Фигура </w:t>
      </w:r>
      <w:r>
        <w:rPr>
          <w:noProof/>
        </w:rPr>
        <w:fldChar w:fldCharType="begin"/>
      </w:r>
      <w:r>
        <w:rPr>
          <w:noProof/>
        </w:rPr>
        <w:instrText xml:space="preserve"> SEQ Figure \* ARABIC </w:instrText>
      </w:r>
      <w:r>
        <w:rPr>
          <w:noProof/>
        </w:rPr>
        <w:fldChar w:fldCharType="separate"/>
      </w:r>
      <w:r>
        <w:rPr>
          <w:noProof/>
        </w:rPr>
        <w:t>5</w:t>
      </w:r>
      <w:r>
        <w:rPr>
          <w:noProof/>
        </w:rPr>
        <w:fldChar w:fldCharType="end"/>
      </w:r>
      <w:bookmarkEnd w:id="388"/>
      <w:r>
        <w:rPr>
          <w:noProof/>
        </w:rPr>
        <w:t>: Последваща оценка на въздействието на СТЕ на ЕС, политиките в областта на възобновяемите енергийни източници, данъчното облагане и други върху емисиите на CO</w:t>
      </w:r>
      <w:r>
        <w:rPr>
          <w:noProof/>
          <w:vertAlign w:val="subscript"/>
        </w:rPr>
        <w:t>2</w:t>
      </w:r>
      <w:r>
        <w:rPr>
          <w:noProof/>
        </w:rPr>
        <w:t xml:space="preserve"> от горене</w:t>
      </w:r>
      <w:bookmarkEnd w:id="389"/>
    </w:p>
    <w:p>
      <w:pPr>
        <w:spacing w:before="0" w:after="0" w:line="276" w:lineRule="auto"/>
        <w:jc w:val="center"/>
        <w:rPr>
          <w:noProof/>
        </w:rPr>
      </w:pPr>
      <w:r>
        <w:rPr>
          <w:noProof/>
          <w:lang w:val="en-US" w:eastAsia="en-US" w:bidi="ar-SA"/>
        </w:rPr>
        <mc:AlternateContent>
          <mc:Choice Requires="wps">
            <w:drawing>
              <wp:anchor distT="0" distB="0" distL="114300" distR="114300" simplePos="0" relativeHeight="251669504" behindDoc="0" locked="0" layoutInCell="1" allowOverlap="1">
                <wp:simplePos x="0" y="0"/>
                <wp:positionH relativeFrom="column">
                  <wp:posOffset>4708525</wp:posOffset>
                </wp:positionH>
                <wp:positionV relativeFrom="paragraph">
                  <wp:posOffset>1908598</wp:posOffset>
                </wp:positionV>
                <wp:extent cx="1310640" cy="300566"/>
                <wp:effectExtent l="0" t="0" r="22860" b="2349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640" cy="300566"/>
                        </a:xfrm>
                        <a:prstGeom prst="rect">
                          <a:avLst/>
                        </a:prstGeom>
                        <a:solidFill>
                          <a:srgbClr val="FFFFFF"/>
                        </a:solidFill>
                        <a:ln w="9525">
                          <a:solidFill>
                            <a:srgbClr val="000000"/>
                          </a:solidFill>
                          <a:miter lim="800000"/>
                          <a:headEnd/>
                          <a:tailEnd/>
                        </a:ln>
                      </wps:spPr>
                      <wps:txbx>
                        <w:txbxContent>
                          <w:p>
                            <w:pPr>
                              <w:spacing w:before="0" w:after="0"/>
                              <w:rPr>
                                <w:sz w:val="16"/>
                                <w:szCs w:val="16"/>
                              </w:rPr>
                            </w:pPr>
                            <w:r>
                              <w:rPr>
                                <w:sz w:val="16"/>
                                <w:szCs w:val="16"/>
                              </w:rPr>
                              <w:t xml:space="preserve">Емисии на </w:t>
                            </w:r>
                            <w:r>
                              <w:rPr>
                                <w:sz w:val="16"/>
                                <w:szCs w:val="16"/>
                                <w:lang w:val="en-US"/>
                              </w:rPr>
                              <w:t>CO2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0.75pt;margin-top:150.3pt;width:103.2pt;height:23.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">
                <v:textbox>
                  <w:txbxContent>
                    <w:p>
                      <w:pPr>
                        <w:spacing w:before="0" w:after="0"/>
                        <w:rPr>
                          <w:sz w:val="16"/>
                          <w:szCs w:val="16"/>
                        </w:rPr>
                      </w:pPr>
                      <w:r>
                        <w:rPr>
                          <w:sz w:val="16"/>
                          <w:szCs w:val="16"/>
                        </w:rPr>
                        <w:t xml:space="preserve">Емисии на </w:t>
                      </w:r>
                      <w:r>
                        <w:rPr>
                          <w:sz w:val="16"/>
                          <w:szCs w:val="16"/>
                          <w:lang w:val="en-US"/>
                        </w:rPr>
                        <w:t>CO2</w:t>
                      </w:r>
                    </w:p>
                  </w:txbxContent>
                </v:textbox>
              </v:shape>
            </w:pict>
          </mc:Fallback>
        </mc:AlternateContent>
      </w:r>
      <w:r>
        <w:rPr>
          <w:noProof/>
          <w:lang w:val="en-US" w:eastAsia="en-US" w:bidi="ar-SA"/>
        </w:rPr>
        <mc:AlternateContent>
          <mc:Choice Requires="wps">
            <w:drawing>
              <wp:anchor distT="0" distB="0" distL="114300" distR="114300" simplePos="0" relativeHeight="251667456" behindDoc="0" locked="0" layoutInCell="1" allowOverlap="1">
                <wp:simplePos x="0" y="0"/>
                <wp:positionH relativeFrom="column">
                  <wp:posOffset>4704927</wp:posOffset>
                </wp:positionH>
                <wp:positionV relativeFrom="paragraph">
                  <wp:posOffset>1590253</wp:posOffset>
                </wp:positionV>
                <wp:extent cx="1310640" cy="300566"/>
                <wp:effectExtent l="0" t="0" r="22860" b="2349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640" cy="300566"/>
                        </a:xfrm>
                        <a:prstGeom prst="rect">
                          <a:avLst/>
                        </a:prstGeom>
                        <a:solidFill>
                          <a:srgbClr val="FFFFFF"/>
                        </a:solidFill>
                        <a:ln w="9525">
                          <a:solidFill>
                            <a:srgbClr val="000000"/>
                          </a:solidFill>
                          <a:miter lim="800000"/>
                          <a:headEnd/>
                          <a:tailEnd/>
                        </a:ln>
                      </wps:spPr>
                      <wps:txbx>
                        <w:txbxContent>
                          <w:p>
                            <w:pPr>
                              <w:spacing w:before="0" w:after="0"/>
                              <w:rPr>
                                <w:sz w:val="16"/>
                                <w:szCs w:val="16"/>
                              </w:rPr>
                            </w:pPr>
                            <w:r>
                              <w:rPr>
                                <w:sz w:val="16"/>
                                <w:szCs w:val="16"/>
                              </w:rPr>
                              <w:t>Облекчения за СТЕ на ЕС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70.45pt;margin-top:125.2pt;width:103.2pt;height:2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">
                <v:textbox>
                  <w:txbxContent>
                    <w:p>
                      <w:pPr>
                        <w:spacing w:before="0" w:after="0"/>
                        <w:rPr>
                          <w:sz w:val="16"/>
                          <w:szCs w:val="16"/>
                        </w:rPr>
                      </w:pPr>
                      <w:r>
                        <w:rPr>
                          <w:sz w:val="16"/>
                          <w:szCs w:val="16"/>
                        </w:rPr>
                        <w:t>Облекчения за СТЕ на ЕС</w:t>
                      </w:r>
                    </w:p>
                  </w:txbxContent>
                </v:textbox>
              </v:shape>
            </w:pict>
          </mc:Fallback>
        </mc:AlternateContent>
      </w:r>
      <w:r>
        <w:rPr>
          <w:noProof/>
          <w:lang w:val="en-US" w:eastAsia="en-US" w:bidi="ar-SA"/>
        </w:rPr>
        <mc:AlternateContent>
          <mc:Choice Requires="wps">
            <w:drawing>
              <wp:anchor distT="0" distB="0" distL="114300" distR="114300" simplePos="0" relativeHeight="251665408" behindDoc="0" locked="0" layoutInCell="1" allowOverlap="1">
                <wp:simplePos x="0" y="0"/>
                <wp:positionH relativeFrom="column">
                  <wp:posOffset>4708949</wp:posOffset>
                </wp:positionH>
                <wp:positionV relativeFrom="paragraph">
                  <wp:posOffset>1170940</wp:posOffset>
                </wp:positionV>
                <wp:extent cx="1310640" cy="367876"/>
                <wp:effectExtent l="0" t="0" r="22860" b="1333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640" cy="367876"/>
                        </a:xfrm>
                        <a:prstGeom prst="rect">
                          <a:avLst/>
                        </a:prstGeom>
                        <a:solidFill>
                          <a:srgbClr val="FFFFFF"/>
                        </a:solidFill>
                        <a:ln w="9525">
                          <a:solidFill>
                            <a:srgbClr val="000000"/>
                          </a:solidFill>
                          <a:miter lim="800000"/>
                          <a:headEnd/>
                          <a:tailEnd/>
                        </a:ln>
                      </wps:spPr>
                      <wps:txbx>
                        <w:txbxContent>
                          <w:p>
                            <w:pPr>
                              <w:spacing w:before="0" w:after="0"/>
                              <w:rPr>
                                <w:sz w:val="16"/>
                                <w:szCs w:val="16"/>
                              </w:rPr>
                            </w:pPr>
                            <w:r>
                              <w:rPr>
                                <w:sz w:val="16"/>
                                <w:szCs w:val="16"/>
                              </w:rPr>
                              <w:t>Облекчения за други политики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70.8pt;margin-top:92.2pt;width:103.2pt;height:2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">
                <v:textbox>
                  <w:txbxContent>
                    <w:p>
                      <w:pPr>
                        <w:spacing w:before="0" w:after="0"/>
                        <w:rPr>
                          <w:sz w:val="16"/>
                          <w:szCs w:val="16"/>
                        </w:rPr>
                      </w:pPr>
                      <w:r>
                        <w:rPr>
                          <w:sz w:val="16"/>
                          <w:szCs w:val="16"/>
                        </w:rPr>
                        <w:t>Облекчения за други политики</w:t>
                      </w:r>
                    </w:p>
                  </w:txbxContent>
                </v:textbox>
              </v:shape>
            </w:pict>
          </mc:Fallback>
        </mc:AlternateContent>
      </w:r>
      <w:r>
        <w:rPr>
          <w:noProof/>
          <w:lang w:val="en-US" w:eastAsia="en-US" w:bidi="ar-SA"/>
        </w:rPr>
        <mc:AlternateContent>
          <mc:Choice Requires="wps">
            <w:drawing>
              <wp:anchor distT="0" distB="0" distL="114300" distR="114300" simplePos="0" relativeHeight="251663360" behindDoc="0" locked="0" layoutInCell="1" allowOverlap="1">
                <wp:simplePos x="0" y="0"/>
                <wp:positionH relativeFrom="column">
                  <wp:posOffset>4704715</wp:posOffset>
                </wp:positionH>
                <wp:positionV relativeFrom="paragraph">
                  <wp:posOffset>844973</wp:posOffset>
                </wp:positionV>
                <wp:extent cx="1310640" cy="270933"/>
                <wp:effectExtent l="0" t="0" r="22860" b="1524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640" cy="270933"/>
                        </a:xfrm>
                        <a:prstGeom prst="rect">
                          <a:avLst/>
                        </a:prstGeom>
                        <a:solidFill>
                          <a:srgbClr val="FFFFFF"/>
                        </a:solidFill>
                        <a:ln w="9525">
                          <a:solidFill>
                            <a:srgbClr val="000000"/>
                          </a:solidFill>
                          <a:miter lim="800000"/>
                          <a:headEnd/>
                          <a:tailEnd/>
                        </a:ln>
                      </wps:spPr>
                      <wps:txbx>
                        <w:txbxContent>
                          <w:p>
                            <w:pPr>
                              <w:spacing w:before="0" w:after="0"/>
                              <w:rPr>
                                <w:sz w:val="16"/>
                                <w:szCs w:val="16"/>
                              </w:rPr>
                            </w:pPr>
                            <w:r>
                              <w:rPr>
                                <w:sz w:val="16"/>
                                <w:szCs w:val="16"/>
                              </w:rPr>
                              <w:t>Облекчения за ВЕИ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70.45pt;margin-top:66.55pt;width:103.2pt;height:2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">
                <v:textbox>
                  <w:txbxContent>
                    <w:p>
                      <w:pPr>
                        <w:spacing w:before="0" w:after="0"/>
                        <w:rPr>
                          <w:sz w:val="16"/>
                          <w:szCs w:val="16"/>
                        </w:rPr>
                      </w:pPr>
                      <w:r>
                        <w:rPr>
                          <w:sz w:val="16"/>
                          <w:szCs w:val="16"/>
                        </w:rPr>
                        <w:t>Облекчения за ВЕИ</w:t>
                      </w:r>
                    </w:p>
                  </w:txbxContent>
                </v:textbox>
              </v:shape>
            </w:pict>
          </mc:Fallback>
        </mc:AlternateContent>
      </w:r>
      <w:r>
        <w:rPr>
          <w:noProof/>
          <w:lang w:val="en-US" w:eastAsia="en-US" w:bidi="ar-SA"/>
        </w:rPr>
        <mc:AlternateContent>
          <mc:Choice Requires="wps">
            <w:drawing>
              <wp:anchor distT="0" distB="0" distL="114300" distR="114300" simplePos="0" relativeHeight="251661312" behindDoc="0" locked="0" layoutInCell="1" allowOverlap="1">
                <wp:simplePos x="0" y="0"/>
                <wp:positionH relativeFrom="column">
                  <wp:posOffset>4706620</wp:posOffset>
                </wp:positionH>
                <wp:positionV relativeFrom="paragraph">
                  <wp:posOffset>457835</wp:posOffset>
                </wp:positionV>
                <wp:extent cx="1310640" cy="361950"/>
                <wp:effectExtent l="0" t="0" r="22860"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640" cy="361950"/>
                        </a:xfrm>
                        <a:prstGeom prst="rect">
                          <a:avLst/>
                        </a:prstGeom>
                        <a:solidFill>
                          <a:srgbClr val="FFFFFF"/>
                        </a:solidFill>
                        <a:ln w="9525">
                          <a:solidFill>
                            <a:srgbClr val="000000"/>
                          </a:solidFill>
                          <a:miter lim="800000"/>
                          <a:headEnd/>
                          <a:tailEnd/>
                        </a:ln>
                      </wps:spPr>
                      <wps:txbx>
                        <w:txbxContent>
                          <w:p>
                            <w:pPr>
                              <w:spacing w:before="0" w:after="0"/>
                              <w:rPr>
                                <w:sz w:val="16"/>
                                <w:szCs w:val="16"/>
                              </w:rPr>
                            </w:pPr>
                            <w:r>
                              <w:rPr>
                                <w:sz w:val="16"/>
                                <w:szCs w:val="16"/>
                              </w:rPr>
                              <w:t>Данъчни облекчения за енергетиката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70.6pt;margin-top:36.05pt;width:103.2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">
                <v:textbox>
                  <w:txbxContent>
                    <w:p>
                      <w:pPr>
                        <w:spacing w:before="0" w:after="0"/>
                        <w:rPr>
                          <w:sz w:val="16"/>
                          <w:szCs w:val="16"/>
                        </w:rPr>
                      </w:pPr>
                      <w:r>
                        <w:rPr>
                          <w:sz w:val="16"/>
                          <w:szCs w:val="16"/>
                        </w:rPr>
                        <w:t>Данъчни облекчения за енергетиката</w:t>
                      </w:r>
                    </w:p>
                  </w:txbxContent>
                </v:textbox>
              </v:shape>
            </w:pict>
          </mc:Fallback>
        </mc:AlternateContent>
      </w:r>
      <w:r>
        <w:rPr>
          <w:noProof/>
          <w:lang w:val="en-US" w:eastAsia="en-US" w:bidi="ar-SA"/>
        </w:rPr>
        <mc:AlternateContent>
          <mc:Choice Requires="wps">
            <w:drawing>
              <wp:anchor distT="0" distB="0" distL="114300" distR="114300" simplePos="0" relativeHeight="251659264" behindDoc="0" locked="0" layoutInCell="1" allowOverlap="1">
                <wp:simplePos x="0" y="0"/>
                <wp:positionH relativeFrom="column">
                  <wp:posOffset>4706620</wp:posOffset>
                </wp:positionH>
                <wp:positionV relativeFrom="paragraph">
                  <wp:posOffset>70485</wp:posOffset>
                </wp:positionV>
                <wp:extent cx="1310640" cy="361950"/>
                <wp:effectExtent l="0" t="0" r="2286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640" cy="361950"/>
                        </a:xfrm>
                        <a:prstGeom prst="rect">
                          <a:avLst/>
                        </a:prstGeom>
                        <a:solidFill>
                          <a:srgbClr val="FFFFFF"/>
                        </a:solidFill>
                        <a:ln w="9525">
                          <a:solidFill>
                            <a:srgbClr val="000000"/>
                          </a:solidFill>
                          <a:miter lim="800000"/>
                          <a:headEnd/>
                          <a:tailEnd/>
                        </a:ln>
                      </wps:spPr>
                      <wps:txbx>
                        <w:txbxContent>
                          <w:p>
                            <w:pPr>
                              <w:spacing w:before="0" w:after="0"/>
                              <w:rPr>
                                <w:sz w:val="16"/>
                                <w:szCs w:val="16"/>
                              </w:rPr>
                            </w:pPr>
                            <w:r>
                              <w:rPr>
                                <w:sz w:val="16"/>
                                <w:szCs w:val="16"/>
                              </w:rPr>
                              <w:t>Данъчни облекчения за транспорта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70.6pt;margin-top:5.55pt;width:103.2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">
                <v:textbox>
                  <w:txbxContent>
                    <w:p>
                      <w:pPr>
                        <w:spacing w:before="0" w:after="0"/>
                        <w:rPr>
                          <w:sz w:val="16"/>
                          <w:szCs w:val="16"/>
                        </w:rPr>
                      </w:pPr>
                      <w:r>
                        <w:rPr>
                          <w:sz w:val="16"/>
                          <w:szCs w:val="16"/>
                        </w:rPr>
                        <w:t>Данъчни облекчения за транспорта</w:t>
                      </w:r>
                    </w:p>
                  </w:txbxContent>
                </v:textbox>
              </v:shape>
            </w:pict>
          </mc:Fallback>
        </mc:AlternateContent>
      </w:r>
      <w:r>
        <w:rPr>
          <w:noProof/>
        </w:rPr>
        <w:t xml:space="preserve"> </w:t>
      </w:r>
      <w:r>
        <w:rPr>
          <w:noProof/>
          <w:lang w:val="en-US" w:eastAsia="en-US" w:bidi="ar-SA"/>
        </w:rPr>
        <w:drawing>
          <wp:inline distT="0" distB="0" distL="0" distR="0">
            <wp:extent cx="5784850" cy="2730500"/>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84850" cy="2730500"/>
                    </a:xfrm>
                    <a:prstGeom prst="rect">
                      <a:avLst/>
                    </a:prstGeom>
                    <a:noFill/>
                    <a:ln>
                      <a:noFill/>
                    </a:ln>
                  </pic:spPr>
                </pic:pic>
              </a:graphicData>
            </a:graphic>
          </wp:inline>
        </w:drawing>
      </w:r>
      <w:r>
        <w:rPr>
          <w:noProof/>
        </w:rPr>
        <w:t xml:space="preserve"> </w:t>
      </w:r>
    </w:p>
    <w:p>
      <w:pPr>
        <w:spacing w:before="0" w:after="0" w:line="276" w:lineRule="auto"/>
        <w:rPr>
          <w:noProof/>
        </w:rPr>
      </w:pPr>
    </w:p>
    <w:p>
      <w:pPr>
        <w:spacing w:before="0" w:after="0" w:line="276" w:lineRule="auto"/>
        <w:rPr>
          <w:noProof/>
        </w:rPr>
      </w:pPr>
      <w:r>
        <w:rPr>
          <w:noProof/>
        </w:rPr>
        <w:t>От фигура 5 по-горе е видно, че, без горепосочените политики в областта на климата, емисиите на CO</w:t>
      </w:r>
      <w:r>
        <w:rPr>
          <w:noProof/>
          <w:vertAlign w:val="subscript"/>
        </w:rPr>
        <w:t>2</w:t>
      </w:r>
      <w:r>
        <w:rPr>
          <w:noProof/>
        </w:rPr>
        <w:t xml:space="preserve"> през 2012 г. биха били 30 % по-високи от наблюдаваното. Освен това е ясно, че развитието на възобновяемите енергийни източници е решаващ фактор за намаляването на емисиите и че данъчното облагане и СТЕ също оказват въздействие върху емисиите. От тези последващи оценки може да се направи заключението, че политиката в областта на климата е успешна, тъй като с нея се намаляват емисиите и се стимулира навлизането на чисти технологии. </w:t>
      </w:r>
    </w:p>
    <w:p>
      <w:pPr>
        <w:spacing w:before="0" w:after="0" w:line="276" w:lineRule="auto"/>
        <w:rPr>
          <w:noProof/>
        </w:rPr>
      </w:pPr>
    </w:p>
    <w:p>
      <w:pPr>
        <w:spacing w:before="0" w:after="0" w:line="276" w:lineRule="auto"/>
        <w:rPr>
          <w:noProof/>
        </w:rPr>
      </w:pPr>
      <w:r>
        <w:rPr>
          <w:noProof/>
        </w:rPr>
        <w:t xml:space="preserve">През юли 2016 г. Комисията публикува също така оценка на прилагането на Решението за разпределяне на усилията до 2015 г. Заключението от оценката е, че макар Решението все още да е на ранен етап от прилагането си, поетите по Решението ангажименти са допринесли за стимулирането на нови национални политики, с които се цели намаляване на емисиите на парникови газове. Благодарение на Решението се е подобрила също така координацията между националните, регионалните и местните власти. Политиките, включени в пакета за климата и енергетиката за 2020 г., по-специално за енергийна ефективност и енергия от възобновяеми източници, също са изиграли своята роля. </w:t>
      </w:r>
      <w:bookmarkStart w:id="390" w:name="_Toc429156149"/>
      <w:bookmarkStart w:id="391" w:name="_Toc456787460"/>
      <w:bookmarkStart w:id="392" w:name="_Toc461443650"/>
      <w:bookmarkStart w:id="393" w:name="_Toc463527743"/>
      <w:bookmarkStart w:id="394" w:name="_Toc398043857"/>
      <w:bookmarkStart w:id="395" w:name="_Toc398193323"/>
      <w:bookmarkStart w:id="396" w:name="_Toc391369940"/>
      <w:bookmarkStart w:id="397" w:name="_Toc391487176"/>
      <w:bookmarkStart w:id="398" w:name="_Toc391487825"/>
      <w:bookmarkStart w:id="399" w:name="_Toc391487917"/>
      <w:bookmarkStart w:id="400" w:name="_Toc463527749"/>
      <w:bookmarkStart w:id="401" w:name="_Toc463527751"/>
      <w:bookmarkEnd w:id="348"/>
      <w:bookmarkEnd w:id="349"/>
      <w:bookmarkEnd w:id="350"/>
      <w:bookmarkEnd w:id="351"/>
      <w:bookmarkEnd w:id="390"/>
      <w:bookmarkEnd w:id="391"/>
      <w:bookmarkEnd w:id="392"/>
      <w:bookmarkEnd w:id="393"/>
      <w:bookmarkEnd w:id="394"/>
      <w:bookmarkEnd w:id="395"/>
      <w:bookmarkEnd w:id="396"/>
      <w:bookmarkEnd w:id="397"/>
      <w:bookmarkEnd w:id="398"/>
      <w:bookmarkEnd w:id="399"/>
      <w:bookmarkEnd w:id="400"/>
      <w:bookmarkEnd w:id="401"/>
    </w:p>
    <w:sectPr>
      <w:headerReference w:type="even" r:id="rId30"/>
      <w:headerReference w:type="default" r:id="rId31"/>
      <w:footerReference w:type="even" r:id="rId32"/>
      <w:footerReference w:type="default" r:id="rId33"/>
      <w:headerReference w:type="first" r:id="rId34"/>
      <w:footerReference w:type="first" r:id="rId35"/>
      <w:pgSz w:w="11907" w:h="16839"/>
      <w:pgMar w:top="1418" w:right="964" w:bottom="1418" w:left="96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venir 55">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NewBskvll BT">
    <w:altName w:val="Times New Roman"/>
    <w:charset w:val="00"/>
    <w:family w:val="roman"/>
    <w:pitch w:val="variable"/>
    <w:sig w:usb0="00000087" w:usb1="00000000" w:usb2="00000000" w:usb3="00000000" w:csb0="0000001B"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20</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A884AD4"/>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2"/>
    <w:multiLevelType w:val="singleLevel"/>
    <w:tmpl w:val="87AAF8E2"/>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E848B4B6"/>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9"/>
    <w:multiLevelType w:val="singleLevel"/>
    <w:tmpl w:val="07C69E94"/>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1B345104"/>
    <w:multiLevelType w:val="multilevel"/>
    <w:tmpl w:val="BD3E8A8E"/>
    <w:name w:val="List Bullet 2"/>
    <w:lvl w:ilvl="0">
      <w:start w:val="1"/>
      <w:numFmt w:val="decimal"/>
      <w:pStyle w:val="BoxTitle"/>
      <w:lvlText w:val="Box %1: "/>
      <w:lvlJc w:val="left"/>
      <w:pPr>
        <w:tabs>
          <w:tab w:val="num" w:pos="2520"/>
        </w:tabs>
        <w:ind w:left="1077" w:hanging="357"/>
      </w:pPr>
      <w:rPr>
        <w:rFonts w:cs="Times New Roman" w:hint="default"/>
      </w:rPr>
    </w:lvl>
    <w:lvl w:ilvl="1">
      <w:start w:val="1"/>
      <w:numFmt w:val="decimal"/>
      <w:lvlText w:val="%1.%2"/>
      <w:lvlJc w:val="left"/>
      <w:pPr>
        <w:tabs>
          <w:tab w:val="num" w:pos="1440"/>
        </w:tabs>
        <w:ind w:left="1296" w:hanging="576"/>
      </w:pPr>
      <w:rPr>
        <w:rFonts w:cs="Times New Roman" w:hint="default"/>
      </w:rPr>
    </w:lvl>
    <w:lvl w:ilvl="2">
      <w:start w:val="1"/>
      <w:numFmt w:val="decimal"/>
      <w:lvlRestart w:val="0"/>
      <w:lvlText w:val="Figure %1.%3:"/>
      <w:lvlJc w:val="left"/>
      <w:pPr>
        <w:tabs>
          <w:tab w:val="num" w:pos="3240"/>
        </w:tabs>
        <w:ind w:left="1440" w:hanging="720"/>
      </w:pPr>
      <w:rPr>
        <w:rFonts w:cs="Times New Roman" w:hint="default"/>
      </w:rPr>
    </w:lvl>
    <w:lvl w:ilvl="3">
      <w:start w:val="1"/>
      <w:numFmt w:val="decimal"/>
      <w:lvlText w:val="%1.%2.%3.%4"/>
      <w:lvlJc w:val="left"/>
      <w:pPr>
        <w:tabs>
          <w:tab w:val="num" w:pos="1584"/>
        </w:tabs>
        <w:ind w:left="1584" w:hanging="864"/>
      </w:pPr>
      <w:rPr>
        <w:rFonts w:cs="Times New Roman" w:hint="default"/>
      </w:rPr>
    </w:lvl>
    <w:lvl w:ilvl="4">
      <w:start w:val="1"/>
      <w:numFmt w:val="decimal"/>
      <w:lvlText w:val="%1.%2.%3.%4.%5"/>
      <w:lvlJc w:val="left"/>
      <w:pPr>
        <w:tabs>
          <w:tab w:val="num" w:pos="1728"/>
        </w:tabs>
        <w:ind w:left="1728" w:hanging="1008"/>
      </w:pPr>
      <w:rPr>
        <w:rFonts w:cs="Times New Roman" w:hint="default"/>
      </w:rPr>
    </w:lvl>
    <w:lvl w:ilvl="5">
      <w:start w:val="1"/>
      <w:numFmt w:val="decimal"/>
      <w:lvlText w:val="%1.%2.%3.%4.%5.%6"/>
      <w:lvlJc w:val="left"/>
      <w:pPr>
        <w:tabs>
          <w:tab w:val="num" w:pos="1872"/>
        </w:tabs>
        <w:ind w:left="1872" w:hanging="1152"/>
      </w:pPr>
      <w:rPr>
        <w:rFonts w:cs="Times New Roman" w:hint="default"/>
      </w:rPr>
    </w:lvl>
    <w:lvl w:ilvl="6">
      <w:start w:val="1"/>
      <w:numFmt w:val="decimal"/>
      <w:lvlText w:val="%1.%2.%3.%4.%5.%6.%7"/>
      <w:lvlJc w:val="left"/>
      <w:pPr>
        <w:tabs>
          <w:tab w:val="num" w:pos="2016"/>
        </w:tabs>
        <w:ind w:left="2016" w:hanging="1296"/>
      </w:pPr>
      <w:rPr>
        <w:rFonts w:cs="Times New Roman" w:hint="default"/>
      </w:rPr>
    </w:lvl>
    <w:lvl w:ilvl="7">
      <w:start w:val="1"/>
      <w:numFmt w:val="decimal"/>
      <w:lvlText w:val="%1.%2.%3.%4.%5.%6.%7.%8"/>
      <w:lvlJc w:val="left"/>
      <w:pPr>
        <w:tabs>
          <w:tab w:val="num" w:pos="2160"/>
        </w:tabs>
        <w:ind w:left="2160" w:hanging="1440"/>
      </w:pPr>
      <w:rPr>
        <w:rFonts w:cs="Times New Roman" w:hint="default"/>
      </w:rPr>
    </w:lvl>
    <w:lvl w:ilvl="8">
      <w:start w:val="1"/>
      <w:numFmt w:val="decimal"/>
      <w:lvlText w:val="%1.%2.%3.%4.%5.%6.%7.%8.%9"/>
      <w:lvlJc w:val="left"/>
      <w:pPr>
        <w:tabs>
          <w:tab w:val="num" w:pos="2304"/>
        </w:tabs>
        <w:ind w:left="2304" w:hanging="1584"/>
      </w:pPr>
      <w:rPr>
        <w:rFonts w:cs="Times New Roman" w:hint="default"/>
      </w:rPr>
    </w:lvl>
  </w:abstractNum>
  <w:abstractNum w:abstractNumId="5">
    <w:nsid w:val="1B3C78B8"/>
    <w:multiLevelType w:val="multilevel"/>
    <w:tmpl w:val="2ED4F4D0"/>
    <w:name w:val="Point"/>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6">
    <w:nsid w:val="1CC3245B"/>
    <w:multiLevelType w:val="hybridMultilevel"/>
    <w:tmpl w:val="C8BC60B6"/>
    <w:lvl w:ilvl="0" w:tplc="057A529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22BD64B5"/>
    <w:multiLevelType w:val="multilevel"/>
    <w:tmpl w:val="25D60FC2"/>
    <w:name w:val="List Bullet 3__1"/>
    <w:lvl w:ilvl="0">
      <w:start w:val="1"/>
      <w:numFmt w:val="decimal"/>
      <w:lvlRestart w:val="0"/>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3CC0674"/>
    <w:multiLevelType w:val="multilevel"/>
    <w:tmpl w:val="04988288"/>
    <w:name w:val="List Bullet 4"/>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9B1BC9"/>
    <w:multiLevelType w:val="hybridMultilevel"/>
    <w:tmpl w:val="2878C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D820C1F"/>
    <w:multiLevelType w:val="singleLevel"/>
    <w:tmpl w:val="49B2A54A"/>
    <w:name w:val="List Number 4__1"/>
    <w:lvl w:ilvl="0">
      <w:start w:val="1"/>
      <w:numFmt w:val="bullet"/>
      <w:lvlRestart w:val="0"/>
      <w:pStyle w:val="Tyret1"/>
      <w:lvlText w:val="–"/>
      <w:lvlJc w:val="left"/>
      <w:pPr>
        <w:tabs>
          <w:tab w:val="num" w:pos="283"/>
        </w:tabs>
        <w:ind w:left="283" w:hanging="283"/>
      </w:pPr>
      <w:rPr>
        <w:rFonts w:ascii="Times New Roman" w:hAnsi="Times New Roman"/>
      </w:rPr>
    </w:lvl>
  </w:abstractNum>
  <w:abstractNum w:abstractNumId="13">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14">
    <w:nsid w:val="3AAA4224"/>
    <w:multiLevelType w:val="hybridMultilevel"/>
    <w:tmpl w:val="35FC71E2"/>
    <w:lvl w:ilvl="0" w:tplc="B890FA2C">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16">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17">
    <w:nsid w:val="401533D7"/>
    <w:multiLevelType w:val="hybridMultilevel"/>
    <w:tmpl w:val="D8F485EC"/>
    <w:name w:val="Heading3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9">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4E5850D6"/>
    <w:multiLevelType w:val="hybridMultilevel"/>
    <w:tmpl w:val="F17E054A"/>
    <w:name w:val="Heading32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2">
    <w:nsid w:val="54F80146"/>
    <w:multiLevelType w:val="multilevel"/>
    <w:tmpl w:val="C7B89B54"/>
    <w:lvl w:ilvl="0">
      <w:start w:val="1"/>
      <w:numFmt w:val="decimal"/>
      <w:lvlText w:val="%1"/>
      <w:lvlJc w:val="left"/>
      <w:pPr>
        <w:tabs>
          <w:tab w:val="num" w:pos="1152"/>
        </w:tabs>
        <w:ind w:left="1152" w:hanging="792"/>
      </w:pPr>
      <w:rPr>
        <w:rFonts w:cs="Times New Roman" w:hint="default"/>
      </w:rPr>
    </w:lvl>
    <w:lvl w:ilvl="1">
      <w:start w:val="1"/>
      <w:numFmt w:val="decimal"/>
      <w:lvlText w:val="%1.%2"/>
      <w:lvlJc w:val="left"/>
      <w:pPr>
        <w:tabs>
          <w:tab w:val="num" w:pos="1440"/>
        </w:tabs>
        <w:ind w:left="1296" w:hanging="576"/>
      </w:pPr>
      <w:rPr>
        <w:rFonts w:cs="Times New Roman" w:hint="default"/>
      </w:rPr>
    </w:lvl>
    <w:lvl w:ilvl="2">
      <w:start w:val="1"/>
      <w:numFmt w:val="decimal"/>
      <w:lvlText w:val="%1.%2.%3"/>
      <w:lvlJc w:val="left"/>
      <w:pPr>
        <w:tabs>
          <w:tab w:val="num" w:pos="1800"/>
        </w:tabs>
        <w:ind w:left="1440" w:hanging="720"/>
      </w:pPr>
      <w:rPr>
        <w:rFonts w:cs="Times New Roman" w:hint="default"/>
      </w:rPr>
    </w:lvl>
    <w:lvl w:ilvl="3">
      <w:start w:val="1"/>
      <w:numFmt w:val="decimal"/>
      <w:lvlText w:val="%1.%2.%3.%4"/>
      <w:lvlJc w:val="left"/>
      <w:pPr>
        <w:tabs>
          <w:tab w:val="num" w:pos="1584"/>
        </w:tabs>
        <w:ind w:left="1584" w:hanging="864"/>
      </w:pPr>
      <w:rPr>
        <w:rFonts w:cs="Times New Roman" w:hint="default"/>
      </w:rPr>
    </w:lvl>
    <w:lvl w:ilvl="4">
      <w:start w:val="1"/>
      <w:numFmt w:val="decimal"/>
      <w:pStyle w:val="Heading5"/>
      <w:lvlText w:val="%1.%2.%3.%4.%5"/>
      <w:lvlJc w:val="left"/>
      <w:pPr>
        <w:tabs>
          <w:tab w:val="num" w:pos="1728"/>
        </w:tabs>
        <w:ind w:left="1728" w:hanging="1008"/>
      </w:pPr>
      <w:rPr>
        <w:rFonts w:cs="Times New Roman" w:hint="default"/>
      </w:rPr>
    </w:lvl>
    <w:lvl w:ilvl="5">
      <w:start w:val="1"/>
      <w:numFmt w:val="decimal"/>
      <w:pStyle w:val="Heading6"/>
      <w:lvlText w:val="%1.%2.%3.%4.%5.%6"/>
      <w:lvlJc w:val="left"/>
      <w:pPr>
        <w:tabs>
          <w:tab w:val="num" w:pos="1872"/>
        </w:tabs>
        <w:ind w:left="1872" w:hanging="1152"/>
      </w:pPr>
      <w:rPr>
        <w:rFonts w:cs="Times New Roman" w:hint="default"/>
      </w:rPr>
    </w:lvl>
    <w:lvl w:ilvl="6">
      <w:start w:val="1"/>
      <w:numFmt w:val="decimal"/>
      <w:lvlText w:val="%1.%2.%3.%4.%5.%6.%7"/>
      <w:lvlJc w:val="left"/>
      <w:pPr>
        <w:tabs>
          <w:tab w:val="num" w:pos="2016"/>
        </w:tabs>
        <w:ind w:left="2016" w:hanging="1296"/>
      </w:pPr>
      <w:rPr>
        <w:rFonts w:cs="Times New Roman" w:hint="default"/>
      </w:rPr>
    </w:lvl>
    <w:lvl w:ilvl="7">
      <w:start w:val="1"/>
      <w:numFmt w:val="decimal"/>
      <w:lvlText w:val="%1.%2.%3.%4.%5.%6.%7.%8"/>
      <w:lvlJc w:val="left"/>
      <w:pPr>
        <w:tabs>
          <w:tab w:val="num" w:pos="2160"/>
        </w:tabs>
        <w:ind w:left="2160" w:hanging="1440"/>
      </w:pPr>
      <w:rPr>
        <w:rFonts w:cs="Times New Roman" w:hint="default"/>
      </w:rPr>
    </w:lvl>
    <w:lvl w:ilvl="8">
      <w:start w:val="1"/>
      <w:numFmt w:val="decimal"/>
      <w:lvlText w:val="%1.%2.%3.%4.%5.%6.%7.%8.%9"/>
      <w:lvlJc w:val="left"/>
      <w:pPr>
        <w:tabs>
          <w:tab w:val="num" w:pos="2304"/>
        </w:tabs>
        <w:ind w:left="2304" w:hanging="1584"/>
      </w:pPr>
      <w:rPr>
        <w:rFonts w:cs="Times New Roman" w:hint="default"/>
      </w:rPr>
    </w:lvl>
  </w:abstractNum>
  <w:abstractNum w:abstractNumId="23">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24">
    <w:nsid w:val="596D67A1"/>
    <w:multiLevelType w:val="singleLevel"/>
    <w:tmpl w:val="9AC8831A"/>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5">
    <w:nsid w:val="5C8B1830"/>
    <w:multiLevelType w:val="multilevel"/>
    <w:tmpl w:val="EC9E1398"/>
    <w:lvl w:ilvl="0">
      <w:start w:val="1"/>
      <w:numFmt w:val="decimal"/>
      <w:lvlRestart w:val="0"/>
      <w:pStyle w:val="Heading1"/>
      <w:lvlText w:val="%1."/>
      <w:lvlJc w:val="left"/>
      <w:pPr>
        <w:tabs>
          <w:tab w:val="num" w:pos="850"/>
        </w:tabs>
        <w:ind w:left="850"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pStyle w:val="Heading3"/>
      <w:lvlText w:val="%1.%2.%3."/>
      <w:lvlJc w:val="left"/>
      <w:pPr>
        <w:tabs>
          <w:tab w:val="num" w:pos="850"/>
        </w:tabs>
        <w:ind w:left="850" w:hanging="850"/>
      </w:pPr>
      <w:rPr>
        <w:rFonts w:hint="default"/>
      </w:rPr>
    </w:lvl>
    <w:lvl w:ilvl="3">
      <w:start w:val="1"/>
      <w:numFmt w:val="decimal"/>
      <w:pStyle w:val="Heading4"/>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nsid w:val="6212116F"/>
    <w:multiLevelType w:val="hybridMultilevel"/>
    <w:tmpl w:val="5000A0C4"/>
    <w:lvl w:ilvl="0" w:tplc="FFFFFFFF">
      <w:start w:val="1"/>
      <w:numFmt w:val="bullet"/>
      <w:pStyle w:val="Keymessage"/>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9">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30">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1">
    <w:nsid w:val="64A12FA4"/>
    <w:multiLevelType w:val="multilevel"/>
    <w:tmpl w:val="15CCA16A"/>
    <w:lvl w:ilvl="0">
      <w:start w:val="1"/>
      <w:numFmt w:val="decimal"/>
      <w:lvlRestart w:val="0"/>
      <w:lvlText w:val="%1."/>
      <w:lvlJc w:val="left"/>
      <w:pPr>
        <w:tabs>
          <w:tab w:val="num" w:pos="850"/>
        </w:tabs>
        <w:ind w:left="850" w:hanging="850"/>
      </w:pPr>
      <w:rPr>
        <w:rFonts w:hint="default"/>
      </w:rPr>
    </w:lvl>
    <w:lvl w:ilvl="1">
      <w:start w:val="1"/>
      <w:numFmt w:val="decimal"/>
      <w:lvlText w:val="%1.%2."/>
      <w:lvlJc w:val="left"/>
      <w:pPr>
        <w:tabs>
          <w:tab w:val="num" w:pos="850"/>
        </w:tabs>
        <w:ind w:left="850" w:hanging="850"/>
      </w:pPr>
      <w:rPr>
        <w:rFonts w:hint="default"/>
        <w:b w:val="0"/>
        <w:i w:val="0"/>
      </w:rPr>
    </w:lvl>
    <w:lvl w:ilvl="2">
      <w:start w:val="1"/>
      <w:numFmt w:val="decimal"/>
      <w:lvlText w:val="%1.%2.%3."/>
      <w:lvlJc w:val="left"/>
      <w:pPr>
        <w:tabs>
          <w:tab w:val="num" w:pos="850"/>
        </w:tabs>
        <w:ind w:left="850" w:hanging="850"/>
      </w:pPr>
      <w:rPr>
        <w:rFonts w:hint="default"/>
        <w:color w:val="auto"/>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67212A20"/>
    <w:multiLevelType w:val="hybridMultilevel"/>
    <w:tmpl w:val="9968D3B2"/>
    <w:name w:val="Heading3"/>
    <w:lvl w:ilvl="0" w:tplc="0809001B">
      <w:start w:val="1"/>
      <w:numFmt w:val="lowerRoman"/>
      <w:lvlText w:val="%1."/>
      <w:lvlJc w:val="right"/>
      <w:pPr>
        <w:ind w:left="1570" w:hanging="360"/>
      </w:pPr>
    </w:lvl>
    <w:lvl w:ilvl="1" w:tplc="08090019" w:tentative="1">
      <w:start w:val="1"/>
      <w:numFmt w:val="lowerLetter"/>
      <w:lvlText w:val="%2."/>
      <w:lvlJc w:val="left"/>
      <w:pPr>
        <w:ind w:left="2290" w:hanging="360"/>
      </w:pPr>
    </w:lvl>
    <w:lvl w:ilvl="2" w:tplc="08090001">
      <w:start w:val="1"/>
      <w:numFmt w:val="bullet"/>
      <w:lvlText w:val=""/>
      <w:lvlJc w:val="left"/>
      <w:pPr>
        <w:ind w:left="3010" w:hanging="180"/>
      </w:pPr>
      <w:rPr>
        <w:rFonts w:ascii="Symbol" w:hAnsi="Symbol" w:hint="default"/>
      </w:r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33">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34">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5">
    <w:nsid w:val="6B2545D3"/>
    <w:multiLevelType w:val="hybridMultilevel"/>
    <w:tmpl w:val="D07257A6"/>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6">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7967710"/>
    <w:multiLevelType w:val="multilevel"/>
    <w:tmpl w:val="96CA5D34"/>
    <w:name w:val="Default"/>
    <w:lvl w:ilvl="0">
      <w:start w:val="1"/>
      <w:numFmt w:val="decimal"/>
      <w:lvlRestart w:val="0"/>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8A241BD"/>
    <w:multiLevelType w:val="singleLevel"/>
    <w:tmpl w:val="53C4DF32"/>
    <w:name w:val="List Number"/>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9">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1">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42">
    <w:nsid w:val="7EFE37DD"/>
    <w:multiLevelType w:val="multilevel"/>
    <w:tmpl w:val="7FF8D8A2"/>
    <w:name w:val="List Number 3__1"/>
    <w:lvl w:ilvl="0">
      <w:start w:val="1"/>
      <w:numFmt w:val="decimal"/>
      <w:lvlRestart w:val="0"/>
      <w:pStyle w:val="ListNumber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1"/>
  </w:num>
  <w:num w:numId="2">
    <w:abstractNumId w:val="10"/>
  </w:num>
  <w:num w:numId="3">
    <w:abstractNumId w:val="27"/>
  </w:num>
  <w:num w:numId="4">
    <w:abstractNumId w:val="26"/>
  </w:num>
  <w:num w:numId="5">
    <w:abstractNumId w:val="19"/>
  </w:num>
  <w:num w:numId="6">
    <w:abstractNumId w:val="33"/>
  </w:num>
  <w:num w:numId="7">
    <w:abstractNumId w:val="36"/>
  </w:num>
  <w:num w:numId="8">
    <w:abstractNumId w:val="40"/>
  </w:num>
  <w:num w:numId="9">
    <w:abstractNumId w:val="15"/>
  </w:num>
  <w:num w:numId="10">
    <w:abstractNumId w:val="13"/>
  </w:num>
  <w:num w:numId="11">
    <w:abstractNumId w:val="29"/>
  </w:num>
  <w:num w:numId="12">
    <w:abstractNumId w:val="16"/>
  </w:num>
  <w:num w:numId="13">
    <w:abstractNumId w:val="23"/>
  </w:num>
  <w:num w:numId="14">
    <w:abstractNumId w:val="3"/>
  </w:num>
  <w:num w:numId="15">
    <w:abstractNumId w:val="2"/>
  </w:num>
  <w:num w:numId="16">
    <w:abstractNumId w:val="1"/>
  </w:num>
  <w:num w:numId="17">
    <w:abstractNumId w:val="0"/>
  </w:num>
  <w:num w:numId="18">
    <w:abstractNumId w:val="34"/>
  </w:num>
  <w:num w:numId="19">
    <w:abstractNumId w:val="18"/>
  </w:num>
  <w:num w:numId="20">
    <w:abstractNumId w:val="30"/>
  </w:num>
  <w:num w:numId="21">
    <w:abstractNumId w:val="24"/>
  </w:num>
  <w:num w:numId="22">
    <w:abstractNumId w:val="38"/>
  </w:num>
  <w:num w:numId="23">
    <w:abstractNumId w:val="41"/>
  </w:num>
  <w:num w:numId="24">
    <w:abstractNumId w:val="39"/>
  </w:num>
  <w:num w:numId="25">
    <w:abstractNumId w:val="12"/>
  </w:num>
  <w:num w:numId="26">
    <w:abstractNumId w:val="7"/>
  </w:num>
  <w:num w:numId="27">
    <w:abstractNumId w:val="37"/>
  </w:num>
  <w:num w:numId="28">
    <w:abstractNumId w:val="42"/>
  </w:num>
  <w:num w:numId="29">
    <w:abstractNumId w:val="9"/>
  </w:num>
  <w:num w:numId="30">
    <w:abstractNumId w:val="4"/>
  </w:num>
  <w:num w:numId="31">
    <w:abstractNumId w:val="22"/>
  </w:num>
  <w:num w:numId="32">
    <w:abstractNumId w:val="28"/>
  </w:num>
  <w:num w:numId="33">
    <w:abstractNumId w:val="31"/>
  </w:num>
  <w:num w:numId="34">
    <w:abstractNumId w:val="25"/>
  </w:num>
  <w:num w:numId="35">
    <w:abstractNumId w:val="6"/>
  </w:num>
  <w:num w:numId="36">
    <w:abstractNumId w:val="35"/>
  </w:num>
  <w:num w:numId="37">
    <w:abstractNumId w:val="25"/>
  </w:num>
  <w:num w:numId="38">
    <w:abstractNumId w:val="14"/>
  </w:num>
  <w:num w:numId="39">
    <w:abstractNumId w:val="6"/>
  </w:num>
  <w:num w:numId="40">
    <w:abstractNumId w:val="17"/>
  </w:num>
  <w:num w:numId="41">
    <w:abstractNumId w:val="11"/>
  </w:num>
  <w:num w:numId="42">
    <w:abstractNumId w:val="14"/>
  </w:num>
  <w:num w:numId="43">
    <w:abstractNumId w:val="25"/>
  </w:num>
  <w:num w:numId="44">
    <w:abstractNumId w:val="25"/>
  </w:num>
  <w:num w:numId="45">
    <w:abstractNumId w:val="25"/>
  </w:num>
  <w:num w:numId="46">
    <w:abstractNumId w:val="2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VERPAGE_EXISTS" w:val="True"/>
    <w:docVar w:name="DocStatus" w:val="Green"/>
    <w:docVar w:name="LW_CONFIDENCE" w:val=" "/>
    <w:docVar w:name="LW_CONST_RESTREINT_UE" w:val="RESTREINT UE"/>
    <w:docVar w:name="LW_CORRIGENDUM" w:val="&lt;UNUSED&gt;"/>
    <w:docVar w:name="LW_COVERPAGE_GUID" w:val="25A176D7FED547A4874EE1FFB55E94FB"/>
    <w:docVar w:name="LW_CROSSREFERENCE" w:val="{SWD(2016) 349 final}"/>
    <w:docVar w:name="LW_DocType" w:val="NORMAL"/>
    <w:docVar w:name="LW_EMISSION" w:val="8.11.2016"/>
    <w:docVar w:name="LW_EMISSION_ISODATE" w:val="2016-11-08"/>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707"/>
    <w:docVar w:name="LW_REF.INTERNE" w:val="&lt;UNUSED&gt;"/>
    <w:docVar w:name="LW_SOUS.TITRE.OBJ" w:val="(\u1080?\u1079?\u1080?\u1089?\u1082?\u1074?\u1072?\u1085? \u1089?\u1098?\u1075?\u1083?\u1072?\u1089?\u1085?\u1086? \u1095?\u1083?\u1077?\u1085? 21 \u1086?\u1090? \u1056?\u1077?\u1075?\u1083?\u1072?\u1084?\u1077?\u1085?\u1090? (\u1045?\u1057?) \u8470? 525/2013 \u1085?\u1072? \u1045?\u1074?\u1088?\u1086?\u1087?\u1077?\u1081?\u1089?\u1082?\u1080?\u1103? \u1087?\u1072?\u1088?\u1083?\u1072?\u1084?\u1077?\u1085?\u1090?  \u1085?\u1072? \u1057?\u1098?\u1074?\u1077?\u1090?\u1072? \u1086?\u1090? 21 \u1084?\u1072?\u1081? 2013 \u1075?. \u1086?\u1090?\u1085?\u1086?\u1089?\u1085?\u1086? \u1084?\u1077?\u1093?\u1072?\u1085?\u1080?\u1079?\u1098?\u1084? \u1079?\u1072? \u1084?\u1086?\u1085?\u1080?\u1090?\u1086?\u1088?\u1080?\u1085?\u1075? \u1080? \u1076?\u1086?\u1082?\u1083?\u1072?\u1076?\u1074?\u1072?\u1085?\u1077? \u1085?\u1072? \u1077?\u1084?\u1080?\u1089?\u1080?\u1080?\u1090?\u1077? \u1085?\u1072? \u1087?\u1072?\u1088?\u1085?\u1080?\u1082?\u1086?\u1074?\u1080? \u1075?\u1072?\u1079?\u1086?\u1074?\u1077? \u1080? \u1079?\u1072? \u1076?\u1086?\u1082?\u1083?\u1072?\u1076?\u1074?\u1072?\u1085?\u1077? \u1085?\u1072? \u1076?\u1088?\u1091?\u1075?\u1072? \u1080?\u1085?\u1092?\u1086?\u1088?\u1084?\u1072?\u1094?\u1080?\u1103?, \u1089?\u1074?\u1098?\u1088?\u1079?\u1072?\u1085?\u1072? \u1089? \u1080?\u1079?\u1084?\u1077?\u1085?\u1077?\u1085?\u1080?\u1077?\u1090?\u1086? \u1085?\u1072? \u1082?\u1083?\u1080?\u1084?\u1072?\u1090?\u1072?, \u1085?\u1072? \u1085?\u1072?\u1094?\u1080?\u1086?\u1085?\u1072?\u1083?\u1085?\u1086? \u1088?\u1072?\u1074?\u1085?\u1080?\u1097?\u1077? \u1080? \u1085?\u1072? \u1088?\u1072?\u1074?\u1085?\u1080?\u1097?\u1077?\u1090?\u1086? \u1085?\u1072? \u1045?\u1057?, \u1080? \u1079?\u1072? \u1086?\u1090?\u1084?\u1103?\u1085?\u1072? \u1085?\u1072? \u1056?\u1077?\u1096?\u1077?\u1085?\u1080?\u1077? 280/2004/\u1045?\u1057?)_x000b_"/>
    <w:docVar w:name="LW_SOUS.TITRE.OBJ.CP" w:val="(\u1080?\u1079?\u1080?\u1089?\u1082?\u1074?\u1072?\u1085? \u1089?\u1098?\u1075?\u1083?\u1072?\u1089?\u1085?\u1086? \u1095?\u1083?\u1077?\u1085? 21 \u1086?\u1090? \u1056?\u1077?\u1075?\u1083?\u1072?\u1084?\u1077?\u1085?\u1090? (\u1045?\u1057?) \u8470? 525/2013 \u1085?\u1072? \u1045?\u1074?\u1088?\u1086?\u1087?\u1077?\u1081?\u1089?\u1082?\u1080?\u1103? \u1087?\u1072?\u1088?\u1083?\u1072?\u1084?\u1077?\u1085?\u1090?  \u1085?\u1072? \u1057?\u1098?\u1074?\u1077?\u1090?\u1072? \u1086?\u1090? 21 \u1084?\u1072?\u1081? 2013 \u1075?. \u1086?\u1090?\u1085?\u1086?\u1089?\u1085?\u1086? \u1084?\u1077?\u1093?\u1072?\u1085?\u1080?\u1079?\u1098?\u1084? \u1079?\u1072? \u1084?\u1086?\u1085?\u1080?\u1090?\u1086?\u1088?\u1080?\u1085?\u1075? \u1080? \u1076?\u1086?\u1082?\u1083?\u1072?\u1076?\u1074?\u1072?\u1085?\u1077? \u1085?\u1072? \u1077?\u1084?\u1080?\u1089?\u1080?\u1080?\u1090?\u1077? \u1085?\u1072? \u1087?\u1072?\u1088?\u1085?\u1080?\u1082?\u1086?\u1074?\u1080? \u1075?\u1072?\u1079?\u1086?\u1074?\u1077? \u1080? \u1079?\u1072? \u1076?\u1086?\u1082?\u1083?\u1072?\u1076?\u1074?\u1072?\u1085?\u1077? \u1085?\u1072? \u1076?\u1088?\u1091?\u1075?\u1072? \u1080?\u1085?\u1092?\u1086?\u1088?\u1084?\u1072?\u1094?\u1080?\u1103?, \u1089?\u1074?\u1098?\u1088?\u1079?\u1072?\u1085?\u1072? \u1089? \u1080?\u1079?\u1084?\u1077?\u1085?\u1077?\u1085?\u1080?\u1077?\u1090?\u1086? \u1085?\u1072? \u1082?\u1083?\u1080?\u1084?\u1072?\u1090?\u1072?, \u1085?\u1072? \u1085?\u1072?\u1094?\u1080?\u1086?\u1085?\u1072?\u1083?\u1085?\u1086? \u1088?\u1072?\u1074?\u1085?\u1080?\u1097?\u1077? \u1080? \u1085?\u1072? \u1088?\u1072?\u1074?\u1085?\u1080?\u1097?\u1077?\u1090?\u1086? \u1085?\u1072? \u1045?\u1057?, \u1080? \u1079?\u1072? \u1086?\u1090?\u1084?\u1103?\u1085?\u1072? \u1085?\u1072? \u1056?\u1077?\u1096?\u1077?\u1085?\u1080?\u1077? 280/2004/\u1045?\u1057?)_x000b_"/>
    <w:docVar w:name="LW_SUPERTITRE" w:val="&lt;UNUSED&gt;"/>
    <w:docVar w:name="LW_TITRE.OBJ.CP" w:val="\u1048?\u1079?\u1087?\u1098?\u1083?\u1085?\u1077?\u1085?\u1080?\u1077? \u1085?\u1072? \u1057?\u1087?\u1086?\u1088?\u1072?\u1079?\u1091?\u1084?\u1077?\u1085?\u1080?\u1077?\u1090?\u1086? \u1086?\u1090? \u1055?\u1072?\u1088?\u1080?\u1078? - \u1053?\u1072?\u1087?\u1088?\u1077?\u1076?\u1074?\u1072?\u1085?\u1077? \u1085?\u1072? \u1045?\u1057? \u1082?\u1098?\u1084? \u1094?\u1077?\u1083?\u1090?\u1072? \u1079?\u1072? \u1085?\u1072?\u1084?\u1072?\u1083?\u1103?\u1074?\u1072?\u1085?\u1077? \u1089? \u1087?\u1086?\u1085?\u1077? 40%"/>
    <w:docVar w:name="LW_TYPE.DOC.CP" w:val="\u1044?\u1054?\u1050?\u1051?\u1040?\u1044? \u1053?\u1040? \u1050?\u1054?\u1052?\u1048?\u1057?\u1048?\u1071?\u1058?\u1040? \u1044?\u1054? \u1045?\u1042?\u1056?\u1054?\u1055?\u1045?\u1049?\u1057?\u1050?\u1048?\u1071? \u1055?\u1040?\u1056?\u1051?\u1040?\u1052?\u1045?\u1053?\u1058? \u1048? \u1057?\u1066?\u1042?\u1045?\u1058?\u1040?"/>
    <w:docVar w:name="Stamp" w:val="\\dossiers.dgt.cec.eu.int\dossiers\CLIMA\CLIMA-2015-00140\CLIMA-2015-00140-00-00-EN-REV-00.DOC"/>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caption" w:semiHidden="1" w:uiPriority="35" w:unhideWhenUsed="1" w:qFormat="1"/>
    <w:lsdException w:name="table of figures" w:uiPriority="99"/>
    <w:lsdException w:name="footnote reference" w:uiPriority="99" w:qFormat="1"/>
    <w:lsdException w:name="annotation reference" w:uiPriority="99"/>
    <w:lsdException w:name="page number" w:uiPriority="99"/>
    <w:lsdException w:name="endnote reference" w:uiPriority="99"/>
    <w:lsdException w:name="endnote text" w:uiPriority="99"/>
    <w:lsdException w:name="List Bullet" w:uiPriority="99"/>
    <w:lsdException w:name="List Number" w:uiPriority="99"/>
    <w:lsdException w:name="List Bullet 2" w:uiPriority="99"/>
    <w:lsdException w:name="List Bullet 3" w:uiPriority="99"/>
    <w:lsdException w:name="List Bullet 4" w:uiPriority="99"/>
    <w:lsdException w:name="List Number 2" w:uiPriority="99"/>
    <w:lsdException w:name="List Number 3" w:uiPriority="99"/>
    <w:lsdException w:name="List Number 4" w:uiPriority="99"/>
    <w:lsdException w:name="Title" w:qFormat="1"/>
    <w:lsdException w:name="Default Paragraph Font" w:uiPriority="1"/>
    <w:lsdException w:name="Body Text" w:uiPriority="99"/>
    <w:lsdException w:name="Subtitle" w:qFormat="1"/>
    <w:lsdException w:name="Body Text 3" w:uiPriority="99"/>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jc w:val="both"/>
    </w:pPr>
    <w:rPr>
      <w:sz w:val="24"/>
      <w:szCs w:val="24"/>
    </w:rPr>
  </w:style>
  <w:style w:type="paragraph" w:styleId="Heading1">
    <w:name w:val="heading 1"/>
    <w:basedOn w:val="Normal"/>
    <w:next w:val="Normal"/>
    <w:link w:val="Heading1Char"/>
    <w:uiPriority w:val="9"/>
    <w:qFormat/>
    <w:pPr>
      <w:keepNext/>
      <w:numPr>
        <w:numId w:val="34"/>
      </w:numPr>
      <w:spacing w:before="360"/>
      <w:outlineLvl w:val="0"/>
    </w:pPr>
    <w:rPr>
      <w:b/>
      <w:bCs/>
      <w:smallCaps/>
      <w:szCs w:val="32"/>
    </w:rPr>
  </w:style>
  <w:style w:type="paragraph" w:styleId="Heading2">
    <w:name w:val="heading 2"/>
    <w:basedOn w:val="Normal"/>
    <w:next w:val="Normal"/>
    <w:link w:val="Heading2Char"/>
    <w:uiPriority w:val="9"/>
    <w:qFormat/>
    <w:pPr>
      <w:keepNext/>
      <w:outlineLvl w:val="1"/>
    </w:pPr>
    <w:rPr>
      <w:b/>
      <w:bCs/>
      <w:i/>
      <w:iCs/>
      <w:szCs w:val="28"/>
    </w:rPr>
  </w:style>
  <w:style w:type="paragraph" w:styleId="Heading3">
    <w:name w:val="heading 3"/>
    <w:basedOn w:val="Normal"/>
    <w:next w:val="Normal"/>
    <w:link w:val="Heading3Char"/>
    <w:uiPriority w:val="9"/>
    <w:qFormat/>
    <w:pPr>
      <w:keepNext/>
      <w:numPr>
        <w:ilvl w:val="2"/>
        <w:numId w:val="34"/>
      </w:numPr>
      <w:outlineLvl w:val="2"/>
    </w:pPr>
    <w:rPr>
      <w:bCs/>
      <w:i/>
      <w:szCs w:val="26"/>
    </w:rPr>
  </w:style>
  <w:style w:type="paragraph" w:styleId="Heading4">
    <w:name w:val="heading 4"/>
    <w:basedOn w:val="Normal"/>
    <w:next w:val="Normal"/>
    <w:link w:val="Heading4Char"/>
    <w:uiPriority w:val="9"/>
    <w:qFormat/>
    <w:pPr>
      <w:keepNext/>
      <w:numPr>
        <w:ilvl w:val="3"/>
        <w:numId w:val="34"/>
      </w:numPr>
      <w:outlineLvl w:val="3"/>
    </w:pPr>
    <w:rPr>
      <w:bCs/>
      <w:szCs w:val="28"/>
    </w:rPr>
  </w:style>
  <w:style w:type="paragraph" w:styleId="Heading5">
    <w:name w:val="heading 5"/>
    <w:basedOn w:val="Normal"/>
    <w:next w:val="Normal"/>
    <w:link w:val="Heading5Char"/>
    <w:uiPriority w:val="9"/>
    <w:qFormat/>
    <w:pPr>
      <w:numPr>
        <w:ilvl w:val="4"/>
        <w:numId w:val="31"/>
      </w:numPr>
      <w:tabs>
        <w:tab w:val="clear" w:pos="1728"/>
        <w:tab w:val="num" w:pos="1368"/>
      </w:tabs>
      <w:spacing w:before="240" w:after="60"/>
      <w:ind w:left="1368"/>
      <w:jc w:val="left"/>
      <w:outlineLvl w:val="4"/>
    </w:pPr>
    <w:rPr>
      <w:b/>
      <w:bCs/>
      <w:i/>
      <w:iCs/>
      <w:sz w:val="26"/>
      <w:szCs w:val="26"/>
    </w:rPr>
  </w:style>
  <w:style w:type="paragraph" w:styleId="Heading6">
    <w:name w:val="heading 6"/>
    <w:basedOn w:val="Normal"/>
    <w:next w:val="Normal"/>
    <w:link w:val="Heading6Char"/>
    <w:uiPriority w:val="9"/>
    <w:qFormat/>
    <w:pPr>
      <w:numPr>
        <w:ilvl w:val="5"/>
        <w:numId w:val="31"/>
      </w:numPr>
      <w:tabs>
        <w:tab w:val="clear" w:pos="1872"/>
        <w:tab w:val="num" w:pos="1512"/>
      </w:tabs>
      <w:spacing w:before="240" w:after="60"/>
      <w:ind w:left="1512"/>
      <w:jc w:val="left"/>
      <w:outlineLvl w:val="5"/>
    </w:pPr>
    <w:rPr>
      <w:b/>
      <w:bCs/>
      <w:sz w:val="22"/>
      <w:szCs w:val="20"/>
    </w:rPr>
  </w:style>
  <w:style w:type="paragraph" w:styleId="Heading7">
    <w:name w:val="heading 7"/>
    <w:basedOn w:val="Normal"/>
    <w:next w:val="Normal"/>
    <w:link w:val="Heading7Char"/>
    <w:uiPriority w:val="9"/>
    <w:qFormat/>
    <w:pPr>
      <w:keepNext/>
      <w:spacing w:before="0" w:after="0"/>
      <w:outlineLvl w:val="6"/>
    </w:pPr>
    <w:rPr>
      <w:b/>
      <w:bCs/>
      <w:sz w:val="18"/>
      <w:szCs w:val="20"/>
    </w:rPr>
  </w:style>
  <w:style w:type="paragraph" w:styleId="Heading8">
    <w:name w:val="heading 8"/>
    <w:basedOn w:val="Normal"/>
    <w:next w:val="Normal"/>
    <w:link w:val="Heading8Char"/>
    <w:uiPriority w:val="9"/>
    <w:qFormat/>
    <w:pPr>
      <w:tabs>
        <w:tab w:val="num" w:pos="2700"/>
      </w:tabs>
      <w:spacing w:before="240" w:after="60"/>
      <w:ind w:left="2700" w:hanging="1440"/>
      <w:jc w:val="left"/>
      <w:outlineLvl w:val="7"/>
    </w:pPr>
    <w:rPr>
      <w:rFonts w:ascii="Palatino Linotype" w:hAnsi="Palatino Linotype"/>
      <w:i/>
      <w:iCs/>
      <w:sz w:val="22"/>
      <w:szCs w:val="20"/>
    </w:rPr>
  </w:style>
  <w:style w:type="paragraph" w:styleId="Heading9">
    <w:name w:val="heading 9"/>
    <w:basedOn w:val="Normal"/>
    <w:next w:val="Normal"/>
    <w:link w:val="Heading9Char"/>
    <w:uiPriority w:val="9"/>
    <w:qFormat/>
    <w:pPr>
      <w:tabs>
        <w:tab w:val="num" w:pos="2844"/>
      </w:tabs>
      <w:spacing w:before="240" w:after="60"/>
      <w:ind w:left="2844" w:hanging="1584"/>
      <w:jc w:val="left"/>
      <w:outlineLvl w:val="8"/>
    </w:pPr>
    <w:rPr>
      <w:rFonts w:ascii="Arial" w:hAnsi="Arial" w:cs="Arial"/>
      <w:sz w:val="2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aliases w:val="number,Footnote text,Footnote reference number,Footnote symbol,note TESI,-E Fußnotenzeichen,SUPERS,stylish,ftref,Footnote Reference Superscript,Odwołanie przypisu,Times 10 Point,Exposant 3 Point,Voetnootverwijzing"/>
    <w:link w:val="SUPERSCharCharCharCharCharCharCharChar"/>
    <w:uiPriority w:val="99"/>
    <w:qFormat/>
    <w:rPr>
      <w:shd w:val="clear" w:color="auto" w:fill="auto"/>
      <w:vertAlign w:val="superscript"/>
    </w:rPr>
  </w:style>
  <w:style w:type="paragraph" w:styleId="FootnoteText">
    <w:name w:val="footnote text"/>
    <w:aliases w:val="-E Fußnotentext,Fußnotentext Ursprung,-E Fußnotentext1,-E Fußnotentext2,-E Fußnotentext3,Fußnotentextf,RSK-FT,RSK-FT1,RSK-FT2,Schriftart: 9 pt,Schriftart: 10 pt,Schriftart: 8 pt,WB-Fußnotentext,fn,Footnotes,Footnote ak,Char,Fußnote"/>
    <w:basedOn w:val="Normal"/>
    <w:link w:val="FootnoteTextChar"/>
    <w:uiPriority w:val="99"/>
    <w:qFormat/>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link w:val="HeaderChar"/>
    <w:uiPriority w:val="99"/>
    <w:pPr>
      <w:tabs>
        <w:tab w:val="center" w:pos="4535"/>
        <w:tab w:val="right" w:pos="9071"/>
      </w:tabs>
    </w:pPr>
  </w:style>
  <w:style w:type="paragraph" w:customStyle="1" w:styleId="HeaderLandscape">
    <w:name w:val="HeaderLandscape"/>
    <w:basedOn w:val="Normal"/>
    <w:pPr>
      <w:tabs>
        <w:tab w:val="center" w:pos="7285"/>
        <w:tab w:val="right" w:pos="14003"/>
      </w:tabs>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7"/>
      </w:numPr>
    </w:pPr>
  </w:style>
  <w:style w:type="paragraph" w:customStyle="1" w:styleId="NumPar2">
    <w:name w:val="NumPar 2"/>
    <w:basedOn w:val="Normal"/>
    <w:next w:val="Normal"/>
    <w:pPr>
      <w:numPr>
        <w:ilvl w:val="1"/>
        <w:numId w:val="7"/>
      </w:numPr>
    </w:pPr>
  </w:style>
  <w:style w:type="paragraph" w:customStyle="1" w:styleId="NumPar3">
    <w:name w:val="NumPar 3"/>
    <w:basedOn w:val="Normal"/>
    <w:next w:val="Normal"/>
    <w:pPr>
      <w:numPr>
        <w:ilvl w:val="2"/>
        <w:numId w:val="7"/>
      </w:numPr>
    </w:pPr>
  </w:style>
  <w:style w:type="paragraph" w:customStyle="1" w:styleId="NumPar4">
    <w:name w:val="NumPar 4"/>
    <w:basedOn w:val="Normal"/>
    <w:next w:val="Normal"/>
    <w:pPr>
      <w:numPr>
        <w:ilvl w:val="3"/>
        <w:numId w:val="7"/>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8"/>
      </w:numPr>
    </w:pPr>
  </w:style>
  <w:style w:type="paragraph" w:customStyle="1" w:styleId="Point0number">
    <w:name w:val="Point 0 (number)"/>
    <w:basedOn w:val="Normal"/>
    <w:pPr>
      <w:numPr>
        <w:numId w:val="8"/>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8"/>
      </w:numPr>
    </w:pPr>
  </w:style>
  <w:style w:type="paragraph" w:customStyle="1" w:styleId="Point1number">
    <w:name w:val="Point 1 (number)"/>
    <w:basedOn w:val="Normal"/>
    <w:pPr>
      <w:numPr>
        <w:ilvl w:val="2"/>
        <w:numId w:val="8"/>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8"/>
      </w:numPr>
    </w:pPr>
  </w:style>
  <w:style w:type="paragraph" w:customStyle="1" w:styleId="Point2number">
    <w:name w:val="Point 2 (number)"/>
    <w:basedOn w:val="Normal"/>
    <w:pPr>
      <w:numPr>
        <w:ilvl w:val="4"/>
        <w:numId w:val="8"/>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8"/>
      </w:numPr>
    </w:pPr>
  </w:style>
  <w:style w:type="paragraph" w:customStyle="1" w:styleId="Point3number">
    <w:name w:val="Point 3 (number)"/>
    <w:basedOn w:val="Normal"/>
    <w:pPr>
      <w:numPr>
        <w:ilvl w:val="6"/>
        <w:numId w:val="8"/>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qFormat/>
    <w:pPr>
      <w:tabs>
        <w:tab w:val="right" w:leader="dot" w:pos="9071"/>
      </w:tabs>
      <w:spacing w:before="60"/>
      <w:ind w:left="850" w:hanging="850"/>
      <w:jc w:val="left"/>
    </w:pPr>
  </w:style>
  <w:style w:type="paragraph" w:styleId="TOC2">
    <w:name w:val="toc 2"/>
    <w:basedOn w:val="Normal"/>
    <w:next w:val="Normal"/>
    <w:uiPriority w:val="39"/>
    <w:qFormat/>
    <w:pPr>
      <w:tabs>
        <w:tab w:val="right" w:leader="dot" w:pos="9071"/>
      </w:tabs>
      <w:spacing w:before="60"/>
      <w:ind w:left="850" w:hanging="850"/>
      <w:jc w:val="left"/>
    </w:pPr>
  </w:style>
  <w:style w:type="paragraph" w:styleId="TOC3">
    <w:name w:val="toc 3"/>
    <w:basedOn w:val="Normal"/>
    <w:next w:val="Normal"/>
    <w:uiPriority w:val="39"/>
    <w:qFormat/>
    <w:pPr>
      <w:tabs>
        <w:tab w:val="right" w:leader="dot" w:pos="9071"/>
      </w:tabs>
      <w:spacing w:before="60"/>
      <w:ind w:left="850" w:hanging="850"/>
      <w:jc w:val="left"/>
    </w:pPr>
  </w:style>
  <w:style w:type="paragraph" w:styleId="TOC4">
    <w:name w:val="toc 4"/>
    <w:basedOn w:val="Normal"/>
    <w:next w:val="Normal"/>
    <w:uiPriority w:val="39"/>
    <w:semiHidden/>
    <w:pPr>
      <w:tabs>
        <w:tab w:val="right" w:leader="dot" w:pos="9071"/>
      </w:tabs>
      <w:spacing w:before="60"/>
      <w:ind w:left="850" w:hanging="850"/>
      <w:jc w:val="left"/>
    </w:pPr>
  </w:style>
  <w:style w:type="paragraph" w:styleId="TOC5">
    <w:name w:val="toc 5"/>
    <w:basedOn w:val="Normal"/>
    <w:next w:val="Normal"/>
    <w:uiPriority w:val="39"/>
    <w:semiHidden/>
    <w:pPr>
      <w:tabs>
        <w:tab w:val="right" w:leader="dot" w:pos="9071"/>
      </w:tabs>
      <w:spacing w:before="300"/>
      <w:jc w:val="left"/>
    </w:pPr>
  </w:style>
  <w:style w:type="paragraph" w:styleId="TOC6">
    <w:name w:val="toc 6"/>
    <w:basedOn w:val="Normal"/>
    <w:next w:val="Normal"/>
    <w:uiPriority w:val="39"/>
    <w:semiHidden/>
    <w:pPr>
      <w:tabs>
        <w:tab w:val="right" w:leader="dot" w:pos="9071"/>
      </w:tabs>
      <w:spacing w:before="240"/>
      <w:jc w:val="left"/>
    </w:pPr>
  </w:style>
  <w:style w:type="paragraph" w:styleId="TOC7">
    <w:name w:val="toc 7"/>
    <w:basedOn w:val="Normal"/>
    <w:next w:val="Normal"/>
    <w:uiPriority w:val="39"/>
    <w:semiHidden/>
    <w:pPr>
      <w:tabs>
        <w:tab w:val="right" w:leader="dot" w:pos="9071"/>
      </w:tabs>
      <w:spacing w:before="180"/>
      <w:jc w:val="left"/>
    </w:pPr>
  </w:style>
  <w:style w:type="paragraph" w:styleId="TOC8">
    <w:name w:val="toc 8"/>
    <w:basedOn w:val="Normal"/>
    <w:next w:val="Normal"/>
    <w:uiPriority w:val="39"/>
    <w:semiHidden/>
    <w:pPr>
      <w:tabs>
        <w:tab w:val="right" w:leader="dot" w:pos="9071"/>
      </w:tabs>
      <w:jc w:val="left"/>
    </w:pPr>
  </w:style>
  <w:style w:type="paragraph" w:styleId="TOC9">
    <w:name w:val="toc 9"/>
    <w:basedOn w:val="Normal"/>
    <w:next w:val="Normal"/>
    <w:uiPriority w:val="39"/>
    <w:semiHidden/>
    <w:pPr>
      <w:tabs>
        <w:tab w:val="right" w:leader="dot" w:pos="9071"/>
      </w:tabs>
    </w:pPr>
  </w:style>
  <w:style w:type="paragraph" w:styleId="TOCHeading">
    <w:name w:val="TOC Heading"/>
    <w:basedOn w:val="Normal"/>
    <w:next w:val="Normal"/>
    <w:uiPriority w:val="3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character" w:customStyle="1" w:styleId="Heading5Char">
    <w:name w:val="Heading 5 Char"/>
    <w:link w:val="Heading5"/>
    <w:uiPriority w:val="9"/>
    <w:rPr>
      <w:b/>
      <w:bCs/>
      <w:i/>
      <w:iCs/>
      <w:sz w:val="26"/>
      <w:szCs w:val="26"/>
    </w:rPr>
  </w:style>
  <w:style w:type="character" w:customStyle="1" w:styleId="Heading6Char">
    <w:name w:val="Heading 6 Char"/>
    <w:link w:val="Heading6"/>
    <w:uiPriority w:val="9"/>
    <w:rPr>
      <w:b/>
      <w:bCs/>
      <w:sz w:val="22"/>
    </w:rPr>
  </w:style>
  <w:style w:type="character" w:customStyle="1" w:styleId="Heading7Char">
    <w:name w:val="Heading 7 Char"/>
    <w:link w:val="Heading7"/>
    <w:uiPriority w:val="9"/>
    <w:rPr>
      <w:b/>
      <w:bCs/>
      <w:sz w:val="18"/>
      <w:shd w:val="clear" w:color="auto" w:fill="auto"/>
      <w:lang w:val="bg-BG" w:eastAsia="bg-BG"/>
    </w:rPr>
  </w:style>
  <w:style w:type="character" w:customStyle="1" w:styleId="Heading8Char">
    <w:name w:val="Heading 8 Char"/>
    <w:link w:val="Heading8"/>
    <w:uiPriority w:val="9"/>
    <w:rPr>
      <w:rFonts w:ascii="Palatino Linotype" w:hAnsi="Palatino Linotype"/>
      <w:i/>
      <w:iCs/>
      <w:sz w:val="22"/>
      <w:shd w:val="clear" w:color="auto" w:fill="auto"/>
      <w:lang w:eastAsia="bg-BG"/>
    </w:rPr>
  </w:style>
  <w:style w:type="character" w:customStyle="1" w:styleId="Heading9Char">
    <w:name w:val="Heading 9 Char"/>
    <w:link w:val="Heading9"/>
    <w:uiPriority w:val="9"/>
    <w:rPr>
      <w:rFonts w:ascii="Arial" w:hAnsi="Arial" w:cs="Arial"/>
      <w:sz w:val="22"/>
      <w:shd w:val="clear" w:color="auto" w:fill="auto"/>
      <w:lang w:eastAsia="bg-BG"/>
    </w:rPr>
  </w:style>
  <w:style w:type="paragraph" w:styleId="ListBullet">
    <w:name w:val="List Bullet"/>
    <w:basedOn w:val="Normal"/>
    <w:uiPriority w:val="99"/>
    <w:pPr>
      <w:numPr>
        <w:numId w:val="14"/>
      </w:numPr>
    </w:pPr>
    <w:rPr>
      <w:szCs w:val="20"/>
    </w:rPr>
  </w:style>
  <w:style w:type="paragraph" w:styleId="ListBullet2">
    <w:name w:val="List Bullet 2"/>
    <w:basedOn w:val="Normal"/>
    <w:uiPriority w:val="99"/>
    <w:pPr>
      <w:numPr>
        <w:numId w:val="15"/>
      </w:numPr>
    </w:pPr>
    <w:rPr>
      <w:szCs w:val="20"/>
    </w:rPr>
  </w:style>
  <w:style w:type="paragraph" w:styleId="ListBullet3">
    <w:name w:val="List Bullet 3"/>
    <w:basedOn w:val="Normal"/>
    <w:uiPriority w:val="99"/>
    <w:pPr>
      <w:numPr>
        <w:numId w:val="16"/>
      </w:numPr>
    </w:pPr>
    <w:rPr>
      <w:szCs w:val="20"/>
    </w:rPr>
  </w:style>
  <w:style w:type="paragraph" w:styleId="ListBullet4">
    <w:name w:val="List Bullet 4"/>
    <w:basedOn w:val="Normal"/>
    <w:uiPriority w:val="99"/>
    <w:pPr>
      <w:numPr>
        <w:numId w:val="17"/>
      </w:numPr>
    </w:pPr>
    <w:rPr>
      <w:szCs w:val="20"/>
    </w:rPr>
  </w:style>
  <w:style w:type="paragraph" w:styleId="ListNumber">
    <w:name w:val="List Number"/>
    <w:basedOn w:val="Normal"/>
    <w:uiPriority w:val="99"/>
    <w:pPr>
      <w:numPr>
        <w:numId w:val="29"/>
      </w:numPr>
    </w:pPr>
    <w:rPr>
      <w:szCs w:val="20"/>
    </w:rPr>
  </w:style>
  <w:style w:type="paragraph" w:styleId="ListNumber2">
    <w:name w:val="List Number 2"/>
    <w:basedOn w:val="Normal"/>
    <w:uiPriority w:val="99"/>
    <w:pPr>
      <w:numPr>
        <w:numId w:val="28"/>
      </w:numPr>
    </w:pPr>
    <w:rPr>
      <w:szCs w:val="20"/>
    </w:rPr>
  </w:style>
  <w:style w:type="paragraph" w:styleId="ListNumber3">
    <w:name w:val="List Number 3"/>
    <w:basedOn w:val="Normal"/>
    <w:uiPriority w:val="99"/>
    <w:pPr>
      <w:numPr>
        <w:numId w:val="27"/>
      </w:numPr>
    </w:pPr>
    <w:rPr>
      <w:szCs w:val="20"/>
    </w:rPr>
  </w:style>
  <w:style w:type="paragraph" w:styleId="ListNumber4">
    <w:name w:val="List Number 4"/>
    <w:basedOn w:val="Normal"/>
    <w:uiPriority w:val="99"/>
    <w:pPr>
      <w:numPr>
        <w:numId w:val="26"/>
      </w:numPr>
    </w:pPr>
    <w:rPr>
      <w:szCs w:val="20"/>
    </w:rPr>
  </w:style>
  <w:style w:type="paragraph" w:customStyle="1" w:styleId="ListBullet1">
    <w:name w:val="List Bullet 1"/>
    <w:basedOn w:val="Normal"/>
    <w:pPr>
      <w:numPr>
        <w:numId w:val="18"/>
      </w:numPr>
    </w:pPr>
    <w:rPr>
      <w:szCs w:val="20"/>
    </w:rPr>
  </w:style>
  <w:style w:type="paragraph" w:customStyle="1" w:styleId="ListDash">
    <w:name w:val="List Dash"/>
    <w:basedOn w:val="Normal"/>
    <w:pPr>
      <w:numPr>
        <w:numId w:val="19"/>
      </w:numPr>
    </w:pPr>
    <w:rPr>
      <w:szCs w:val="20"/>
    </w:rPr>
  </w:style>
  <w:style w:type="paragraph" w:customStyle="1" w:styleId="ListDash1">
    <w:name w:val="List Dash 1"/>
    <w:basedOn w:val="Normal"/>
    <w:pPr>
      <w:numPr>
        <w:numId w:val="20"/>
      </w:numPr>
    </w:pPr>
    <w:rPr>
      <w:szCs w:val="20"/>
    </w:rPr>
  </w:style>
  <w:style w:type="paragraph" w:customStyle="1" w:styleId="ListDash2">
    <w:name w:val="List Dash 2"/>
    <w:basedOn w:val="Normal"/>
    <w:pPr>
      <w:numPr>
        <w:numId w:val="21"/>
      </w:numPr>
    </w:pPr>
    <w:rPr>
      <w:szCs w:val="20"/>
    </w:rPr>
  </w:style>
  <w:style w:type="paragraph" w:customStyle="1" w:styleId="ListDash3">
    <w:name w:val="List Dash 3"/>
    <w:basedOn w:val="Normal"/>
    <w:pPr>
      <w:numPr>
        <w:numId w:val="22"/>
      </w:numPr>
    </w:pPr>
    <w:rPr>
      <w:szCs w:val="20"/>
    </w:rPr>
  </w:style>
  <w:style w:type="paragraph" w:customStyle="1" w:styleId="ListDash4">
    <w:name w:val="List Dash 4"/>
    <w:basedOn w:val="Normal"/>
    <w:pPr>
      <w:numPr>
        <w:numId w:val="23"/>
      </w:numPr>
    </w:pPr>
    <w:rPr>
      <w:szCs w:val="20"/>
    </w:rPr>
  </w:style>
  <w:style w:type="paragraph" w:customStyle="1" w:styleId="ListNumber1">
    <w:name w:val="List Number 1"/>
    <w:basedOn w:val="Text1"/>
    <w:pPr>
      <w:numPr>
        <w:numId w:val="24"/>
      </w:numPr>
    </w:pPr>
    <w:rPr>
      <w:szCs w:val="20"/>
    </w:rPr>
  </w:style>
  <w:style w:type="paragraph" w:customStyle="1" w:styleId="ListNumberLevel2">
    <w:name w:val="List Number (Level 2)"/>
    <w:basedOn w:val="Normal"/>
    <w:pPr>
      <w:numPr>
        <w:ilvl w:val="1"/>
        <w:numId w:val="29"/>
      </w:numPr>
    </w:pPr>
    <w:rPr>
      <w:szCs w:val="20"/>
    </w:rPr>
  </w:style>
  <w:style w:type="paragraph" w:customStyle="1" w:styleId="ListNumber1Level2">
    <w:name w:val="List Number 1 (Level 2)"/>
    <w:basedOn w:val="Text1"/>
    <w:pPr>
      <w:numPr>
        <w:ilvl w:val="1"/>
        <w:numId w:val="24"/>
      </w:numPr>
    </w:pPr>
    <w:rPr>
      <w:szCs w:val="20"/>
    </w:rPr>
  </w:style>
  <w:style w:type="paragraph" w:customStyle="1" w:styleId="ListNumber2Level2">
    <w:name w:val="List Number 2 (Level 2)"/>
    <w:basedOn w:val="Text2"/>
    <w:pPr>
      <w:numPr>
        <w:ilvl w:val="1"/>
        <w:numId w:val="28"/>
      </w:numPr>
    </w:pPr>
    <w:rPr>
      <w:szCs w:val="20"/>
    </w:rPr>
  </w:style>
  <w:style w:type="paragraph" w:customStyle="1" w:styleId="ListNumber3Level2">
    <w:name w:val="List Number 3 (Level 2)"/>
    <w:basedOn w:val="Text3"/>
    <w:pPr>
      <w:numPr>
        <w:ilvl w:val="1"/>
        <w:numId w:val="27"/>
      </w:numPr>
    </w:pPr>
    <w:rPr>
      <w:szCs w:val="20"/>
    </w:rPr>
  </w:style>
  <w:style w:type="paragraph" w:customStyle="1" w:styleId="ListNumber4Level2">
    <w:name w:val="List Number 4 (Level 2)"/>
    <w:basedOn w:val="Text4"/>
    <w:pPr>
      <w:numPr>
        <w:ilvl w:val="1"/>
        <w:numId w:val="26"/>
      </w:numPr>
    </w:pPr>
    <w:rPr>
      <w:szCs w:val="20"/>
    </w:rPr>
  </w:style>
  <w:style w:type="paragraph" w:customStyle="1" w:styleId="ListNumberLevel3">
    <w:name w:val="List Number (Level 3)"/>
    <w:basedOn w:val="Normal"/>
    <w:pPr>
      <w:numPr>
        <w:ilvl w:val="2"/>
        <w:numId w:val="29"/>
      </w:numPr>
    </w:pPr>
    <w:rPr>
      <w:szCs w:val="20"/>
    </w:rPr>
  </w:style>
  <w:style w:type="paragraph" w:customStyle="1" w:styleId="ListNumber1Level3">
    <w:name w:val="List Number 1 (Level 3)"/>
    <w:basedOn w:val="Text1"/>
    <w:pPr>
      <w:numPr>
        <w:ilvl w:val="2"/>
        <w:numId w:val="24"/>
      </w:numPr>
    </w:pPr>
    <w:rPr>
      <w:szCs w:val="20"/>
    </w:rPr>
  </w:style>
  <w:style w:type="paragraph" w:customStyle="1" w:styleId="ListNumber2Level3">
    <w:name w:val="List Number 2 (Level 3)"/>
    <w:basedOn w:val="Text2"/>
    <w:pPr>
      <w:numPr>
        <w:ilvl w:val="2"/>
        <w:numId w:val="28"/>
      </w:numPr>
    </w:pPr>
    <w:rPr>
      <w:szCs w:val="20"/>
    </w:rPr>
  </w:style>
  <w:style w:type="paragraph" w:customStyle="1" w:styleId="ListNumber3Level3">
    <w:name w:val="List Number 3 (Level 3)"/>
    <w:basedOn w:val="Text3"/>
    <w:pPr>
      <w:numPr>
        <w:ilvl w:val="2"/>
        <w:numId w:val="27"/>
      </w:numPr>
    </w:pPr>
    <w:rPr>
      <w:szCs w:val="20"/>
    </w:rPr>
  </w:style>
  <w:style w:type="paragraph" w:customStyle="1" w:styleId="ListNumber4Level3">
    <w:name w:val="List Number 4 (Level 3)"/>
    <w:basedOn w:val="Text4"/>
    <w:pPr>
      <w:numPr>
        <w:ilvl w:val="2"/>
        <w:numId w:val="26"/>
      </w:numPr>
    </w:pPr>
    <w:rPr>
      <w:szCs w:val="20"/>
    </w:rPr>
  </w:style>
  <w:style w:type="paragraph" w:customStyle="1" w:styleId="ListNumberLevel4">
    <w:name w:val="List Number (Level 4)"/>
    <w:basedOn w:val="Normal"/>
    <w:pPr>
      <w:numPr>
        <w:ilvl w:val="3"/>
        <w:numId w:val="29"/>
      </w:numPr>
    </w:pPr>
    <w:rPr>
      <w:szCs w:val="20"/>
    </w:rPr>
  </w:style>
  <w:style w:type="paragraph" w:customStyle="1" w:styleId="ListNumber1Level4">
    <w:name w:val="List Number 1 (Level 4)"/>
    <w:basedOn w:val="Text1"/>
    <w:pPr>
      <w:numPr>
        <w:ilvl w:val="3"/>
        <w:numId w:val="24"/>
      </w:numPr>
    </w:pPr>
    <w:rPr>
      <w:szCs w:val="20"/>
    </w:rPr>
  </w:style>
  <w:style w:type="paragraph" w:customStyle="1" w:styleId="ListNumber2Level4">
    <w:name w:val="List Number 2 (Level 4)"/>
    <w:basedOn w:val="Text2"/>
    <w:pPr>
      <w:numPr>
        <w:ilvl w:val="3"/>
        <w:numId w:val="28"/>
      </w:numPr>
    </w:pPr>
    <w:rPr>
      <w:szCs w:val="20"/>
    </w:rPr>
  </w:style>
  <w:style w:type="paragraph" w:customStyle="1" w:styleId="ListNumber3Level4">
    <w:name w:val="List Number 3 (Level 4)"/>
    <w:basedOn w:val="Text3"/>
    <w:pPr>
      <w:numPr>
        <w:ilvl w:val="3"/>
        <w:numId w:val="27"/>
      </w:numPr>
    </w:pPr>
    <w:rPr>
      <w:szCs w:val="20"/>
    </w:rPr>
  </w:style>
  <w:style w:type="paragraph" w:customStyle="1" w:styleId="ListNumber4Level4">
    <w:name w:val="List Number 4 (Level 4)"/>
    <w:basedOn w:val="Text4"/>
    <w:pPr>
      <w:numPr>
        <w:ilvl w:val="3"/>
        <w:numId w:val="26"/>
      </w:numPr>
    </w:pPr>
    <w:rPr>
      <w:szCs w:val="20"/>
    </w:rPr>
  </w:style>
  <w:style w:type="paragraph" w:customStyle="1" w:styleId="Annexetitreacte">
    <w:name w:val="Annexe titre (acte)"/>
    <w:basedOn w:val="Normal"/>
    <w:next w:val="Normal"/>
    <w:pPr>
      <w:jc w:val="center"/>
    </w:pPr>
    <w:rPr>
      <w:b/>
      <w:szCs w:val="20"/>
      <w:u w:val="single"/>
    </w:rPr>
  </w:style>
  <w:style w:type="paragraph" w:customStyle="1" w:styleId="Annexetitreexposglobal">
    <w:name w:val="Annexe titre (exposé global)"/>
    <w:basedOn w:val="Normal"/>
    <w:next w:val="Normal"/>
    <w:pPr>
      <w:jc w:val="center"/>
    </w:pPr>
    <w:rPr>
      <w:b/>
      <w:szCs w:val="20"/>
      <w:u w:val="single"/>
    </w:rPr>
  </w:style>
  <w:style w:type="paragraph" w:customStyle="1" w:styleId="Annexetitrefichefinacte">
    <w:name w:val="Annexe titre (fiche fin. acte)"/>
    <w:basedOn w:val="Normal"/>
    <w:next w:val="Normal"/>
    <w:pPr>
      <w:jc w:val="center"/>
    </w:pPr>
    <w:rPr>
      <w:b/>
      <w:szCs w:val="20"/>
      <w:u w:val="single"/>
    </w:rPr>
  </w:style>
  <w:style w:type="paragraph" w:customStyle="1" w:styleId="Annexetitrefichefinglobale">
    <w:name w:val="Annexe titre (fiche fin. globale)"/>
    <w:basedOn w:val="Normal"/>
    <w:next w:val="Normal"/>
    <w:pPr>
      <w:jc w:val="center"/>
    </w:pPr>
    <w:rPr>
      <w:b/>
      <w:szCs w:val="20"/>
      <w:u w:val="single"/>
    </w:rPr>
  </w:style>
  <w:style w:type="paragraph" w:customStyle="1" w:styleId="Annexetitreglobale">
    <w:name w:val="Annexe titre (globale)"/>
    <w:basedOn w:val="Normal"/>
    <w:next w:val="Normal"/>
    <w:pPr>
      <w:jc w:val="center"/>
    </w:pPr>
    <w:rPr>
      <w:b/>
      <w:szCs w:val="20"/>
      <w:u w:val="single"/>
    </w:rPr>
  </w:style>
  <w:style w:type="paragraph" w:customStyle="1" w:styleId="Rfrenceinstitutionelle">
    <w:name w:val="Référence institutionelle"/>
    <w:basedOn w:val="Normal"/>
    <w:next w:val="Statut"/>
    <w:pPr>
      <w:spacing w:before="0" w:after="240"/>
      <w:ind w:left="5103"/>
      <w:jc w:val="left"/>
    </w:pPr>
    <w:rPr>
      <w:szCs w:val="20"/>
    </w:rPr>
  </w:style>
  <w:style w:type="paragraph" w:customStyle="1" w:styleId="Exposdesmotifstitreglobal">
    <w:name w:val="Exposé des motifs titre (global)"/>
    <w:basedOn w:val="Normal"/>
    <w:next w:val="Normal"/>
    <w:pPr>
      <w:jc w:val="center"/>
    </w:pPr>
    <w:rPr>
      <w:b/>
      <w:szCs w:val="20"/>
      <w:u w:val="single"/>
    </w:rPr>
  </w:style>
  <w:style w:type="paragraph" w:customStyle="1" w:styleId="Langueoriginale">
    <w:name w:val="Langue originale"/>
    <w:basedOn w:val="Normal"/>
    <w:next w:val="Phrasefinale"/>
    <w:pPr>
      <w:spacing w:before="360"/>
      <w:jc w:val="center"/>
    </w:pPr>
    <w:rPr>
      <w:caps/>
      <w:szCs w:val="20"/>
    </w:rPr>
  </w:style>
  <w:style w:type="paragraph" w:customStyle="1" w:styleId="Phrasefinale">
    <w:name w:val="Phrase finale"/>
    <w:basedOn w:val="Normal"/>
    <w:next w:val="Normal"/>
    <w:pPr>
      <w:spacing w:before="360" w:after="0"/>
      <w:jc w:val="center"/>
    </w:pPr>
    <w:rPr>
      <w:szCs w:val="20"/>
    </w:rPr>
  </w:style>
  <w:style w:type="paragraph" w:customStyle="1" w:styleId="Prliminairetitre">
    <w:name w:val="Préliminaire titre"/>
    <w:basedOn w:val="Normal"/>
    <w:next w:val="Normal"/>
    <w:pPr>
      <w:spacing w:before="360" w:after="360"/>
      <w:jc w:val="center"/>
    </w:pPr>
    <w:rPr>
      <w:b/>
      <w:szCs w:val="20"/>
    </w:rPr>
  </w:style>
  <w:style w:type="paragraph" w:customStyle="1" w:styleId="Prliminairetype">
    <w:name w:val="Préliminaire type"/>
    <w:basedOn w:val="Normal"/>
    <w:next w:val="Normal"/>
    <w:pPr>
      <w:spacing w:before="360" w:after="0"/>
      <w:jc w:val="center"/>
    </w:pPr>
    <w:rPr>
      <w:b/>
      <w:szCs w:val="20"/>
    </w:rPr>
  </w:style>
  <w:style w:type="paragraph" w:customStyle="1" w:styleId="Rfrenceinterinstitutionelle">
    <w:name w:val="Référence interinstitutionelle"/>
    <w:basedOn w:val="Normal"/>
    <w:next w:val="Statut"/>
    <w:pPr>
      <w:spacing w:before="0" w:after="0"/>
      <w:ind w:left="5103"/>
      <w:jc w:val="left"/>
    </w:pPr>
    <w:rPr>
      <w:szCs w:val="20"/>
    </w:rPr>
  </w:style>
  <w:style w:type="paragraph" w:customStyle="1" w:styleId="Rfrenceinterinstitutionelleprliminaire">
    <w:name w:val="Référence interinstitutionelle (préliminaire)"/>
    <w:basedOn w:val="Normal"/>
    <w:next w:val="Normal"/>
    <w:pPr>
      <w:spacing w:before="0" w:after="0"/>
      <w:ind w:left="5103"/>
      <w:jc w:val="left"/>
    </w:pPr>
    <w:rPr>
      <w:szCs w:val="20"/>
    </w:rPr>
  </w:style>
  <w:style w:type="paragraph" w:customStyle="1" w:styleId="Sous-titreobjetprliminaire">
    <w:name w:val="Sous-titre objet (préliminaire)"/>
    <w:basedOn w:val="Normal"/>
    <w:pPr>
      <w:spacing w:before="0" w:after="0"/>
      <w:jc w:val="center"/>
    </w:pPr>
    <w:rPr>
      <w:b/>
      <w:szCs w:val="20"/>
    </w:rPr>
  </w:style>
  <w:style w:type="paragraph" w:customStyle="1" w:styleId="Statutprliminaire">
    <w:name w:val="Statut (préliminaire)"/>
    <w:basedOn w:val="Normal"/>
    <w:next w:val="Normal"/>
    <w:pPr>
      <w:spacing w:before="360" w:after="0"/>
      <w:jc w:val="center"/>
    </w:pPr>
    <w:rPr>
      <w:szCs w:val="20"/>
    </w:rPr>
  </w:style>
  <w:style w:type="paragraph" w:customStyle="1" w:styleId="Titreobjetprliminaire">
    <w:name w:val="Titre objet (préliminaire)"/>
    <w:basedOn w:val="Normal"/>
    <w:next w:val="Normal"/>
    <w:pPr>
      <w:spacing w:before="360" w:after="360"/>
      <w:jc w:val="center"/>
    </w:pPr>
    <w:rPr>
      <w:b/>
      <w:szCs w:val="20"/>
    </w:rPr>
  </w:style>
  <w:style w:type="paragraph" w:customStyle="1" w:styleId="Typedudocumentprliminaire">
    <w:name w:val="Type du document (préliminaire)"/>
    <w:basedOn w:val="Normal"/>
    <w:next w:val="Normal"/>
    <w:pPr>
      <w:spacing w:before="360" w:after="0"/>
      <w:jc w:val="center"/>
    </w:pPr>
    <w:rPr>
      <w:b/>
      <w:szCs w:val="20"/>
    </w:rPr>
  </w:style>
  <w:style w:type="paragraph" w:customStyle="1" w:styleId="Fichefinancirestandardtitre">
    <w:name w:val="Fiche financière (standard) titre"/>
    <w:basedOn w:val="Normal"/>
    <w:next w:val="Normal"/>
    <w:pPr>
      <w:jc w:val="center"/>
    </w:pPr>
    <w:rPr>
      <w:b/>
      <w:szCs w:val="20"/>
      <w:u w:val="single"/>
    </w:rPr>
  </w:style>
  <w:style w:type="paragraph" w:customStyle="1" w:styleId="Fichefinancirestandardtitreacte">
    <w:name w:val="Fiche financière (standard) titre (acte)"/>
    <w:basedOn w:val="Normal"/>
    <w:next w:val="Normal"/>
    <w:pPr>
      <w:jc w:val="center"/>
    </w:pPr>
    <w:rPr>
      <w:b/>
      <w:szCs w:val="20"/>
      <w:u w:val="single"/>
    </w:rPr>
  </w:style>
  <w:style w:type="paragraph" w:customStyle="1" w:styleId="Fichefinanciretravailtitre">
    <w:name w:val="Fiche financière (travail) titre"/>
    <w:basedOn w:val="Normal"/>
    <w:next w:val="Normal"/>
    <w:pPr>
      <w:jc w:val="center"/>
    </w:pPr>
    <w:rPr>
      <w:b/>
      <w:szCs w:val="20"/>
      <w:u w:val="single"/>
    </w:rPr>
  </w:style>
  <w:style w:type="paragraph" w:customStyle="1" w:styleId="Fichefinanciretravailtitreacte">
    <w:name w:val="Fiche financière (travail) titre (acte)"/>
    <w:basedOn w:val="Normal"/>
    <w:next w:val="Normal"/>
    <w:pPr>
      <w:jc w:val="center"/>
    </w:pPr>
    <w:rPr>
      <w:b/>
      <w:szCs w:val="20"/>
      <w:u w:val="single"/>
    </w:rPr>
  </w:style>
  <w:style w:type="paragraph" w:customStyle="1" w:styleId="Fichefinancireattributiontitre">
    <w:name w:val="Fiche financière (attribution) titre"/>
    <w:basedOn w:val="Normal"/>
    <w:next w:val="Normal"/>
    <w:pPr>
      <w:jc w:val="center"/>
    </w:pPr>
    <w:rPr>
      <w:b/>
      <w:szCs w:val="20"/>
      <w:u w:val="single"/>
    </w:rPr>
  </w:style>
  <w:style w:type="paragraph" w:customStyle="1" w:styleId="Fichefinancireattributiontitreacte">
    <w:name w:val="Fiche financière (attribution) titre (acte)"/>
    <w:basedOn w:val="Normal"/>
    <w:next w:val="Normal"/>
    <w:pPr>
      <w:jc w:val="center"/>
    </w:pPr>
    <w:rPr>
      <w:b/>
      <w:szCs w:val="20"/>
      <w:u w:val="single"/>
    </w:rPr>
  </w:style>
  <w:style w:type="character" w:styleId="Hyperlink">
    <w:name w:val="Hyperlink"/>
    <w:uiPriority w:val="99"/>
    <w:rPr>
      <w:noProof/>
      <w:color w:val="0000FF"/>
      <w:u w:val="single"/>
    </w:rPr>
  </w:style>
  <w:style w:type="character" w:styleId="EndnoteReference">
    <w:name w:val="endnote reference"/>
    <w:uiPriority w:val="99"/>
    <w:rPr>
      <w:rFonts w:cs="Times New Roman"/>
      <w:shd w:val="clear" w:color="auto" w:fill="auto"/>
      <w:vertAlign w:val="superscript"/>
    </w:rPr>
  </w:style>
  <w:style w:type="paragraph" w:styleId="BodyText">
    <w:name w:val="Body Text"/>
    <w:basedOn w:val="Normal"/>
    <w:link w:val="BodyTextChar"/>
    <w:uiPriority w:val="99"/>
    <w:pPr>
      <w:tabs>
        <w:tab w:val="left" w:pos="3960"/>
      </w:tabs>
      <w:spacing w:before="0" w:after="240"/>
      <w:jc w:val="left"/>
    </w:pPr>
    <w:rPr>
      <w:rFonts w:ascii="Palatino Linotype" w:hAnsi="Palatino Linotype" w:cs="Arial"/>
      <w:sz w:val="22"/>
      <w:szCs w:val="20"/>
    </w:rPr>
  </w:style>
  <w:style w:type="character" w:customStyle="1" w:styleId="BodyTextChar">
    <w:name w:val="Body Text Char"/>
    <w:link w:val="BodyText"/>
    <w:uiPriority w:val="99"/>
    <w:rPr>
      <w:rFonts w:ascii="Palatino Linotype" w:hAnsi="Palatino Linotype" w:cs="Arial"/>
      <w:sz w:val="22"/>
      <w:shd w:val="clear" w:color="auto" w:fill="auto"/>
      <w:lang w:eastAsia="bg-BG"/>
    </w:rPr>
  </w:style>
  <w:style w:type="character" w:styleId="Strong">
    <w:name w:val="Strong"/>
    <w:uiPriority w:val="22"/>
    <w:qFormat/>
    <w:rPr>
      <w:rFonts w:cs="Times New Roman"/>
      <w:b/>
      <w:bCs/>
      <w:shd w:val="clear" w:color="auto" w:fill="auto"/>
    </w:rPr>
  </w:style>
  <w:style w:type="paragraph" w:customStyle="1" w:styleId="5Normal">
    <w:name w:val="5 Normal"/>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76" w:lineRule="auto"/>
      <w:jc w:val="both"/>
    </w:pPr>
    <w:rPr>
      <w:rFonts w:ascii="Arial" w:hAnsi="Arial"/>
      <w:spacing w:val="-2"/>
      <w:sz w:val="22"/>
      <w:szCs w:val="22"/>
    </w:rPr>
  </w:style>
  <w:style w:type="paragraph" w:styleId="NormalWeb">
    <w:name w:val="Normal (Web)"/>
    <w:aliases w:val="webb"/>
    <w:basedOn w:val="Normal"/>
    <w:uiPriority w:val="99"/>
    <w:pPr>
      <w:spacing w:before="150" w:after="150"/>
      <w:ind w:left="675" w:right="525"/>
      <w:jc w:val="left"/>
    </w:pPr>
    <w:rPr>
      <w:sz w:val="19"/>
      <w:szCs w:val="19"/>
    </w:rPr>
  </w:style>
  <w:style w:type="paragraph" w:customStyle="1" w:styleId="Tyret1">
    <w:name w:val="Tyret 1"/>
    <w:basedOn w:val="ListDash"/>
    <w:pPr>
      <w:numPr>
        <w:numId w:val="25"/>
      </w:numPr>
      <w:tabs>
        <w:tab w:val="num" w:pos="1134"/>
      </w:tabs>
      <w:ind w:left="1134"/>
    </w:pPr>
  </w:style>
  <w:style w:type="character" w:styleId="FollowedHyperlink">
    <w:name w:val="FollowedHyperlink"/>
    <w:uiPriority w:val="99"/>
    <w:rPr>
      <w:rFonts w:cs="Times New Roman"/>
      <w:color w:val="800080"/>
      <w:u w:val="single"/>
      <w:shd w:val="clear" w:color="auto" w:fill="auto"/>
    </w:rPr>
  </w:style>
  <w:style w:type="paragraph" w:customStyle="1" w:styleId="4Chapeau">
    <w:name w:val="4 Chapeau"/>
    <w:basedOn w:val="Normal"/>
    <w:next w:val="Normal"/>
    <w:autoRedefine/>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600" w:after="240"/>
    </w:pPr>
    <w:rPr>
      <w:szCs w:val="20"/>
    </w:rPr>
  </w:style>
  <w:style w:type="paragraph" w:customStyle="1" w:styleId="Default">
    <w:name w:val="Default"/>
    <w:pPr>
      <w:autoSpaceDE w:val="0"/>
      <w:autoSpaceDN w:val="0"/>
      <w:adjustRightInd w:val="0"/>
      <w:spacing w:after="200" w:line="276" w:lineRule="auto"/>
    </w:pPr>
    <w:rPr>
      <w:rFonts w:ascii="EUAlbertina" w:hAnsi="EUAlbertina" w:cs="EUAlbertina"/>
      <w:color w:val="000000"/>
      <w:sz w:val="24"/>
      <w:szCs w:val="24"/>
    </w:rPr>
  </w:style>
  <w:style w:type="table" w:styleId="TableGrid">
    <w:name w:val="Table Grid"/>
    <w:basedOn w:val="TableNormal"/>
    <w:uiPriority w:val="59"/>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4">
    <w:name w:val="CM4"/>
    <w:basedOn w:val="Default"/>
    <w:next w:val="Default"/>
    <w:uiPriority w:val="99"/>
    <w:rPr>
      <w:rFonts w:cs="Times New Roman"/>
      <w:color w:val="auto"/>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character" w:styleId="CommentReference">
    <w:name w:val="annotation reference"/>
    <w:uiPriority w:val="99"/>
    <w:rPr>
      <w:sz w:val="16"/>
      <w:szCs w:val="16"/>
      <w:shd w:val="clear" w:color="auto" w:fill="auto"/>
    </w:rPr>
  </w:style>
  <w:style w:type="paragraph" w:styleId="CommentText">
    <w:name w:val="annotation text"/>
    <w:basedOn w:val="Normal"/>
    <w:link w:val="CommentTextChar1"/>
    <w:uiPriority w:val="99"/>
    <w:rPr>
      <w:sz w:val="20"/>
      <w:szCs w:val="20"/>
    </w:rPr>
  </w:style>
  <w:style w:type="character" w:customStyle="1" w:styleId="CommentTextChar">
    <w:name w:val="Comment Text Char"/>
    <w:uiPriority w:val="99"/>
    <w:rPr>
      <w:shd w:val="clear" w:color="auto" w:fill="auto"/>
      <w:lang w:eastAsia="bg-BG"/>
    </w:rPr>
  </w:style>
  <w:style w:type="paragraph" w:styleId="CommentSubject">
    <w:name w:val="annotation subject"/>
    <w:basedOn w:val="Normal"/>
    <w:next w:val="CommentText"/>
    <w:link w:val="CommentSubjectChar"/>
    <w:uiPriority w:val="99"/>
    <w:rPr>
      <w:b/>
      <w:bCs/>
      <w:szCs w:val="20"/>
    </w:rPr>
  </w:style>
  <w:style w:type="character" w:customStyle="1" w:styleId="CommentSubjectChar">
    <w:name w:val="Comment Subject Char"/>
    <w:link w:val="CommentSubject"/>
    <w:uiPriority w:val="99"/>
    <w:rPr>
      <w:b/>
      <w:bCs/>
      <w:sz w:val="24"/>
      <w:shd w:val="clear" w:color="auto" w:fill="auto"/>
      <w:lang w:eastAsia="bg-BG"/>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shd w:val="clear" w:color="auto" w:fill="auto"/>
    </w:rPr>
  </w:style>
  <w:style w:type="paragraph" w:styleId="Caption">
    <w:name w:val="caption"/>
    <w:aliases w:val="Beschriftung_tab,tab_überschrift Char,Tab_Überschrift,tab_überschrift"/>
    <w:basedOn w:val="Normal"/>
    <w:next w:val="Normal"/>
    <w:uiPriority w:val="35"/>
    <w:qFormat/>
    <w:rPr>
      <w:b/>
      <w:bCs/>
      <w:sz w:val="20"/>
      <w:szCs w:val="20"/>
    </w:rPr>
  </w:style>
  <w:style w:type="paragraph" w:styleId="TableofFigures">
    <w:name w:val="table of figures"/>
    <w:basedOn w:val="Normal"/>
    <w:next w:val="Normal"/>
    <w:uiPriority w:val="99"/>
    <w:rPr>
      <w:szCs w:val="20"/>
    </w:rPr>
  </w:style>
  <w:style w:type="paragraph" w:customStyle="1" w:styleId="Pa14">
    <w:name w:val="Pa14"/>
    <w:basedOn w:val="Default"/>
    <w:next w:val="Default"/>
    <w:pPr>
      <w:spacing w:line="201" w:lineRule="atLeast"/>
    </w:pPr>
    <w:rPr>
      <w:rFonts w:ascii="Palatino Linotype" w:hAnsi="Palatino Linotype" w:cs="Times New Roman"/>
      <w:color w:val="auto"/>
    </w:rPr>
  </w:style>
  <w:style w:type="character" w:customStyle="1" w:styleId="A10">
    <w:name w:val="A10"/>
    <w:rPr>
      <w:rFonts w:cs="Palatino Linotype"/>
      <w:color w:val="000000"/>
      <w:sz w:val="11"/>
      <w:szCs w:val="11"/>
    </w:rPr>
  </w:style>
  <w:style w:type="paragraph" w:styleId="Revision">
    <w:name w:val="Revision"/>
    <w:hidden/>
    <w:uiPriority w:val="99"/>
    <w:semiHidden/>
    <w:pPr>
      <w:spacing w:after="200" w:line="276" w:lineRule="auto"/>
    </w:pPr>
    <w:rPr>
      <w:sz w:val="24"/>
      <w:szCs w:val="24"/>
    </w:rPr>
  </w:style>
  <w:style w:type="paragraph" w:styleId="ListParagraph">
    <w:name w:val="List Paragraph"/>
    <w:aliases w:val="Heading 2_sj"/>
    <w:basedOn w:val="Normal"/>
    <w:link w:val="ListParagraphChar"/>
    <w:uiPriority w:val="34"/>
    <w:qFormat/>
    <w:pPr>
      <w:spacing w:before="0" w:after="0"/>
      <w:ind w:left="720"/>
      <w:jc w:val="left"/>
    </w:pPr>
    <w:rPr>
      <w:rFonts w:ascii="Calibri" w:eastAsia="Calibri" w:hAnsi="Calibri" w:cs="Calibri"/>
      <w:sz w:val="22"/>
      <w:szCs w:val="20"/>
    </w:rPr>
  </w:style>
  <w:style w:type="paragraph" w:customStyle="1" w:styleId="astandard3520normal">
    <w:name w:val="a_standard__35__20_normal"/>
    <w:basedOn w:val="Normal"/>
    <w:pPr>
      <w:spacing w:before="0"/>
      <w:ind w:right="57"/>
    </w:pPr>
    <w:rPr>
      <w:szCs w:val="20"/>
    </w:rPr>
  </w:style>
  <w:style w:type="paragraph" w:customStyle="1" w:styleId="astandardsous-titre201">
    <w:name w:val="a_standard_sous-titre_20_1"/>
    <w:basedOn w:val="Normal"/>
    <w:pPr>
      <w:spacing w:before="240" w:after="80"/>
      <w:ind w:right="57"/>
      <w:jc w:val="left"/>
    </w:pPr>
    <w:rPr>
      <w:b/>
      <w:bCs/>
      <w:szCs w:val="20"/>
    </w:rPr>
  </w:style>
  <w:style w:type="paragraph" w:customStyle="1" w:styleId="a3520normalp9">
    <w:name w:val="a__35__20_normal_p9"/>
    <w:basedOn w:val="Normal"/>
    <w:pPr>
      <w:spacing w:before="0"/>
      <w:ind w:right="57"/>
    </w:pPr>
    <w:rPr>
      <w:szCs w:val="20"/>
    </w:rPr>
  </w:style>
  <w:style w:type="character" w:customStyle="1" w:styleId="at12">
    <w:name w:val="a__t12"/>
    <w:rPr>
      <w:i/>
      <w:iCs/>
    </w:rPr>
  </w:style>
  <w:style w:type="character" w:customStyle="1" w:styleId="at61">
    <w:name w:val="a__t61"/>
    <w:rPr>
      <w:b/>
      <w:bCs/>
    </w:rPr>
  </w:style>
  <w:style w:type="character" w:customStyle="1" w:styleId="at8">
    <w:name w:val="a__t8"/>
  </w:style>
  <w:style w:type="character" w:customStyle="1" w:styleId="afootnote20symbol1">
    <w:name w:val="a__footnote_20_symbol1"/>
    <w:rPr>
      <w:b/>
      <w:bCs/>
    </w:rPr>
  </w:style>
  <w:style w:type="character" w:customStyle="1" w:styleId="CommentTextChar1">
    <w:name w:val="Comment Text Char1"/>
    <w:link w:val="CommentText"/>
    <w:uiPriority w:val="99"/>
  </w:style>
  <w:style w:type="paragraph" w:styleId="EndnoteText">
    <w:name w:val="endnote text"/>
    <w:basedOn w:val="Normal"/>
    <w:link w:val="EndnoteTextChar"/>
    <w:uiPriority w:val="99"/>
    <w:rPr>
      <w:sz w:val="20"/>
      <w:szCs w:val="20"/>
    </w:rPr>
  </w:style>
  <w:style w:type="character" w:customStyle="1" w:styleId="EndnoteTextChar">
    <w:name w:val="Endnote Text Char"/>
    <w:link w:val="EndnoteText"/>
    <w:uiPriority w:val="99"/>
    <w:rPr>
      <w:shd w:val="clear" w:color="auto" w:fill="auto"/>
    </w:rPr>
  </w:style>
  <w:style w:type="character" w:customStyle="1" w:styleId="FootnoteTextChar3">
    <w:name w:val="Footnote Text Char3"/>
    <w:aliases w:val="Footnote Char2,-E Fußnotentext Char2,Fußnotentext Ursprung Char2,Fußnote Char2,footnote text Char2,(Diplomarbeit) Char,(Diplomarbeit)1 Char,(Diplomarbeit)2 Char,(Diplomarbeit)3 Char,(Diplomarbeit)4 Char,(Diplomarbeit)5 Char"/>
    <w:locked/>
    <w:rPr>
      <w:rFonts w:ascii="Verdana" w:eastAsia="Times New Roman" w:hAnsi="Verdana"/>
      <w:sz w:val="16"/>
      <w:lang w:eastAsia="bg-BG"/>
    </w:rPr>
  </w:style>
  <w:style w:type="character" w:customStyle="1" w:styleId="Text1Char">
    <w:name w:val="Text 1 Char"/>
    <w:rPr>
      <w:sz w:val="24"/>
      <w:szCs w:val="24"/>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szCs w:val="20"/>
    </w:rPr>
  </w:style>
  <w:style w:type="character" w:customStyle="1" w:styleId="FooterCoverPageChar">
    <w:name w:val="Footer Cover Page Char"/>
    <w:link w:val="FooterCoverPage"/>
    <w:rPr>
      <w:rFonts w:eastAsia="Calibri"/>
      <w:sz w:val="24"/>
    </w:rPr>
  </w:style>
  <w:style w:type="paragraph" w:customStyle="1" w:styleId="HeaderCoverPage">
    <w:name w:val="Header Cover Page"/>
    <w:basedOn w:val="Normal"/>
    <w:link w:val="HeaderCoverPageChar"/>
    <w:pPr>
      <w:tabs>
        <w:tab w:val="center" w:pos="4535"/>
        <w:tab w:val="right" w:pos="9071"/>
      </w:tabs>
      <w:spacing w:before="0"/>
    </w:pPr>
    <w:rPr>
      <w:rFonts w:eastAsia="Calibri"/>
      <w:szCs w:val="20"/>
    </w:rPr>
  </w:style>
  <w:style w:type="character" w:customStyle="1" w:styleId="HeaderCoverPageChar">
    <w:name w:val="Header Cover Page Char"/>
    <w:link w:val="HeaderCoverPage"/>
    <w:rPr>
      <w:rFonts w:eastAsia="Calibri"/>
      <w:sz w:val="24"/>
    </w:rPr>
  </w:style>
  <w:style w:type="numbering" w:customStyle="1" w:styleId="NoList1">
    <w:name w:val="No List1"/>
    <w:next w:val="NoList"/>
    <w:uiPriority w:val="99"/>
    <w:semiHidden/>
    <w:unhideWhenUsed/>
  </w:style>
  <w:style w:type="paragraph" w:customStyle="1" w:styleId="FoonoteText">
    <w:name w:val="Foonote Text"/>
    <w:basedOn w:val="Normal"/>
    <w:autoRedefine/>
    <w:pPr>
      <w:tabs>
        <w:tab w:val="left" w:pos="425"/>
      </w:tabs>
      <w:autoSpaceDE w:val="0"/>
      <w:autoSpaceDN w:val="0"/>
      <w:adjustRightInd w:val="0"/>
      <w:spacing w:before="40" w:after="40"/>
      <w:ind w:left="425" w:hanging="425"/>
    </w:pPr>
    <w:rPr>
      <w:sz w:val="16"/>
      <w:szCs w:val="16"/>
    </w:rPr>
  </w:style>
  <w:style w:type="character" w:styleId="PageNumber">
    <w:name w:val="page number"/>
    <w:uiPriority w:val="99"/>
    <w:rPr>
      <w:shd w:val="clear" w:color="auto" w:fill="auto"/>
    </w:rPr>
  </w:style>
  <w:style w:type="paragraph" w:customStyle="1" w:styleId="Source">
    <w:name w:val="Source"/>
    <w:basedOn w:val="Normal"/>
    <w:next w:val="Normal"/>
    <w:pPr>
      <w:keepLines/>
      <w:tabs>
        <w:tab w:val="left" w:pos="1134"/>
      </w:tabs>
      <w:spacing w:before="60" w:after="240"/>
      <w:ind w:left="1134" w:hanging="1134"/>
      <w:jc w:val="left"/>
    </w:pPr>
    <w:rPr>
      <w:rFonts w:ascii="Arial" w:hAnsi="Arial"/>
      <w:sz w:val="18"/>
      <w:szCs w:val="20"/>
    </w:rPr>
  </w:style>
  <w:style w:type="paragraph" w:customStyle="1" w:styleId="Annex">
    <w:name w:val="Annex"/>
    <w:basedOn w:val="Heading1"/>
    <w:next w:val="Normal"/>
    <w:pPr>
      <w:pageBreakBefore/>
      <w:numPr>
        <w:numId w:val="0"/>
      </w:numPr>
      <w:tabs>
        <w:tab w:val="num" w:pos="283"/>
        <w:tab w:val="num" w:pos="709"/>
        <w:tab w:val="num" w:pos="926"/>
        <w:tab w:val="num" w:pos="1134"/>
        <w:tab w:val="num" w:pos="1984"/>
        <w:tab w:val="num" w:pos="2517"/>
      </w:tabs>
      <w:spacing w:before="0" w:after="480"/>
      <w:ind w:left="717" w:hanging="283"/>
      <w:jc w:val="left"/>
    </w:pPr>
    <w:rPr>
      <w:rFonts w:ascii="Verdana" w:hAnsi="Verdana" w:cs="Arial"/>
      <w:smallCaps w:val="0"/>
      <w:kern w:val="32"/>
      <w:sz w:val="44"/>
      <w:szCs w:val="28"/>
    </w:rPr>
  </w:style>
  <w:style w:type="paragraph" w:customStyle="1" w:styleId="BoxTitle">
    <w:name w:val="Box Title"/>
    <w:basedOn w:val="Heading2"/>
    <w:next w:val="Normal"/>
    <w:pPr>
      <w:numPr>
        <w:numId w:val="30"/>
      </w:numPr>
      <w:pBdr>
        <w:top w:val="single" w:sz="4" w:space="1" w:color="auto"/>
        <w:left w:val="single" w:sz="4" w:space="4" w:color="auto"/>
        <w:bottom w:val="single" w:sz="4" w:space="1" w:color="auto"/>
        <w:right w:val="single" w:sz="4" w:space="4" w:color="auto"/>
      </w:pBdr>
      <w:shd w:val="clear" w:color="auto" w:fill="CCCCCC"/>
      <w:tabs>
        <w:tab w:val="clear" w:pos="2520"/>
        <w:tab w:val="num" w:pos="643"/>
        <w:tab w:val="num" w:pos="709"/>
        <w:tab w:val="num" w:pos="1134"/>
      </w:tabs>
      <w:spacing w:before="240" w:after="240"/>
      <w:ind w:left="1151" w:hanging="794"/>
      <w:jc w:val="left"/>
    </w:pPr>
    <w:rPr>
      <w:rFonts w:ascii="Arial" w:hAnsi="Arial" w:cs="Arial"/>
      <w:iCs w:val="0"/>
      <w:sz w:val="22"/>
      <w:szCs w:val="26"/>
    </w:rPr>
  </w:style>
  <w:style w:type="paragraph" w:customStyle="1" w:styleId="FigureTitle">
    <w:name w:val="Figure Title"/>
    <w:basedOn w:val="Heading2"/>
    <w:next w:val="Normal"/>
    <w:pPr>
      <w:tabs>
        <w:tab w:val="num" w:pos="850"/>
        <w:tab w:val="num" w:pos="1134"/>
        <w:tab w:val="num" w:pos="1560"/>
        <w:tab w:val="num" w:pos="1984"/>
      </w:tabs>
      <w:spacing w:before="240" w:after="240"/>
      <w:ind w:left="1151" w:hanging="794"/>
      <w:jc w:val="left"/>
    </w:pPr>
    <w:rPr>
      <w:rFonts w:ascii="Arial" w:hAnsi="Arial" w:cs="Arial"/>
      <w:iCs w:val="0"/>
      <w:sz w:val="22"/>
      <w:szCs w:val="26"/>
    </w:rPr>
  </w:style>
  <w:style w:type="paragraph" w:customStyle="1" w:styleId="MapTitle">
    <w:name w:val="Map Title"/>
    <w:basedOn w:val="Heading2"/>
    <w:next w:val="Normal"/>
    <w:pPr>
      <w:tabs>
        <w:tab w:val="num" w:pos="283"/>
        <w:tab w:val="num" w:pos="1417"/>
        <w:tab w:val="num" w:pos="2268"/>
        <w:tab w:val="num" w:pos="3118"/>
      </w:tabs>
      <w:spacing w:before="240" w:after="240"/>
      <w:ind w:left="1151" w:hanging="794"/>
      <w:jc w:val="left"/>
    </w:pPr>
    <w:rPr>
      <w:rFonts w:ascii="Arial" w:hAnsi="Arial" w:cs="Arial"/>
      <w:iCs w:val="0"/>
      <w:sz w:val="22"/>
      <w:szCs w:val="26"/>
    </w:rPr>
  </w:style>
  <w:style w:type="paragraph" w:customStyle="1" w:styleId="Smiley-Negative">
    <w:name w:val="Smiley - Negative"/>
    <w:basedOn w:val="Normal"/>
    <w:pPr>
      <w:tabs>
        <w:tab w:val="num" w:pos="1134"/>
        <w:tab w:val="num" w:pos="1560"/>
        <w:tab w:val="num" w:pos="1984"/>
      </w:tabs>
      <w:spacing w:before="0" w:after="0"/>
      <w:ind w:left="360" w:hanging="567"/>
      <w:jc w:val="left"/>
    </w:pPr>
    <w:rPr>
      <w:sz w:val="22"/>
      <w:szCs w:val="20"/>
    </w:rPr>
  </w:style>
  <w:style w:type="paragraph" w:customStyle="1" w:styleId="Smiley-Neutral">
    <w:name w:val="Smiley - Neutral"/>
    <w:basedOn w:val="Normal"/>
    <w:pPr>
      <w:tabs>
        <w:tab w:val="num" w:pos="709"/>
        <w:tab w:val="num" w:pos="1134"/>
        <w:tab w:val="num" w:pos="2551"/>
      </w:tabs>
      <w:spacing w:before="0" w:after="0"/>
      <w:ind w:left="360" w:hanging="567"/>
      <w:jc w:val="left"/>
    </w:pPr>
    <w:rPr>
      <w:sz w:val="22"/>
      <w:szCs w:val="20"/>
    </w:rPr>
  </w:style>
  <w:style w:type="paragraph" w:customStyle="1" w:styleId="Smiley-Positive">
    <w:name w:val="Smiley - Positive"/>
    <w:basedOn w:val="Normal"/>
    <w:pPr>
      <w:tabs>
        <w:tab w:val="num" w:pos="283"/>
        <w:tab w:val="num" w:pos="1134"/>
        <w:tab w:val="num" w:pos="1209"/>
        <w:tab w:val="num" w:pos="3118"/>
      </w:tabs>
      <w:spacing w:before="0" w:after="0"/>
      <w:ind w:left="3118" w:hanging="283"/>
      <w:jc w:val="left"/>
    </w:pPr>
    <w:rPr>
      <w:sz w:val="22"/>
      <w:szCs w:val="20"/>
    </w:rPr>
  </w:style>
  <w:style w:type="paragraph" w:customStyle="1" w:styleId="TableText">
    <w:name w:val="Table Text"/>
    <w:basedOn w:val="Normal"/>
    <w:next w:val="Normal"/>
    <w:pPr>
      <w:overflowPunct w:val="0"/>
      <w:autoSpaceDE w:val="0"/>
      <w:autoSpaceDN w:val="0"/>
      <w:adjustRightInd w:val="0"/>
      <w:spacing w:before="0" w:after="0"/>
      <w:ind w:left="357"/>
      <w:jc w:val="left"/>
      <w:textAlignment w:val="baseline"/>
    </w:pPr>
    <w:rPr>
      <w:rFonts w:ascii="Arial" w:hAnsi="Arial"/>
      <w:sz w:val="18"/>
      <w:szCs w:val="20"/>
    </w:rPr>
  </w:style>
  <w:style w:type="paragraph" w:customStyle="1" w:styleId="Cover-title3">
    <w:name w:val="Cover - title 3"/>
    <w:basedOn w:val="Normal"/>
    <w:next w:val="Normal"/>
    <w:pPr>
      <w:overflowPunct w:val="0"/>
      <w:autoSpaceDE w:val="0"/>
      <w:autoSpaceDN w:val="0"/>
      <w:adjustRightInd w:val="0"/>
      <w:spacing w:before="60" w:after="80"/>
      <w:jc w:val="right"/>
      <w:textAlignment w:val="baseline"/>
    </w:pPr>
    <w:rPr>
      <w:rFonts w:ascii="Avenir 55" w:hAnsi="Avenir 55"/>
      <w:b/>
      <w:sz w:val="22"/>
      <w:szCs w:val="20"/>
    </w:rPr>
  </w:style>
  <w:style w:type="paragraph" w:customStyle="1" w:styleId="KeyMessage0">
    <w:name w:val="KeyMessage"/>
    <w:basedOn w:val="Normal"/>
    <w:next w:val="Normal"/>
    <w:pPr>
      <w:keepLines/>
      <w:shd w:val="clear" w:color="auto" w:fill="F3F3F3"/>
      <w:tabs>
        <w:tab w:val="left" w:pos="540"/>
      </w:tabs>
      <w:spacing w:before="80" w:after="80"/>
      <w:ind w:left="540" w:hanging="540"/>
      <w:jc w:val="left"/>
    </w:pPr>
    <w:rPr>
      <w:rFonts w:ascii="Verdana" w:hAnsi="Verdana"/>
      <w:noProof/>
      <w:sz w:val="20"/>
      <w:szCs w:val="20"/>
    </w:rPr>
  </w:style>
  <w:style w:type="paragraph" w:customStyle="1" w:styleId="punkte">
    <w:name w:val="punkte"/>
    <w:basedOn w:val="Normal"/>
    <w:pPr>
      <w:tabs>
        <w:tab w:val="num" w:pos="850"/>
        <w:tab w:val="num" w:pos="1134"/>
        <w:tab w:val="num" w:pos="2517"/>
      </w:tabs>
      <w:spacing w:before="0" w:after="0"/>
      <w:ind w:left="360" w:hanging="850"/>
      <w:jc w:val="left"/>
    </w:pPr>
    <w:rPr>
      <w:szCs w:val="20"/>
    </w:rPr>
  </w:style>
  <w:style w:type="paragraph" w:customStyle="1" w:styleId="FormatvorlageBeschriftungPalatinoLinotype">
    <w:name w:val="Formatvorlage Beschriftung + Palatino Linotype"/>
    <w:basedOn w:val="Caption"/>
    <w:autoRedefine/>
    <w:pPr>
      <w:keepNext/>
      <w:keepLines/>
      <w:pBdr>
        <w:top w:val="single" w:sz="4" w:space="1" w:color="auto"/>
        <w:bottom w:val="single" w:sz="4" w:space="1" w:color="auto"/>
      </w:pBdr>
      <w:shd w:val="clear" w:color="auto" w:fill="E6E6E6"/>
      <w:tabs>
        <w:tab w:val="left" w:pos="1418"/>
      </w:tabs>
      <w:spacing w:before="240" w:after="80"/>
      <w:ind w:left="1440" w:hanging="1440"/>
      <w:jc w:val="left"/>
    </w:pPr>
    <w:rPr>
      <w:rFonts w:ascii="Verdana" w:hAnsi="Verdana"/>
    </w:rPr>
  </w:style>
  <w:style w:type="paragraph" w:customStyle="1" w:styleId="font5">
    <w:name w:val="font5"/>
    <w:basedOn w:val="Normal"/>
    <w:pPr>
      <w:spacing w:before="100" w:beforeAutospacing="1" w:after="100" w:afterAutospacing="1"/>
      <w:jc w:val="left"/>
    </w:pPr>
    <w:rPr>
      <w:sz w:val="16"/>
      <w:szCs w:val="16"/>
    </w:rPr>
  </w:style>
  <w:style w:type="paragraph" w:customStyle="1" w:styleId="xl45">
    <w:name w:val="xl45"/>
    <w:basedOn w:val="Normal"/>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left"/>
    </w:pPr>
    <w:rPr>
      <w:b/>
      <w:bCs/>
      <w:sz w:val="16"/>
      <w:szCs w:val="16"/>
    </w:rPr>
  </w:style>
  <w:style w:type="paragraph" w:customStyle="1" w:styleId="xl46">
    <w:name w:val="xl4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7">
    <w:name w:val="xl4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0"/>
    </w:rPr>
  </w:style>
  <w:style w:type="paragraph" w:customStyle="1" w:styleId="xl48">
    <w:name w:val="xl4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0"/>
    </w:rPr>
  </w:style>
  <w:style w:type="paragraph" w:customStyle="1" w:styleId="xl49">
    <w:name w:val="xl49"/>
    <w:basedOn w:val="Normal"/>
    <w:pPr>
      <w:pBdr>
        <w:top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sz w:val="16"/>
      <w:szCs w:val="16"/>
    </w:rPr>
  </w:style>
  <w:style w:type="paragraph" w:customStyle="1" w:styleId="xl50">
    <w:name w:val="xl50"/>
    <w:basedOn w:val="Normal"/>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sz w:val="16"/>
      <w:szCs w:val="16"/>
    </w:rPr>
  </w:style>
  <w:style w:type="paragraph" w:customStyle="1" w:styleId="xl51">
    <w:name w:val="xl51"/>
    <w:basedOn w:val="Normal"/>
    <w:pPr>
      <w:pBdr>
        <w:top w:val="single" w:sz="4" w:space="0" w:color="auto"/>
        <w:left w:val="single" w:sz="4" w:space="0" w:color="auto"/>
        <w:bottom w:val="single" w:sz="4" w:space="0" w:color="auto"/>
        <w:right w:val="single" w:sz="8" w:space="0" w:color="auto"/>
      </w:pBdr>
      <w:shd w:val="clear" w:color="auto" w:fill="FFCC00"/>
      <w:spacing w:before="100" w:beforeAutospacing="1" w:after="100" w:afterAutospacing="1"/>
      <w:jc w:val="center"/>
      <w:textAlignment w:val="center"/>
    </w:pPr>
    <w:rPr>
      <w:b/>
      <w:bCs/>
      <w:sz w:val="16"/>
      <w:szCs w:val="16"/>
    </w:rPr>
  </w:style>
  <w:style w:type="paragraph" w:customStyle="1" w:styleId="xl52">
    <w:name w:val="xl52"/>
    <w:basedOn w:val="Normal"/>
    <w:pPr>
      <w:pBdr>
        <w:left w:val="single" w:sz="8" w:space="0" w:color="auto"/>
        <w:bottom w:val="single" w:sz="4" w:space="0" w:color="auto"/>
      </w:pBdr>
      <w:shd w:val="clear" w:color="auto" w:fill="C0C0C0"/>
      <w:spacing w:before="100" w:beforeAutospacing="1" w:after="100" w:afterAutospacing="1"/>
      <w:jc w:val="left"/>
      <w:textAlignment w:val="center"/>
    </w:pPr>
    <w:rPr>
      <w:b/>
      <w:bCs/>
      <w:sz w:val="16"/>
      <w:szCs w:val="16"/>
    </w:rPr>
  </w:style>
  <w:style w:type="paragraph" w:customStyle="1" w:styleId="xl53">
    <w:name w:val="xl53"/>
    <w:basedOn w:val="Normal"/>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sz w:val="16"/>
      <w:szCs w:val="16"/>
    </w:rPr>
  </w:style>
  <w:style w:type="paragraph" w:customStyle="1" w:styleId="xl54">
    <w:name w:val="xl54"/>
    <w:basedOn w:val="Normal"/>
    <w:pPr>
      <w:pBdr>
        <w:left w:val="single" w:sz="8" w:space="0" w:color="auto"/>
        <w:bottom w:val="single" w:sz="8" w:space="0" w:color="auto"/>
      </w:pBdr>
      <w:shd w:val="clear" w:color="auto" w:fill="C0C0C0"/>
      <w:spacing w:before="100" w:beforeAutospacing="1" w:after="100" w:afterAutospacing="1"/>
      <w:jc w:val="left"/>
      <w:textAlignment w:val="center"/>
    </w:pPr>
    <w:rPr>
      <w:b/>
      <w:bCs/>
      <w:sz w:val="16"/>
      <w:szCs w:val="16"/>
    </w:rPr>
  </w:style>
  <w:style w:type="paragraph" w:customStyle="1" w:styleId="xl55">
    <w:name w:val="xl55"/>
    <w:basedOn w:val="Normal"/>
    <w:pPr>
      <w:pBdr>
        <w:top w:val="single" w:sz="4" w:space="0" w:color="auto"/>
        <w:left w:val="single" w:sz="4" w:space="0" w:color="auto"/>
        <w:bottom w:val="single" w:sz="8" w:space="0" w:color="auto"/>
        <w:right w:val="single" w:sz="4" w:space="0" w:color="auto"/>
      </w:pBdr>
      <w:shd w:val="clear" w:color="auto" w:fill="FFCC00"/>
      <w:spacing w:before="100" w:beforeAutospacing="1" w:after="100" w:afterAutospacing="1"/>
      <w:jc w:val="center"/>
      <w:textAlignment w:val="center"/>
    </w:pPr>
    <w:rPr>
      <w:b/>
      <w:bCs/>
      <w:sz w:val="16"/>
      <w:szCs w:val="16"/>
    </w:rPr>
  </w:style>
  <w:style w:type="paragraph" w:customStyle="1" w:styleId="xl56">
    <w:name w:val="xl56"/>
    <w:basedOn w:val="Normal"/>
    <w:pPr>
      <w:pBdr>
        <w:top w:val="single" w:sz="4" w:space="0" w:color="auto"/>
        <w:left w:val="single" w:sz="4" w:space="0" w:color="auto"/>
        <w:bottom w:val="single" w:sz="8" w:space="0" w:color="auto"/>
        <w:right w:val="single" w:sz="8" w:space="0" w:color="auto"/>
      </w:pBdr>
      <w:shd w:val="clear" w:color="auto" w:fill="FFCC00"/>
      <w:spacing w:before="100" w:beforeAutospacing="1" w:after="100" w:afterAutospacing="1"/>
      <w:jc w:val="center"/>
      <w:textAlignment w:val="center"/>
    </w:pPr>
    <w:rPr>
      <w:b/>
      <w:bCs/>
      <w:sz w:val="16"/>
      <w:szCs w:val="16"/>
    </w:rPr>
  </w:style>
  <w:style w:type="paragraph" w:customStyle="1" w:styleId="xl57">
    <w:name w:val="xl57"/>
    <w:basedOn w:val="Normal"/>
    <w:pPr>
      <w:pBdr>
        <w:top w:val="single" w:sz="8" w:space="0" w:color="auto"/>
        <w:left w:val="single" w:sz="8" w:space="0" w:color="auto"/>
      </w:pBdr>
      <w:shd w:val="clear" w:color="auto" w:fill="C0C0C0"/>
      <w:spacing w:before="100" w:beforeAutospacing="1" w:after="100" w:afterAutospacing="1"/>
      <w:jc w:val="center"/>
      <w:textAlignment w:val="center"/>
    </w:pPr>
    <w:rPr>
      <w:sz w:val="16"/>
      <w:szCs w:val="16"/>
    </w:rPr>
  </w:style>
  <w:style w:type="paragraph" w:customStyle="1" w:styleId="xl58">
    <w:name w:val="xl58"/>
    <w:basedOn w:val="Normal"/>
    <w:pPr>
      <w:pBdr>
        <w:top w:val="single" w:sz="8" w:space="0" w:color="auto"/>
      </w:pBdr>
      <w:shd w:val="clear" w:color="auto" w:fill="FFCC99"/>
      <w:spacing w:before="100" w:beforeAutospacing="1" w:after="100" w:afterAutospacing="1"/>
      <w:jc w:val="center"/>
      <w:textAlignment w:val="center"/>
    </w:pPr>
    <w:rPr>
      <w:sz w:val="16"/>
      <w:szCs w:val="16"/>
    </w:rPr>
  </w:style>
  <w:style w:type="paragraph" w:customStyle="1" w:styleId="xl59">
    <w:name w:val="xl59"/>
    <w:basedOn w:val="Normal"/>
    <w:pPr>
      <w:pBdr>
        <w:top w:val="single" w:sz="8" w:space="0" w:color="auto"/>
        <w:right w:val="single" w:sz="8" w:space="0" w:color="auto"/>
      </w:pBdr>
      <w:shd w:val="clear" w:color="auto" w:fill="FFCC99"/>
      <w:spacing w:before="100" w:beforeAutospacing="1" w:after="100" w:afterAutospacing="1"/>
      <w:jc w:val="center"/>
      <w:textAlignment w:val="center"/>
    </w:pPr>
    <w:rPr>
      <w:sz w:val="16"/>
      <w:szCs w:val="16"/>
    </w:rPr>
  </w:style>
  <w:style w:type="paragraph" w:customStyle="1" w:styleId="xl60">
    <w:name w:val="xl60"/>
    <w:basedOn w:val="Normal"/>
    <w:pPr>
      <w:pBdr>
        <w:left w:val="single" w:sz="8" w:space="0" w:color="auto"/>
        <w:bottom w:val="single" w:sz="4" w:space="0" w:color="auto"/>
      </w:pBdr>
      <w:shd w:val="clear" w:color="auto" w:fill="C0C0C0"/>
      <w:spacing w:before="100" w:beforeAutospacing="1" w:after="100" w:afterAutospacing="1"/>
      <w:jc w:val="center"/>
      <w:textAlignment w:val="center"/>
    </w:pPr>
    <w:rPr>
      <w:sz w:val="16"/>
      <w:szCs w:val="16"/>
    </w:rPr>
  </w:style>
  <w:style w:type="paragraph" w:customStyle="1" w:styleId="xl61">
    <w:name w:val="xl61"/>
    <w:basedOn w:val="Normal"/>
    <w:pPr>
      <w:pBdr>
        <w:bottom w:val="single" w:sz="4" w:space="0" w:color="auto"/>
      </w:pBdr>
      <w:shd w:val="clear" w:color="auto" w:fill="FFCC99"/>
      <w:spacing w:before="100" w:beforeAutospacing="1" w:after="100" w:afterAutospacing="1"/>
      <w:jc w:val="center"/>
      <w:textAlignment w:val="center"/>
    </w:pPr>
    <w:rPr>
      <w:sz w:val="16"/>
      <w:szCs w:val="16"/>
    </w:rPr>
  </w:style>
  <w:style w:type="paragraph" w:customStyle="1" w:styleId="xl62">
    <w:name w:val="xl62"/>
    <w:basedOn w:val="Normal"/>
    <w:pPr>
      <w:pBdr>
        <w:bottom w:val="single" w:sz="4" w:space="0" w:color="auto"/>
        <w:right w:val="single" w:sz="8" w:space="0" w:color="auto"/>
      </w:pBdr>
      <w:shd w:val="clear" w:color="auto" w:fill="FFCC99"/>
      <w:spacing w:before="100" w:beforeAutospacing="1" w:after="100" w:afterAutospacing="1"/>
      <w:jc w:val="center"/>
      <w:textAlignment w:val="center"/>
    </w:pPr>
    <w:rPr>
      <w:sz w:val="16"/>
      <w:szCs w:val="16"/>
    </w:rPr>
  </w:style>
  <w:style w:type="paragraph" w:customStyle="1" w:styleId="xl63">
    <w:name w:val="xl63"/>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sz w:val="16"/>
      <w:szCs w:val="16"/>
    </w:rPr>
  </w:style>
  <w:style w:type="paragraph" w:customStyle="1" w:styleId="font6">
    <w:name w:val="font6"/>
    <w:basedOn w:val="Normal"/>
    <w:pPr>
      <w:spacing w:before="100" w:beforeAutospacing="1" w:after="100" w:afterAutospacing="1"/>
      <w:jc w:val="left"/>
    </w:pPr>
    <w:rPr>
      <w:rFonts w:eastAsia="Arial Unicode MS"/>
      <w:b/>
      <w:bCs/>
      <w:sz w:val="16"/>
      <w:szCs w:val="16"/>
    </w:rPr>
  </w:style>
  <w:style w:type="paragraph" w:customStyle="1" w:styleId="xl44">
    <w:name w:val="xl44"/>
    <w:basedOn w:val="Normal"/>
    <w:pPr>
      <w:pBdr>
        <w:top w:val="single" w:sz="8" w:space="0" w:color="auto"/>
        <w:left w:val="single" w:sz="8" w:space="0" w:color="auto"/>
        <w:bottom w:val="single" w:sz="8" w:space="0" w:color="auto"/>
        <w:right w:val="single" w:sz="8" w:space="0" w:color="auto"/>
      </w:pBdr>
      <w:shd w:val="clear" w:color="auto" w:fill="CCCCFF"/>
      <w:spacing w:before="100" w:beforeAutospacing="1" w:after="100" w:afterAutospacing="1"/>
      <w:jc w:val="center"/>
      <w:textAlignment w:val="top"/>
    </w:pPr>
    <w:rPr>
      <w:rFonts w:eastAsia="Arial Unicode MS"/>
      <w:sz w:val="16"/>
      <w:szCs w:val="16"/>
    </w:rPr>
  </w:style>
  <w:style w:type="paragraph" w:customStyle="1" w:styleId="xl64">
    <w:name w:val="xl64"/>
    <w:basedOn w:val="Normal"/>
    <w:pPr>
      <w:pBdr>
        <w:top w:val="single" w:sz="8" w:space="0" w:color="auto"/>
        <w:left w:val="single" w:sz="8" w:space="0" w:color="auto"/>
        <w:right w:val="single" w:sz="8" w:space="0" w:color="auto"/>
      </w:pBdr>
      <w:shd w:val="clear" w:color="auto" w:fill="CCCCFF"/>
      <w:spacing w:before="100" w:beforeAutospacing="1" w:after="100" w:afterAutospacing="1"/>
      <w:jc w:val="left"/>
      <w:textAlignment w:val="top"/>
    </w:pPr>
    <w:rPr>
      <w:rFonts w:eastAsia="Arial Unicode MS"/>
      <w:sz w:val="16"/>
      <w:szCs w:val="16"/>
    </w:rPr>
  </w:style>
  <w:style w:type="paragraph" w:customStyle="1" w:styleId="xl65">
    <w:name w:val="xl65"/>
    <w:basedOn w:val="Normal"/>
    <w:pPr>
      <w:pBdr>
        <w:left w:val="single" w:sz="8" w:space="0" w:color="auto"/>
        <w:bottom w:val="single" w:sz="8" w:space="0" w:color="auto"/>
        <w:right w:val="single" w:sz="8" w:space="0" w:color="auto"/>
      </w:pBdr>
      <w:shd w:val="clear" w:color="auto" w:fill="CCCCFF"/>
      <w:spacing w:before="100" w:beforeAutospacing="1" w:after="100" w:afterAutospacing="1"/>
      <w:jc w:val="left"/>
      <w:textAlignment w:val="top"/>
    </w:pPr>
    <w:rPr>
      <w:rFonts w:eastAsia="Arial Unicode MS"/>
      <w:sz w:val="16"/>
      <w:szCs w:val="16"/>
    </w:rPr>
  </w:style>
  <w:style w:type="paragraph" w:customStyle="1" w:styleId="xl66">
    <w:name w:val="xl66"/>
    <w:basedOn w:val="Normal"/>
    <w:pPr>
      <w:pBdr>
        <w:left w:val="single" w:sz="8" w:space="0" w:color="auto"/>
        <w:right w:val="single" w:sz="8" w:space="0" w:color="auto"/>
      </w:pBdr>
      <w:shd w:val="clear" w:color="auto" w:fill="CCCCFF"/>
      <w:spacing w:before="100" w:beforeAutospacing="1" w:after="100" w:afterAutospacing="1"/>
      <w:jc w:val="center"/>
      <w:textAlignment w:val="top"/>
    </w:pPr>
    <w:rPr>
      <w:rFonts w:eastAsia="Arial Unicode MS"/>
      <w:sz w:val="16"/>
      <w:szCs w:val="16"/>
    </w:rPr>
  </w:style>
  <w:style w:type="paragraph" w:customStyle="1" w:styleId="xl67">
    <w:name w:val="xl67"/>
    <w:basedOn w:val="Normal"/>
    <w:pPr>
      <w:pBdr>
        <w:bottom w:val="single" w:sz="4" w:space="0" w:color="auto"/>
        <w:right w:val="single" w:sz="4" w:space="0" w:color="auto"/>
      </w:pBdr>
      <w:spacing w:before="100" w:beforeAutospacing="1" w:after="100" w:afterAutospacing="1"/>
      <w:jc w:val="center"/>
    </w:pPr>
    <w:rPr>
      <w:rFonts w:eastAsia="Arial Unicode MS"/>
      <w:sz w:val="16"/>
      <w:szCs w:val="16"/>
    </w:rPr>
  </w:style>
  <w:style w:type="paragraph" w:customStyle="1" w:styleId="xl68">
    <w:name w:val="xl68"/>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eastAsia="Arial Unicode MS"/>
      <w:sz w:val="16"/>
      <w:szCs w:val="16"/>
    </w:rPr>
  </w:style>
  <w:style w:type="paragraph" w:customStyle="1" w:styleId="xl69">
    <w:name w:val="xl69"/>
    <w:basedOn w:val="Normal"/>
    <w:pPr>
      <w:pBdr>
        <w:top w:val="single" w:sz="8" w:space="0" w:color="auto"/>
        <w:bottom w:val="single" w:sz="4" w:space="0" w:color="auto"/>
        <w:right w:val="single" w:sz="4" w:space="0" w:color="auto"/>
      </w:pBdr>
      <w:spacing w:before="100" w:beforeAutospacing="1" w:after="100" w:afterAutospacing="1"/>
      <w:jc w:val="center"/>
    </w:pPr>
    <w:rPr>
      <w:rFonts w:eastAsia="Arial Unicode MS"/>
      <w:sz w:val="16"/>
      <w:szCs w:val="16"/>
    </w:rPr>
  </w:style>
  <w:style w:type="paragraph" w:customStyle="1" w:styleId="xl70">
    <w:name w:val="xl70"/>
    <w:basedOn w:val="Normal"/>
    <w:pPr>
      <w:pBdr>
        <w:top w:val="single" w:sz="8" w:space="0" w:color="auto"/>
        <w:bottom w:val="single" w:sz="4" w:space="0" w:color="auto"/>
        <w:right w:val="single" w:sz="8" w:space="0" w:color="auto"/>
      </w:pBdr>
      <w:spacing w:before="100" w:beforeAutospacing="1" w:after="100" w:afterAutospacing="1"/>
      <w:jc w:val="center"/>
    </w:pPr>
    <w:rPr>
      <w:rFonts w:eastAsia="Arial Unicode MS"/>
      <w:sz w:val="16"/>
      <w:szCs w:val="16"/>
    </w:rPr>
  </w:style>
  <w:style w:type="paragraph" w:customStyle="1" w:styleId="xl71">
    <w:name w:val="xl71"/>
    <w:basedOn w:val="Normal"/>
    <w:pPr>
      <w:pBdr>
        <w:bottom w:val="single" w:sz="4" w:space="0" w:color="auto"/>
        <w:right w:val="single" w:sz="8" w:space="0" w:color="auto"/>
      </w:pBdr>
      <w:spacing w:before="100" w:beforeAutospacing="1" w:after="100" w:afterAutospacing="1"/>
      <w:jc w:val="center"/>
    </w:pPr>
    <w:rPr>
      <w:rFonts w:eastAsia="Arial Unicode MS"/>
      <w:sz w:val="16"/>
      <w:szCs w:val="16"/>
    </w:rPr>
  </w:style>
  <w:style w:type="paragraph" w:customStyle="1" w:styleId="xl72">
    <w:name w:val="xl72"/>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eastAsia="Arial Unicode MS"/>
      <w:sz w:val="16"/>
      <w:szCs w:val="16"/>
    </w:rPr>
  </w:style>
  <w:style w:type="paragraph" w:customStyle="1" w:styleId="xl73">
    <w:name w:val="xl73"/>
    <w:basedOn w:val="Normal"/>
    <w:pPr>
      <w:pBdr>
        <w:bottom w:val="single" w:sz="8" w:space="0" w:color="auto"/>
        <w:right w:val="single" w:sz="4" w:space="0" w:color="auto"/>
      </w:pBdr>
      <w:spacing w:before="100" w:beforeAutospacing="1" w:after="100" w:afterAutospacing="1"/>
      <w:jc w:val="center"/>
    </w:pPr>
    <w:rPr>
      <w:rFonts w:eastAsia="Arial Unicode MS"/>
      <w:sz w:val="16"/>
      <w:szCs w:val="16"/>
    </w:rPr>
  </w:style>
  <w:style w:type="paragraph" w:customStyle="1" w:styleId="xl74">
    <w:name w:val="xl74"/>
    <w:basedOn w:val="Normal"/>
    <w:pPr>
      <w:pBdr>
        <w:bottom w:val="single" w:sz="8" w:space="0" w:color="auto"/>
        <w:right w:val="single" w:sz="8" w:space="0" w:color="auto"/>
      </w:pBdr>
      <w:spacing w:before="100" w:beforeAutospacing="1" w:after="100" w:afterAutospacing="1"/>
      <w:jc w:val="center"/>
    </w:pPr>
    <w:rPr>
      <w:rFonts w:eastAsia="Arial Unicode MS"/>
      <w:sz w:val="16"/>
      <w:szCs w:val="16"/>
    </w:rPr>
  </w:style>
  <w:style w:type="paragraph" w:customStyle="1" w:styleId="xl75">
    <w:name w:val="xl75"/>
    <w:basedOn w:val="Normal"/>
    <w:pPr>
      <w:pBdr>
        <w:bottom w:val="single" w:sz="4" w:space="0" w:color="auto"/>
        <w:right w:val="single" w:sz="4" w:space="0" w:color="auto"/>
      </w:pBdr>
      <w:spacing w:before="100" w:beforeAutospacing="1" w:after="100" w:afterAutospacing="1"/>
      <w:jc w:val="center"/>
    </w:pPr>
    <w:rPr>
      <w:rFonts w:eastAsia="Arial Unicode MS"/>
      <w:b/>
      <w:bCs/>
      <w:sz w:val="16"/>
      <w:szCs w:val="16"/>
    </w:rPr>
  </w:style>
  <w:style w:type="paragraph" w:customStyle="1" w:styleId="xl76">
    <w:name w:val="xl76"/>
    <w:basedOn w:val="Normal"/>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b/>
      <w:bCs/>
      <w:sz w:val="16"/>
      <w:szCs w:val="16"/>
    </w:rPr>
  </w:style>
  <w:style w:type="paragraph" w:customStyle="1" w:styleId="xl77">
    <w:name w:val="xl77"/>
    <w:basedOn w:val="Normal"/>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b/>
      <w:bCs/>
      <w:sz w:val="16"/>
      <w:szCs w:val="16"/>
    </w:rPr>
  </w:style>
  <w:style w:type="paragraph" w:customStyle="1" w:styleId="xl78">
    <w:name w:val="xl78"/>
    <w:basedOn w:val="Normal"/>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b/>
      <w:bCs/>
      <w:sz w:val="16"/>
      <w:szCs w:val="16"/>
    </w:rPr>
  </w:style>
  <w:style w:type="paragraph" w:customStyle="1" w:styleId="xl79">
    <w:name w:val="xl79"/>
    <w:basedOn w:val="Normal"/>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b/>
      <w:bCs/>
      <w:sz w:val="16"/>
      <w:szCs w:val="16"/>
    </w:rPr>
  </w:style>
  <w:style w:type="paragraph" w:customStyle="1" w:styleId="EntInstit">
    <w:name w:val="EntInstit"/>
    <w:pPr>
      <w:spacing w:after="200" w:line="276" w:lineRule="auto"/>
      <w:jc w:val="right"/>
    </w:pPr>
    <w:rPr>
      <w:b/>
      <w:sz w:val="24"/>
      <w:szCs w:val="22"/>
    </w:rPr>
  </w:style>
  <w:style w:type="paragraph" w:customStyle="1" w:styleId="NormalConseil">
    <w:name w:val="NormalConseil"/>
    <w:basedOn w:val="Normal"/>
    <w:pPr>
      <w:spacing w:before="0" w:after="0"/>
      <w:jc w:val="left"/>
    </w:pPr>
    <w:rPr>
      <w:szCs w:val="20"/>
    </w:rPr>
  </w:style>
  <w:style w:type="paragraph" w:customStyle="1" w:styleId="EntRefer">
    <w:name w:val="EntRefer"/>
    <w:pPr>
      <w:spacing w:after="200" w:line="276" w:lineRule="auto"/>
    </w:pPr>
    <w:rPr>
      <w:b/>
      <w:sz w:val="24"/>
      <w:szCs w:val="22"/>
    </w:rPr>
  </w:style>
  <w:style w:type="paragraph" w:customStyle="1" w:styleId="EntEmet">
    <w:name w:val="EntEmet"/>
    <w:pPr>
      <w:tabs>
        <w:tab w:val="left" w:pos="284"/>
        <w:tab w:val="left" w:pos="567"/>
        <w:tab w:val="left" w:pos="851"/>
        <w:tab w:val="left" w:pos="1134"/>
        <w:tab w:val="left" w:pos="1418"/>
      </w:tabs>
      <w:spacing w:before="40" w:after="200" w:line="276" w:lineRule="auto"/>
    </w:pPr>
    <w:rPr>
      <w:sz w:val="24"/>
      <w:szCs w:val="22"/>
    </w:rPr>
  </w:style>
  <w:style w:type="paragraph" w:customStyle="1" w:styleId="EntLogo">
    <w:name w:val="EntLogo"/>
    <w:next w:val="EntInstit"/>
    <w:pPr>
      <w:spacing w:after="200" w:line="360" w:lineRule="auto"/>
    </w:pPr>
    <w:rPr>
      <w:b/>
      <w:sz w:val="24"/>
      <w:szCs w:val="22"/>
    </w:rPr>
  </w:style>
  <w:style w:type="paragraph" w:customStyle="1" w:styleId="FooterConseil">
    <w:name w:val="FooterConseil"/>
    <w:pPr>
      <w:tabs>
        <w:tab w:val="center" w:pos="4820"/>
        <w:tab w:val="center" w:pos="7371"/>
        <w:tab w:val="right" w:pos="9639"/>
      </w:tabs>
      <w:spacing w:after="200" w:line="276" w:lineRule="auto"/>
    </w:pPr>
    <w:rPr>
      <w:sz w:val="24"/>
      <w:szCs w:val="22"/>
    </w:rPr>
  </w:style>
  <w:style w:type="paragraph" w:customStyle="1" w:styleId="FigureCaption">
    <w:name w:val="Figure Caption"/>
    <w:basedOn w:val="Normal"/>
    <w:pPr>
      <w:spacing w:before="0" w:after="0"/>
      <w:jc w:val="left"/>
    </w:pPr>
    <w:rPr>
      <w:rFonts w:ascii="Arial" w:hAnsi="Arial"/>
      <w:sz w:val="22"/>
      <w:szCs w:val="20"/>
    </w:rPr>
  </w:style>
  <w:style w:type="paragraph" w:customStyle="1" w:styleId="Question">
    <w:name w:val="Question"/>
    <w:basedOn w:val="Normal"/>
    <w:pPr>
      <w:pBdr>
        <w:top w:val="single" w:sz="4" w:space="1" w:color="auto"/>
        <w:left w:val="single" w:sz="4" w:space="4" w:color="auto"/>
        <w:bottom w:val="single" w:sz="4" w:space="1" w:color="auto"/>
        <w:right w:val="single" w:sz="4" w:space="4" w:color="auto"/>
      </w:pBdr>
      <w:spacing w:before="60" w:after="80"/>
      <w:jc w:val="left"/>
    </w:pPr>
    <w:rPr>
      <w:rFonts w:ascii="Arial Black" w:hAnsi="Arial Black"/>
      <w:sz w:val="22"/>
      <w:szCs w:val="20"/>
    </w:rPr>
  </w:style>
  <w:style w:type="paragraph" w:customStyle="1" w:styleId="Keymessage">
    <w:name w:val="Key message"/>
    <w:basedOn w:val="Normal"/>
    <w:pPr>
      <w:numPr>
        <w:numId w:val="32"/>
      </w:numPr>
      <w:pBdr>
        <w:top w:val="single" w:sz="4" w:space="1" w:color="auto"/>
        <w:left w:val="single" w:sz="4" w:space="4" w:color="auto"/>
        <w:bottom w:val="single" w:sz="4" w:space="1" w:color="auto"/>
        <w:right w:val="single" w:sz="4" w:space="4" w:color="auto"/>
      </w:pBdr>
      <w:shd w:val="clear" w:color="auto" w:fill="F3F3F3"/>
      <w:spacing w:before="60" w:after="60"/>
      <w:ind w:left="357" w:hanging="357"/>
      <w:jc w:val="left"/>
    </w:pPr>
    <w:rPr>
      <w:rFonts w:ascii="Palatino Linotype" w:hAnsi="Palatino Linotype"/>
      <w:sz w:val="22"/>
      <w:szCs w:val="20"/>
    </w:rPr>
  </w:style>
  <w:style w:type="paragraph" w:customStyle="1" w:styleId="graph">
    <w:name w:val="graph"/>
    <w:basedOn w:val="Normal"/>
    <w:pPr>
      <w:spacing w:before="0" w:after="0"/>
      <w:ind w:left="6158" w:hanging="6158"/>
      <w:jc w:val="left"/>
    </w:pPr>
    <w:rPr>
      <w:rFonts w:ascii="Palatino Linotype" w:hAnsi="Palatino Linotype"/>
      <w:sz w:val="22"/>
      <w:szCs w:val="20"/>
    </w:rPr>
  </w:style>
  <w:style w:type="paragraph" w:customStyle="1" w:styleId="FormatvorlageSource8ptFett">
    <w:name w:val="Formatvorlage Source + 8 pt Fett"/>
    <w:basedOn w:val="Normal"/>
    <w:pPr>
      <w:keepNext/>
      <w:keepLines/>
      <w:spacing w:before="60" w:after="0"/>
      <w:ind w:left="1134" w:hanging="1134"/>
      <w:jc w:val="left"/>
    </w:pPr>
    <w:rPr>
      <w:rFonts w:ascii="Arial" w:hAnsi="Arial"/>
      <w:b/>
      <w:bCs/>
      <w:sz w:val="16"/>
      <w:szCs w:val="16"/>
    </w:rPr>
  </w:style>
  <w:style w:type="paragraph" w:customStyle="1" w:styleId="source0">
    <w:name w:val="source"/>
    <w:basedOn w:val="Normal"/>
    <w:pPr>
      <w:keepLines/>
      <w:spacing w:before="0" w:after="0"/>
      <w:jc w:val="left"/>
    </w:pPr>
    <w:rPr>
      <w:rFonts w:ascii="Arial" w:hAnsi="Arial"/>
      <w:sz w:val="16"/>
      <w:szCs w:val="16"/>
    </w:rPr>
  </w:style>
  <w:style w:type="paragraph" w:styleId="BodyText3">
    <w:name w:val="Body Text 3"/>
    <w:basedOn w:val="Normal"/>
    <w:link w:val="BodyText3Char"/>
    <w:uiPriority w:val="99"/>
    <w:pPr>
      <w:widowControl w:val="0"/>
      <w:adjustRightInd w:val="0"/>
      <w:jc w:val="left"/>
      <w:textAlignment w:val="baseline"/>
    </w:pPr>
    <w:rPr>
      <w:rFonts w:ascii="NewBskvll BT" w:hAnsi="NewBskvll BT"/>
      <w:sz w:val="22"/>
      <w:szCs w:val="20"/>
    </w:rPr>
  </w:style>
  <w:style w:type="character" w:customStyle="1" w:styleId="BodyText3Char">
    <w:name w:val="Body Text 3 Char"/>
    <w:link w:val="BodyText3"/>
    <w:uiPriority w:val="99"/>
    <w:rPr>
      <w:rFonts w:ascii="NewBskvll BT" w:hAnsi="NewBskvll BT"/>
      <w:sz w:val="22"/>
      <w:shd w:val="clear" w:color="auto" w:fill="auto"/>
    </w:rPr>
  </w:style>
  <w:style w:type="paragraph" w:customStyle="1" w:styleId="StandardEC-NIR">
    <w:name w:val="Standard_EC-NIR"/>
    <w:basedOn w:val="Normal"/>
    <w:pPr>
      <w:widowControl w:val="0"/>
      <w:adjustRightInd w:val="0"/>
      <w:textAlignment w:val="baseline"/>
    </w:pPr>
    <w:rPr>
      <w:sz w:val="20"/>
      <w:szCs w:val="20"/>
    </w:rPr>
  </w:style>
  <w:style w:type="character" w:customStyle="1" w:styleId="Table-ContentsCTChar">
    <w:name w:val="Table - Contents (CT) Char"/>
    <w:link w:val="Table-ContentsCT"/>
    <w:locked/>
    <w:rPr>
      <w:rFonts w:ascii="Arial" w:hAnsi="Arial"/>
      <w:sz w:val="16"/>
      <w:lang w:val="bg-BG" w:eastAsia="bg-BG"/>
    </w:rPr>
  </w:style>
  <w:style w:type="paragraph" w:customStyle="1" w:styleId="Table-ContentsCT">
    <w:name w:val="Table - Contents (CT)"/>
    <w:link w:val="Table-ContentsCTChar"/>
    <w:qFormat/>
    <w:pPr>
      <w:spacing w:before="80" w:after="80" w:line="276" w:lineRule="auto"/>
    </w:pPr>
    <w:rPr>
      <w:rFonts w:ascii="Arial" w:hAnsi="Arial"/>
      <w:sz w:val="16"/>
    </w:rPr>
  </w:style>
  <w:style w:type="paragraph" w:customStyle="1" w:styleId="Maualheading">
    <w:name w:val="Maual heading"/>
    <w:basedOn w:val="Objetacteprincipal"/>
    <w:pPr>
      <w:jc w:val="both"/>
    </w:pPr>
    <w:rPr>
      <w:noProof/>
      <w:szCs w:val="20"/>
    </w:rPr>
  </w:style>
  <w:style w:type="character" w:customStyle="1" w:styleId="ListParagraphChar">
    <w:name w:val="List Paragraph Char"/>
    <w:aliases w:val="Heading 2_sj Char"/>
    <w:link w:val="ListParagraph"/>
    <w:uiPriority w:val="34"/>
    <w:locked/>
    <w:rPr>
      <w:rFonts w:ascii="Calibri" w:eastAsia="Calibri" w:hAnsi="Calibri" w:cs="Calibri"/>
      <w:sz w:val="22"/>
    </w:rPr>
  </w:style>
  <w:style w:type="paragraph" w:customStyle="1" w:styleId="font7">
    <w:name w:val="font7"/>
    <w:basedOn w:val="Normal"/>
    <w:pPr>
      <w:spacing w:before="100" w:beforeAutospacing="1" w:after="100" w:afterAutospacing="1"/>
      <w:jc w:val="left"/>
    </w:pPr>
    <w:rPr>
      <w:rFonts w:ascii="Calibri" w:hAnsi="Calibri" w:cs="Calibri"/>
      <w:b/>
      <w:bCs/>
      <w:sz w:val="22"/>
      <w:szCs w:val="20"/>
    </w:rPr>
  </w:style>
  <w:style w:type="paragraph" w:customStyle="1" w:styleId="font8">
    <w:name w:val="font8"/>
    <w:basedOn w:val="Normal"/>
    <w:pPr>
      <w:spacing w:before="100" w:beforeAutospacing="1" w:after="100" w:afterAutospacing="1"/>
      <w:jc w:val="left"/>
    </w:pPr>
    <w:rPr>
      <w:rFonts w:ascii="Calibri" w:hAnsi="Calibri" w:cs="Calibri"/>
      <w:sz w:val="22"/>
      <w:szCs w:val="20"/>
    </w:rPr>
  </w:style>
  <w:style w:type="paragraph" w:customStyle="1" w:styleId="font9">
    <w:name w:val="font9"/>
    <w:basedOn w:val="Normal"/>
    <w:pPr>
      <w:spacing w:before="100" w:beforeAutospacing="1" w:after="100" w:afterAutospacing="1"/>
      <w:jc w:val="left"/>
    </w:pPr>
    <w:rPr>
      <w:rFonts w:ascii="Calibri" w:hAnsi="Calibri" w:cs="Calibri"/>
      <w:color w:val="000000"/>
      <w:sz w:val="22"/>
      <w:szCs w:val="20"/>
    </w:rPr>
  </w:style>
  <w:style w:type="paragraph" w:customStyle="1" w:styleId="font10">
    <w:name w:val="font10"/>
    <w:basedOn w:val="Normal"/>
    <w:pPr>
      <w:spacing w:before="100" w:beforeAutospacing="1" w:after="100" w:afterAutospacing="1"/>
      <w:jc w:val="left"/>
    </w:pPr>
    <w:rPr>
      <w:rFonts w:ascii="Calibri" w:hAnsi="Calibri" w:cs="Calibri"/>
      <w:sz w:val="22"/>
      <w:szCs w:val="20"/>
    </w:rPr>
  </w:style>
  <w:style w:type="paragraph" w:customStyle="1" w:styleId="font11">
    <w:name w:val="font11"/>
    <w:basedOn w:val="Normal"/>
    <w:pPr>
      <w:spacing w:before="100" w:beforeAutospacing="1" w:after="100" w:afterAutospacing="1"/>
      <w:jc w:val="left"/>
    </w:pPr>
    <w:rPr>
      <w:rFonts w:ascii="Calibri" w:hAnsi="Calibri" w:cs="Calibri"/>
      <w:i/>
      <w:iCs/>
      <w:sz w:val="22"/>
      <w:szCs w:val="20"/>
    </w:rPr>
  </w:style>
  <w:style w:type="paragraph" w:customStyle="1" w:styleId="font12">
    <w:name w:val="font12"/>
    <w:basedOn w:val="Normal"/>
    <w:pPr>
      <w:spacing w:before="100" w:beforeAutospacing="1" w:after="100" w:afterAutospacing="1"/>
      <w:jc w:val="left"/>
    </w:pPr>
    <w:rPr>
      <w:rFonts w:ascii="Calibri" w:hAnsi="Calibri" w:cs="Calibri"/>
      <w:i/>
      <w:iCs/>
      <w:sz w:val="22"/>
      <w:szCs w:val="20"/>
    </w:rPr>
  </w:style>
  <w:style w:type="paragraph" w:customStyle="1" w:styleId="xl196">
    <w:name w:val="xl1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color w:val="000000"/>
      <w:sz w:val="22"/>
      <w:szCs w:val="20"/>
    </w:rPr>
  </w:style>
  <w:style w:type="paragraph" w:customStyle="1" w:styleId="xl197">
    <w:name w:val="xl197"/>
    <w:basedOn w:val="Normal"/>
    <w:pPr>
      <w:spacing w:before="100" w:beforeAutospacing="1" w:after="100" w:afterAutospacing="1"/>
      <w:jc w:val="left"/>
    </w:pPr>
    <w:rPr>
      <w:rFonts w:ascii="Calibri" w:hAnsi="Calibri" w:cs="Calibri"/>
      <w:sz w:val="22"/>
      <w:szCs w:val="20"/>
    </w:rPr>
  </w:style>
  <w:style w:type="paragraph" w:customStyle="1" w:styleId="xl198">
    <w:name w:val="xl198"/>
    <w:basedOn w:val="Normal"/>
    <w:pPr>
      <w:spacing w:before="100" w:beforeAutospacing="1" w:after="100" w:afterAutospacing="1"/>
      <w:jc w:val="left"/>
    </w:pPr>
    <w:rPr>
      <w:rFonts w:ascii="Calibri" w:hAnsi="Calibri" w:cs="Calibri"/>
      <w:sz w:val="22"/>
      <w:szCs w:val="20"/>
    </w:rPr>
  </w:style>
  <w:style w:type="paragraph" w:customStyle="1" w:styleId="xl199">
    <w:name w:val="xl199"/>
    <w:basedOn w:val="Normal"/>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Calibri" w:hAnsi="Calibri" w:cs="Calibri"/>
      <w:b/>
      <w:bCs/>
      <w:sz w:val="22"/>
      <w:szCs w:val="20"/>
    </w:rPr>
  </w:style>
  <w:style w:type="paragraph" w:customStyle="1" w:styleId="xl200">
    <w:name w:val="xl200"/>
    <w:basedOn w:val="Normal"/>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ascii="Calibri" w:hAnsi="Calibri" w:cs="Calibri"/>
      <w:color w:val="000000"/>
      <w:sz w:val="22"/>
      <w:szCs w:val="20"/>
    </w:rPr>
  </w:style>
  <w:style w:type="paragraph" w:customStyle="1" w:styleId="xl201">
    <w:name w:val="xl201"/>
    <w:basedOn w:val="Normal"/>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Calibri" w:hAnsi="Calibri" w:cs="Calibri"/>
      <w:color w:val="000000"/>
      <w:sz w:val="22"/>
      <w:szCs w:val="20"/>
    </w:rPr>
  </w:style>
  <w:style w:type="paragraph" w:customStyle="1" w:styleId="xl202">
    <w:name w:val="xl202"/>
    <w:basedOn w:val="Normal"/>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ascii="Calibri" w:hAnsi="Calibri" w:cs="Calibri"/>
      <w:sz w:val="22"/>
      <w:szCs w:val="20"/>
    </w:rPr>
  </w:style>
  <w:style w:type="paragraph" w:customStyle="1" w:styleId="xl203">
    <w:name w:val="xl203"/>
    <w:basedOn w:val="Normal"/>
    <w:pPr>
      <w:pBdr>
        <w:top w:val="single" w:sz="4" w:space="0" w:color="auto"/>
        <w:left w:val="single" w:sz="4" w:space="0" w:color="auto"/>
        <w:bottom w:val="single" w:sz="4" w:space="0" w:color="auto"/>
      </w:pBdr>
      <w:shd w:val="clear" w:color="000000" w:fill="CCFFCC"/>
      <w:spacing w:before="100" w:beforeAutospacing="1" w:after="100" w:afterAutospacing="1"/>
      <w:jc w:val="left"/>
      <w:textAlignment w:val="center"/>
    </w:pPr>
    <w:rPr>
      <w:rFonts w:ascii="Calibri" w:hAnsi="Calibri" w:cs="Calibri"/>
      <w:sz w:val="22"/>
      <w:szCs w:val="20"/>
    </w:rPr>
  </w:style>
  <w:style w:type="paragraph" w:customStyle="1" w:styleId="xl204">
    <w:name w:val="xl204"/>
    <w:basedOn w:val="Normal"/>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Calibri" w:hAnsi="Calibri" w:cs="Calibri"/>
      <w:sz w:val="22"/>
      <w:szCs w:val="20"/>
    </w:rPr>
  </w:style>
  <w:style w:type="paragraph" w:customStyle="1" w:styleId="xl205">
    <w:name w:val="xl205"/>
    <w:basedOn w:val="Normal"/>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ascii="Calibri" w:hAnsi="Calibri" w:cs="Calibri"/>
      <w:sz w:val="22"/>
      <w:szCs w:val="20"/>
    </w:rPr>
  </w:style>
  <w:style w:type="paragraph" w:customStyle="1" w:styleId="xl206">
    <w:name w:val="xl20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color w:val="000000"/>
      <w:sz w:val="22"/>
      <w:szCs w:val="20"/>
    </w:rPr>
  </w:style>
  <w:style w:type="paragraph" w:customStyle="1" w:styleId="xl207">
    <w:name w:val="xl20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color w:val="000000"/>
      <w:sz w:val="22"/>
      <w:szCs w:val="20"/>
    </w:rPr>
  </w:style>
  <w:style w:type="paragraph" w:customStyle="1" w:styleId="xl208">
    <w:name w:val="xl2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2"/>
      <w:szCs w:val="20"/>
    </w:rPr>
  </w:style>
  <w:style w:type="paragraph" w:customStyle="1" w:styleId="xl209">
    <w:name w:val="xl2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2"/>
      <w:szCs w:val="20"/>
    </w:rPr>
  </w:style>
  <w:style w:type="paragraph" w:customStyle="1" w:styleId="xl210">
    <w:name w:val="xl21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color w:val="000000"/>
      <w:sz w:val="22"/>
      <w:szCs w:val="20"/>
    </w:rPr>
  </w:style>
  <w:style w:type="paragraph" w:customStyle="1" w:styleId="xl211">
    <w:name w:val="xl21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2"/>
      <w:szCs w:val="20"/>
    </w:rPr>
  </w:style>
  <w:style w:type="paragraph" w:customStyle="1" w:styleId="xl212">
    <w:name w:val="xl212"/>
    <w:basedOn w:val="Normal"/>
    <w:pPr>
      <w:spacing w:before="100" w:beforeAutospacing="1" w:after="100" w:afterAutospacing="1"/>
      <w:jc w:val="left"/>
    </w:pPr>
    <w:rPr>
      <w:rFonts w:ascii="Calibri" w:hAnsi="Calibri" w:cs="Calibri"/>
      <w:b/>
      <w:bCs/>
      <w:sz w:val="22"/>
      <w:szCs w:val="20"/>
    </w:rPr>
  </w:style>
  <w:style w:type="paragraph" w:customStyle="1" w:styleId="xl213">
    <w:name w:val="xl21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color w:val="000000"/>
      <w:sz w:val="22"/>
      <w:szCs w:val="20"/>
    </w:rPr>
  </w:style>
  <w:style w:type="paragraph" w:customStyle="1" w:styleId="xl214">
    <w:name w:val="xl21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color w:val="000000"/>
      <w:sz w:val="22"/>
      <w:szCs w:val="20"/>
    </w:rPr>
  </w:style>
  <w:style w:type="paragraph" w:customStyle="1" w:styleId="xl215">
    <w:name w:val="xl21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color w:val="000000"/>
      <w:sz w:val="22"/>
      <w:szCs w:val="20"/>
    </w:rPr>
  </w:style>
  <w:style w:type="paragraph" w:customStyle="1" w:styleId="xl216">
    <w:name w:val="xl21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sz w:val="22"/>
      <w:szCs w:val="20"/>
    </w:rPr>
  </w:style>
  <w:style w:type="paragraph" w:customStyle="1" w:styleId="xl217">
    <w:name w:val="xl21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sz w:val="22"/>
      <w:szCs w:val="20"/>
    </w:rPr>
  </w:style>
  <w:style w:type="paragraph" w:customStyle="1" w:styleId="xl218">
    <w:name w:val="xl218"/>
    <w:basedOn w:val="Normal"/>
    <w:pPr>
      <w:spacing w:before="100" w:beforeAutospacing="1" w:after="100" w:afterAutospacing="1"/>
      <w:jc w:val="left"/>
    </w:pPr>
    <w:rPr>
      <w:rFonts w:ascii="Calibri" w:hAnsi="Calibri" w:cs="Calibri"/>
      <w:color w:val="FF00FF"/>
      <w:sz w:val="22"/>
      <w:szCs w:val="20"/>
    </w:rPr>
  </w:style>
  <w:style w:type="paragraph" w:customStyle="1" w:styleId="xl219">
    <w:name w:val="xl219"/>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Calibri" w:hAnsi="Calibri" w:cs="Calibri"/>
      <w:color w:val="000000"/>
      <w:sz w:val="22"/>
      <w:szCs w:val="20"/>
    </w:rPr>
  </w:style>
  <w:style w:type="paragraph" w:customStyle="1" w:styleId="xl220">
    <w:name w:val="xl220"/>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Calibri" w:hAnsi="Calibri" w:cs="Calibri"/>
      <w:color w:val="000000"/>
      <w:sz w:val="22"/>
      <w:szCs w:val="20"/>
    </w:rPr>
  </w:style>
  <w:style w:type="paragraph" w:customStyle="1" w:styleId="xl221">
    <w:name w:val="xl221"/>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Calibri" w:hAnsi="Calibri" w:cs="Calibri"/>
      <w:color w:val="000000"/>
      <w:sz w:val="22"/>
      <w:szCs w:val="20"/>
    </w:rPr>
  </w:style>
  <w:style w:type="paragraph" w:customStyle="1" w:styleId="xl222">
    <w:name w:val="xl222"/>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Calibri" w:hAnsi="Calibri" w:cs="Calibri"/>
      <w:sz w:val="22"/>
      <w:szCs w:val="20"/>
    </w:rPr>
  </w:style>
  <w:style w:type="paragraph" w:customStyle="1" w:styleId="xl223">
    <w:name w:val="xl223"/>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Calibri" w:hAnsi="Calibri" w:cs="Calibri"/>
      <w:sz w:val="22"/>
      <w:szCs w:val="20"/>
    </w:rPr>
  </w:style>
  <w:style w:type="paragraph" w:customStyle="1" w:styleId="xl224">
    <w:name w:val="xl224"/>
    <w:basedOn w:val="Normal"/>
    <w:pPr>
      <w:shd w:val="clear" w:color="000000" w:fill="DDD9C4"/>
      <w:spacing w:before="100" w:beforeAutospacing="1" w:after="100" w:afterAutospacing="1"/>
      <w:jc w:val="left"/>
    </w:pPr>
    <w:rPr>
      <w:rFonts w:ascii="Calibri" w:hAnsi="Calibri" w:cs="Calibri"/>
      <w:sz w:val="22"/>
      <w:szCs w:val="20"/>
    </w:rPr>
  </w:style>
  <w:style w:type="paragraph" w:customStyle="1" w:styleId="xl225">
    <w:name w:val="xl225"/>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pPr>
    <w:rPr>
      <w:rFonts w:ascii="Calibri" w:hAnsi="Calibri" w:cs="Calibri"/>
      <w:sz w:val="22"/>
      <w:szCs w:val="20"/>
    </w:rPr>
  </w:style>
  <w:style w:type="paragraph" w:customStyle="1" w:styleId="xl226">
    <w:name w:val="xl226"/>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Calibri" w:hAnsi="Calibri" w:cs="Calibri"/>
      <w:color w:val="000000"/>
      <w:sz w:val="22"/>
      <w:szCs w:val="20"/>
    </w:rPr>
  </w:style>
  <w:style w:type="paragraph" w:customStyle="1" w:styleId="xl227">
    <w:name w:val="xl227"/>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Calibri" w:hAnsi="Calibri" w:cs="Calibri"/>
      <w:b/>
      <w:bCs/>
      <w:sz w:val="22"/>
      <w:szCs w:val="20"/>
    </w:rPr>
  </w:style>
  <w:style w:type="paragraph" w:customStyle="1" w:styleId="xl228">
    <w:name w:val="xl228"/>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Calibri" w:hAnsi="Calibri" w:cs="Calibri"/>
      <w:b/>
      <w:bCs/>
      <w:sz w:val="22"/>
      <w:szCs w:val="20"/>
    </w:rPr>
  </w:style>
  <w:style w:type="paragraph" w:customStyle="1" w:styleId="xl229">
    <w:name w:val="xl229"/>
    <w:basedOn w:val="Normal"/>
    <w:pPr>
      <w:shd w:val="clear" w:color="000000" w:fill="DDD9C4"/>
      <w:spacing w:before="100" w:beforeAutospacing="1" w:after="100" w:afterAutospacing="1"/>
      <w:jc w:val="left"/>
    </w:pPr>
    <w:rPr>
      <w:rFonts w:ascii="Calibri" w:hAnsi="Calibri" w:cs="Calibri"/>
      <w:b/>
      <w:bCs/>
      <w:sz w:val="22"/>
      <w:szCs w:val="20"/>
    </w:rPr>
  </w:style>
  <w:style w:type="paragraph" w:customStyle="1" w:styleId="xl230">
    <w:name w:val="xl230"/>
    <w:basedOn w:val="Normal"/>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ascii="Calibri" w:hAnsi="Calibri" w:cs="Calibri"/>
      <w:i/>
      <w:iCs/>
      <w:sz w:val="22"/>
      <w:szCs w:val="20"/>
    </w:rPr>
  </w:style>
  <w:style w:type="paragraph" w:customStyle="1" w:styleId="xl231">
    <w:name w:val="xl231"/>
    <w:basedOn w:val="Normal"/>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Calibri" w:hAnsi="Calibri" w:cs="Calibri"/>
      <w:i/>
      <w:iCs/>
      <w:sz w:val="22"/>
      <w:szCs w:val="20"/>
    </w:rPr>
  </w:style>
  <w:style w:type="paragraph" w:customStyle="1" w:styleId="xl232">
    <w:name w:val="xl232"/>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Calibri" w:hAnsi="Calibri" w:cs="Calibri"/>
      <w:b/>
      <w:bCs/>
      <w:i/>
      <w:iCs/>
      <w:sz w:val="22"/>
      <w:szCs w:val="20"/>
    </w:rPr>
  </w:style>
  <w:style w:type="paragraph" w:customStyle="1" w:styleId="xl233">
    <w:name w:val="xl233"/>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Calibri" w:hAnsi="Calibri" w:cs="Calibri"/>
      <w:i/>
      <w:iCs/>
      <w:sz w:val="22"/>
      <w:szCs w:val="20"/>
    </w:rPr>
  </w:style>
  <w:style w:type="paragraph" w:customStyle="1" w:styleId="xl234">
    <w:name w:val="xl23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i/>
      <w:iCs/>
      <w:sz w:val="22"/>
      <w:szCs w:val="20"/>
    </w:rPr>
  </w:style>
  <w:style w:type="paragraph" w:customStyle="1" w:styleId="xl235">
    <w:name w:val="xl23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i/>
      <w:iCs/>
      <w:sz w:val="22"/>
      <w:szCs w:val="20"/>
    </w:rPr>
  </w:style>
  <w:style w:type="paragraph" w:customStyle="1" w:styleId="xl236">
    <w:name w:val="xl23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i/>
      <w:iCs/>
      <w:sz w:val="22"/>
      <w:szCs w:val="20"/>
    </w:rPr>
  </w:style>
  <w:style w:type="paragraph" w:customStyle="1" w:styleId="xl237">
    <w:name w:val="xl237"/>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Calibri" w:hAnsi="Calibri" w:cs="Calibri"/>
      <w:b/>
      <w:bCs/>
      <w:color w:val="000000"/>
      <w:sz w:val="22"/>
      <w:szCs w:val="20"/>
    </w:rPr>
  </w:style>
  <w:style w:type="paragraph" w:customStyle="1" w:styleId="xl238">
    <w:name w:val="xl238"/>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Calibri" w:hAnsi="Calibri" w:cs="Calibri"/>
      <w:b/>
      <w:bCs/>
      <w:color w:val="000000"/>
      <w:sz w:val="22"/>
      <w:szCs w:val="20"/>
    </w:rPr>
  </w:style>
  <w:style w:type="paragraph" w:customStyle="1" w:styleId="xl239">
    <w:name w:val="xl239"/>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Calibri" w:hAnsi="Calibri" w:cs="Calibri"/>
      <w:b/>
      <w:bCs/>
      <w:color w:val="000000"/>
      <w:sz w:val="22"/>
      <w:szCs w:val="20"/>
    </w:rPr>
  </w:style>
  <w:style w:type="paragraph" w:customStyle="1" w:styleId="xl240">
    <w:name w:val="xl240"/>
    <w:basedOn w:val="Normal"/>
    <w:pPr>
      <w:spacing w:before="100" w:beforeAutospacing="1" w:after="100" w:afterAutospacing="1"/>
      <w:jc w:val="right"/>
    </w:pPr>
    <w:rPr>
      <w:rFonts w:ascii="Calibri" w:hAnsi="Calibri" w:cs="Calibri"/>
      <w:sz w:val="22"/>
      <w:szCs w:val="20"/>
    </w:rPr>
  </w:style>
  <w:style w:type="paragraph" w:customStyle="1" w:styleId="xl241">
    <w:name w:val="xl241"/>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Calibri" w:hAnsi="Calibri" w:cs="Calibri"/>
      <w:sz w:val="22"/>
      <w:szCs w:val="20"/>
    </w:rPr>
  </w:style>
  <w:style w:type="paragraph" w:customStyle="1" w:styleId="xl242">
    <w:name w:val="xl2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2"/>
      <w:szCs w:val="20"/>
    </w:rPr>
  </w:style>
  <w:style w:type="paragraph" w:customStyle="1" w:styleId="xl243">
    <w:name w:val="xl243"/>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Calibri" w:hAnsi="Calibri" w:cs="Calibri"/>
      <w:b/>
      <w:bCs/>
      <w:sz w:val="22"/>
      <w:szCs w:val="20"/>
    </w:rPr>
  </w:style>
  <w:style w:type="paragraph" w:customStyle="1" w:styleId="xl244">
    <w:name w:val="xl244"/>
    <w:basedOn w:val="Normal"/>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rFonts w:ascii="Calibri" w:hAnsi="Calibri" w:cs="Calibri"/>
      <w:b/>
      <w:bCs/>
      <w:sz w:val="22"/>
      <w:szCs w:val="20"/>
    </w:rPr>
  </w:style>
  <w:style w:type="paragraph" w:customStyle="1" w:styleId="xl245">
    <w:name w:val="xl245"/>
    <w:basedOn w:val="Normal"/>
    <w:pPr>
      <w:pBdr>
        <w:top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Calibri" w:hAnsi="Calibri" w:cs="Calibri"/>
      <w:b/>
      <w:bCs/>
      <w:sz w:val="22"/>
      <w:szCs w:val="20"/>
    </w:rPr>
  </w:style>
  <w:style w:type="paragraph" w:customStyle="1" w:styleId="xl246">
    <w:name w:val="xl246"/>
    <w:basedOn w:val="Normal"/>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Calibri" w:hAnsi="Calibri" w:cs="Calibri"/>
      <w:b/>
      <w:bCs/>
      <w:color w:val="000000"/>
      <w:sz w:val="22"/>
      <w:szCs w:val="20"/>
    </w:rPr>
  </w:style>
  <w:style w:type="paragraph" w:customStyle="1" w:styleId="xl247">
    <w:name w:val="xl247"/>
    <w:basedOn w:val="Normal"/>
    <w:pPr>
      <w:pBdr>
        <w:left w:val="single" w:sz="4" w:space="0" w:color="auto"/>
        <w:right w:val="single" w:sz="4" w:space="0" w:color="auto"/>
      </w:pBdr>
      <w:shd w:val="clear" w:color="000000" w:fill="CCFFCC"/>
      <w:spacing w:before="100" w:beforeAutospacing="1" w:after="100" w:afterAutospacing="1"/>
      <w:jc w:val="center"/>
      <w:textAlignment w:val="center"/>
    </w:pPr>
    <w:rPr>
      <w:rFonts w:ascii="Calibri" w:hAnsi="Calibri" w:cs="Calibri"/>
      <w:b/>
      <w:bCs/>
      <w:color w:val="000000"/>
      <w:sz w:val="22"/>
      <w:szCs w:val="20"/>
    </w:rPr>
  </w:style>
  <w:style w:type="paragraph" w:customStyle="1" w:styleId="xl248">
    <w:name w:val="xl248"/>
    <w:basedOn w:val="Normal"/>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Calibri" w:hAnsi="Calibri" w:cs="Calibri"/>
      <w:b/>
      <w:bCs/>
      <w:color w:val="000000"/>
      <w:sz w:val="22"/>
      <w:szCs w:val="20"/>
    </w:rPr>
  </w:style>
  <w:style w:type="paragraph" w:customStyle="1" w:styleId="xl249">
    <w:name w:val="xl249"/>
    <w:basedOn w:val="Normal"/>
    <w:pPr>
      <w:pBdr>
        <w:top w:val="single" w:sz="4" w:space="0" w:color="auto"/>
        <w:left w:val="single" w:sz="4" w:space="0" w:color="auto"/>
      </w:pBdr>
      <w:shd w:val="clear" w:color="000000" w:fill="CCFFCC"/>
      <w:spacing w:before="100" w:beforeAutospacing="1" w:after="100" w:afterAutospacing="1"/>
      <w:jc w:val="center"/>
      <w:textAlignment w:val="center"/>
    </w:pPr>
    <w:rPr>
      <w:rFonts w:ascii="Calibri" w:hAnsi="Calibri" w:cs="Calibri"/>
      <w:b/>
      <w:bCs/>
      <w:color w:val="000000"/>
      <w:sz w:val="22"/>
      <w:szCs w:val="20"/>
    </w:rPr>
  </w:style>
  <w:style w:type="paragraph" w:customStyle="1" w:styleId="xl250">
    <w:name w:val="xl250"/>
    <w:basedOn w:val="Normal"/>
    <w:pPr>
      <w:pBdr>
        <w:top w:val="single" w:sz="4" w:space="0" w:color="auto"/>
        <w:right w:val="single" w:sz="4" w:space="0" w:color="auto"/>
      </w:pBdr>
      <w:shd w:val="clear" w:color="000000" w:fill="CCFFCC"/>
      <w:spacing w:before="100" w:beforeAutospacing="1" w:after="100" w:afterAutospacing="1"/>
      <w:jc w:val="center"/>
      <w:textAlignment w:val="center"/>
    </w:pPr>
    <w:rPr>
      <w:rFonts w:ascii="Calibri" w:hAnsi="Calibri" w:cs="Calibri"/>
      <w:b/>
      <w:bCs/>
      <w:color w:val="000000"/>
      <w:sz w:val="22"/>
      <w:szCs w:val="20"/>
    </w:rPr>
  </w:style>
  <w:style w:type="paragraph" w:customStyle="1" w:styleId="xl251">
    <w:name w:val="xl251"/>
    <w:basedOn w:val="Normal"/>
    <w:pPr>
      <w:pBdr>
        <w:left w:val="single" w:sz="4" w:space="0" w:color="auto"/>
        <w:bottom w:val="single" w:sz="4" w:space="0" w:color="auto"/>
      </w:pBdr>
      <w:shd w:val="clear" w:color="000000" w:fill="CCFFCC"/>
      <w:spacing w:before="100" w:beforeAutospacing="1" w:after="100" w:afterAutospacing="1"/>
      <w:jc w:val="center"/>
      <w:textAlignment w:val="center"/>
    </w:pPr>
    <w:rPr>
      <w:rFonts w:ascii="Calibri" w:hAnsi="Calibri" w:cs="Calibri"/>
      <w:b/>
      <w:bCs/>
      <w:color w:val="000000"/>
      <w:sz w:val="22"/>
      <w:szCs w:val="20"/>
    </w:rPr>
  </w:style>
  <w:style w:type="paragraph" w:customStyle="1" w:styleId="xl252">
    <w:name w:val="xl252"/>
    <w:basedOn w:val="Normal"/>
    <w:pPr>
      <w:pBdr>
        <w:bottom w:val="single" w:sz="4" w:space="0" w:color="auto"/>
        <w:right w:val="single" w:sz="4" w:space="0" w:color="auto"/>
      </w:pBdr>
      <w:shd w:val="clear" w:color="000000" w:fill="CCFFCC"/>
      <w:spacing w:before="100" w:beforeAutospacing="1" w:after="100" w:afterAutospacing="1"/>
      <w:jc w:val="center"/>
      <w:textAlignment w:val="center"/>
    </w:pPr>
    <w:rPr>
      <w:rFonts w:ascii="Calibri" w:hAnsi="Calibri" w:cs="Calibri"/>
      <w:b/>
      <w:bCs/>
      <w:color w:val="000000"/>
      <w:sz w:val="22"/>
      <w:szCs w:val="20"/>
    </w:rPr>
  </w:style>
  <w:style w:type="paragraph" w:customStyle="1" w:styleId="xl253">
    <w:name w:val="xl253"/>
    <w:basedOn w:val="Normal"/>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Calibri" w:hAnsi="Calibri" w:cs="Calibri"/>
      <w:b/>
      <w:bCs/>
      <w:i/>
      <w:iCs/>
      <w:sz w:val="22"/>
      <w:szCs w:val="20"/>
    </w:rPr>
  </w:style>
  <w:style w:type="character" w:customStyle="1" w:styleId="link-size">
    <w:name w:val="link-size"/>
  </w:style>
  <w:style w:type="paragraph" w:styleId="PlainText">
    <w:name w:val="Plain Text"/>
    <w:basedOn w:val="Normal"/>
    <w:link w:val="PlainTextChar"/>
    <w:uiPriority w:val="99"/>
    <w:unhideWhenUsed/>
    <w:pPr>
      <w:spacing w:before="0" w:after="0"/>
      <w:jc w:val="left"/>
    </w:pPr>
    <w:rPr>
      <w:rFonts w:ascii="Calibri" w:eastAsia="Calibri" w:hAnsi="Calibri" w:cs="Consolas"/>
      <w:sz w:val="22"/>
      <w:szCs w:val="21"/>
    </w:rPr>
  </w:style>
  <w:style w:type="character" w:customStyle="1" w:styleId="PlainTextChar">
    <w:name w:val="Plain Text Char"/>
    <w:link w:val="PlainText"/>
    <w:uiPriority w:val="99"/>
    <w:rPr>
      <w:rFonts w:ascii="Calibri" w:eastAsia="Calibri" w:hAnsi="Calibri" w:cs="Consolas"/>
      <w:sz w:val="22"/>
      <w:szCs w:val="21"/>
      <w:shd w:val="clear" w:color="auto" w:fill="auto"/>
      <w:lang w:eastAsia="bg-BG"/>
    </w:rPr>
  </w:style>
  <w:style w:type="character" w:customStyle="1" w:styleId="HeaderChar">
    <w:name w:val="Header Char"/>
    <w:link w:val="Header"/>
    <w:uiPriority w:val="99"/>
    <w:rPr>
      <w:sz w:val="24"/>
      <w:szCs w:val="24"/>
      <w:lang w:eastAsia="bg-BG"/>
    </w:rPr>
  </w:style>
  <w:style w:type="character" w:customStyle="1" w:styleId="FooterChar">
    <w:name w:val="Footer Char"/>
    <w:link w:val="Footer"/>
    <w:uiPriority w:val="99"/>
    <w:rPr>
      <w:sz w:val="24"/>
      <w:szCs w:val="24"/>
      <w:lang w:eastAsia="bg-BG"/>
    </w:rPr>
  </w:style>
  <w:style w:type="character" w:customStyle="1" w:styleId="FootnoteTextChar">
    <w:name w:val="Footnote Text Char"/>
    <w:aliases w:val="-E Fußnotentext Char,Fußnotentext Ursprung Char,-E Fußnotentext1 Char,-E Fußnotentext2 Char,-E Fußnotentext3 Char,Fußnotentextf Char,RSK-FT Char,RSK-FT1 Char,RSK-FT2 Char,Schriftart: 9 pt Char,Schriftart: 10 pt Char,fn Char,Char Char"/>
    <w:link w:val="FootnoteText"/>
    <w:uiPriority w:val="99"/>
    <w:rPr>
      <w:lang w:eastAsia="bg-BG"/>
    </w:rPr>
  </w:style>
  <w:style w:type="character" w:customStyle="1" w:styleId="Heading1Char">
    <w:name w:val="Heading 1 Char"/>
    <w:link w:val="Heading1"/>
    <w:uiPriority w:val="9"/>
    <w:rPr>
      <w:b/>
      <w:bCs/>
      <w:smallCaps/>
      <w:sz w:val="24"/>
      <w:szCs w:val="32"/>
      <w:lang w:eastAsia="bg-BG"/>
    </w:rPr>
  </w:style>
  <w:style w:type="character" w:customStyle="1" w:styleId="Heading2Char">
    <w:name w:val="Heading 2 Char"/>
    <w:link w:val="Heading2"/>
    <w:uiPriority w:val="9"/>
    <w:rPr>
      <w:b/>
      <w:bCs/>
      <w:i/>
      <w:iCs/>
      <w:sz w:val="24"/>
      <w:szCs w:val="28"/>
      <w:lang w:eastAsia="bg-BG"/>
    </w:rPr>
  </w:style>
  <w:style w:type="character" w:customStyle="1" w:styleId="Heading3Char">
    <w:name w:val="Heading 3 Char"/>
    <w:link w:val="Heading3"/>
    <w:uiPriority w:val="9"/>
    <w:rPr>
      <w:bCs/>
      <w:i/>
      <w:sz w:val="24"/>
      <w:szCs w:val="26"/>
      <w:lang w:eastAsia="bg-BG"/>
    </w:rPr>
  </w:style>
  <w:style w:type="character" w:customStyle="1" w:styleId="Heading4Char">
    <w:name w:val="Heading 4 Char"/>
    <w:link w:val="Heading4"/>
    <w:uiPriority w:val="9"/>
    <w:rPr>
      <w:bCs/>
      <w:sz w:val="24"/>
      <w:szCs w:val="28"/>
      <w:lang w:eastAsia="bg-BG"/>
    </w:rPr>
  </w:style>
  <w:style w:type="character" w:customStyle="1" w:styleId="FootnoteTextChar1">
    <w:name w:val="Footnote Text Char1"/>
    <w:aliases w:val="-E Fußnotentext Char1,Fußnotentext Ursprung Char1,-E Fußnotentext1 Char1,-E Fußnotentext2 Char1,-E Fußnotentext3 Char1"/>
    <w:uiPriority w:val="99"/>
    <w:locked/>
    <w:rPr>
      <w:rFonts w:cs="Times New Roman"/>
      <w:sz w:val="24"/>
      <w:lang w:val="bg-BG" w:eastAsia="bg-BG" w:bidi="bg-BG"/>
    </w:rPr>
  </w:style>
  <w:style w:type="character" w:styleId="Emphasis">
    <w:name w:val="Emphasis"/>
    <w:uiPriority w:val="20"/>
    <w:qFormat/>
    <w:rPr>
      <w:b/>
      <w:bCs/>
      <w:i w:val="0"/>
      <w:iCs w:val="0"/>
      <w:shd w:val="clear" w:color="auto" w:fill="auto"/>
    </w:rPr>
  </w:style>
  <w:style w:type="character" w:customStyle="1" w:styleId="st1">
    <w:name w:val="st1"/>
  </w:style>
  <w:style w:type="character" w:customStyle="1" w:styleId="st">
    <w:name w:val="st"/>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pPr>
      <w:spacing w:before="0" w:after="160" w:line="240" w:lineRule="exact"/>
      <w:jc w:val="left"/>
    </w:pPr>
    <w:rPr>
      <w:sz w:val="20"/>
      <w:szCs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caption" w:semiHidden="1" w:uiPriority="35" w:unhideWhenUsed="1" w:qFormat="1"/>
    <w:lsdException w:name="table of figures" w:uiPriority="99"/>
    <w:lsdException w:name="footnote reference" w:uiPriority="99" w:qFormat="1"/>
    <w:lsdException w:name="annotation reference" w:uiPriority="99"/>
    <w:lsdException w:name="page number" w:uiPriority="99"/>
    <w:lsdException w:name="endnote reference" w:uiPriority="99"/>
    <w:lsdException w:name="endnote text" w:uiPriority="99"/>
    <w:lsdException w:name="List Bullet" w:uiPriority="99"/>
    <w:lsdException w:name="List Number" w:uiPriority="99"/>
    <w:lsdException w:name="List Bullet 2" w:uiPriority="99"/>
    <w:lsdException w:name="List Bullet 3" w:uiPriority="99"/>
    <w:lsdException w:name="List Bullet 4" w:uiPriority="99"/>
    <w:lsdException w:name="List Number 2" w:uiPriority="99"/>
    <w:lsdException w:name="List Number 3" w:uiPriority="99"/>
    <w:lsdException w:name="List Number 4" w:uiPriority="99"/>
    <w:lsdException w:name="Title" w:qFormat="1"/>
    <w:lsdException w:name="Default Paragraph Font" w:uiPriority="1"/>
    <w:lsdException w:name="Body Text" w:uiPriority="99"/>
    <w:lsdException w:name="Subtitle" w:qFormat="1"/>
    <w:lsdException w:name="Body Text 3" w:uiPriority="99"/>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jc w:val="both"/>
    </w:pPr>
    <w:rPr>
      <w:sz w:val="24"/>
      <w:szCs w:val="24"/>
    </w:rPr>
  </w:style>
  <w:style w:type="paragraph" w:styleId="Heading1">
    <w:name w:val="heading 1"/>
    <w:basedOn w:val="Normal"/>
    <w:next w:val="Normal"/>
    <w:link w:val="Heading1Char"/>
    <w:uiPriority w:val="9"/>
    <w:qFormat/>
    <w:pPr>
      <w:keepNext/>
      <w:numPr>
        <w:numId w:val="34"/>
      </w:numPr>
      <w:spacing w:before="360"/>
      <w:outlineLvl w:val="0"/>
    </w:pPr>
    <w:rPr>
      <w:b/>
      <w:bCs/>
      <w:smallCaps/>
      <w:szCs w:val="32"/>
    </w:rPr>
  </w:style>
  <w:style w:type="paragraph" w:styleId="Heading2">
    <w:name w:val="heading 2"/>
    <w:basedOn w:val="Normal"/>
    <w:next w:val="Normal"/>
    <w:link w:val="Heading2Char"/>
    <w:uiPriority w:val="9"/>
    <w:qFormat/>
    <w:pPr>
      <w:keepNext/>
      <w:outlineLvl w:val="1"/>
    </w:pPr>
    <w:rPr>
      <w:b/>
      <w:bCs/>
      <w:i/>
      <w:iCs/>
      <w:szCs w:val="28"/>
    </w:rPr>
  </w:style>
  <w:style w:type="paragraph" w:styleId="Heading3">
    <w:name w:val="heading 3"/>
    <w:basedOn w:val="Normal"/>
    <w:next w:val="Normal"/>
    <w:link w:val="Heading3Char"/>
    <w:uiPriority w:val="9"/>
    <w:qFormat/>
    <w:pPr>
      <w:keepNext/>
      <w:numPr>
        <w:ilvl w:val="2"/>
        <w:numId w:val="34"/>
      </w:numPr>
      <w:outlineLvl w:val="2"/>
    </w:pPr>
    <w:rPr>
      <w:bCs/>
      <w:i/>
      <w:szCs w:val="26"/>
    </w:rPr>
  </w:style>
  <w:style w:type="paragraph" w:styleId="Heading4">
    <w:name w:val="heading 4"/>
    <w:basedOn w:val="Normal"/>
    <w:next w:val="Normal"/>
    <w:link w:val="Heading4Char"/>
    <w:uiPriority w:val="9"/>
    <w:qFormat/>
    <w:pPr>
      <w:keepNext/>
      <w:numPr>
        <w:ilvl w:val="3"/>
        <w:numId w:val="34"/>
      </w:numPr>
      <w:outlineLvl w:val="3"/>
    </w:pPr>
    <w:rPr>
      <w:bCs/>
      <w:szCs w:val="28"/>
    </w:rPr>
  </w:style>
  <w:style w:type="paragraph" w:styleId="Heading5">
    <w:name w:val="heading 5"/>
    <w:basedOn w:val="Normal"/>
    <w:next w:val="Normal"/>
    <w:link w:val="Heading5Char"/>
    <w:uiPriority w:val="9"/>
    <w:qFormat/>
    <w:pPr>
      <w:numPr>
        <w:ilvl w:val="4"/>
        <w:numId w:val="31"/>
      </w:numPr>
      <w:tabs>
        <w:tab w:val="clear" w:pos="1728"/>
        <w:tab w:val="num" w:pos="1368"/>
      </w:tabs>
      <w:spacing w:before="240" w:after="60"/>
      <w:ind w:left="1368"/>
      <w:jc w:val="left"/>
      <w:outlineLvl w:val="4"/>
    </w:pPr>
    <w:rPr>
      <w:b/>
      <w:bCs/>
      <w:i/>
      <w:iCs/>
      <w:sz w:val="26"/>
      <w:szCs w:val="26"/>
    </w:rPr>
  </w:style>
  <w:style w:type="paragraph" w:styleId="Heading6">
    <w:name w:val="heading 6"/>
    <w:basedOn w:val="Normal"/>
    <w:next w:val="Normal"/>
    <w:link w:val="Heading6Char"/>
    <w:uiPriority w:val="9"/>
    <w:qFormat/>
    <w:pPr>
      <w:numPr>
        <w:ilvl w:val="5"/>
        <w:numId w:val="31"/>
      </w:numPr>
      <w:tabs>
        <w:tab w:val="clear" w:pos="1872"/>
        <w:tab w:val="num" w:pos="1512"/>
      </w:tabs>
      <w:spacing w:before="240" w:after="60"/>
      <w:ind w:left="1512"/>
      <w:jc w:val="left"/>
      <w:outlineLvl w:val="5"/>
    </w:pPr>
    <w:rPr>
      <w:b/>
      <w:bCs/>
      <w:sz w:val="22"/>
      <w:szCs w:val="20"/>
    </w:rPr>
  </w:style>
  <w:style w:type="paragraph" w:styleId="Heading7">
    <w:name w:val="heading 7"/>
    <w:basedOn w:val="Normal"/>
    <w:next w:val="Normal"/>
    <w:link w:val="Heading7Char"/>
    <w:uiPriority w:val="9"/>
    <w:qFormat/>
    <w:pPr>
      <w:keepNext/>
      <w:spacing w:before="0" w:after="0"/>
      <w:outlineLvl w:val="6"/>
    </w:pPr>
    <w:rPr>
      <w:b/>
      <w:bCs/>
      <w:sz w:val="18"/>
      <w:szCs w:val="20"/>
    </w:rPr>
  </w:style>
  <w:style w:type="paragraph" w:styleId="Heading8">
    <w:name w:val="heading 8"/>
    <w:basedOn w:val="Normal"/>
    <w:next w:val="Normal"/>
    <w:link w:val="Heading8Char"/>
    <w:uiPriority w:val="9"/>
    <w:qFormat/>
    <w:pPr>
      <w:tabs>
        <w:tab w:val="num" w:pos="2700"/>
      </w:tabs>
      <w:spacing w:before="240" w:after="60"/>
      <w:ind w:left="2700" w:hanging="1440"/>
      <w:jc w:val="left"/>
      <w:outlineLvl w:val="7"/>
    </w:pPr>
    <w:rPr>
      <w:rFonts w:ascii="Palatino Linotype" w:hAnsi="Palatino Linotype"/>
      <w:i/>
      <w:iCs/>
      <w:sz w:val="22"/>
      <w:szCs w:val="20"/>
    </w:rPr>
  </w:style>
  <w:style w:type="paragraph" w:styleId="Heading9">
    <w:name w:val="heading 9"/>
    <w:basedOn w:val="Normal"/>
    <w:next w:val="Normal"/>
    <w:link w:val="Heading9Char"/>
    <w:uiPriority w:val="9"/>
    <w:qFormat/>
    <w:pPr>
      <w:tabs>
        <w:tab w:val="num" w:pos="2844"/>
      </w:tabs>
      <w:spacing w:before="240" w:after="60"/>
      <w:ind w:left="2844" w:hanging="1584"/>
      <w:jc w:val="left"/>
      <w:outlineLvl w:val="8"/>
    </w:pPr>
    <w:rPr>
      <w:rFonts w:ascii="Arial" w:hAnsi="Arial" w:cs="Arial"/>
      <w:sz w:val="2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aliases w:val="number,Footnote text,Footnote reference number,Footnote symbol,note TESI,-E Fußnotenzeichen,SUPERS,stylish,ftref,Footnote Reference Superscript,Odwołanie przypisu,Times 10 Point,Exposant 3 Point,Voetnootverwijzing"/>
    <w:link w:val="SUPERSCharCharCharCharCharCharCharChar"/>
    <w:uiPriority w:val="99"/>
    <w:qFormat/>
    <w:rPr>
      <w:shd w:val="clear" w:color="auto" w:fill="auto"/>
      <w:vertAlign w:val="superscript"/>
    </w:rPr>
  </w:style>
  <w:style w:type="paragraph" w:styleId="FootnoteText">
    <w:name w:val="footnote text"/>
    <w:aliases w:val="-E Fußnotentext,Fußnotentext Ursprung,-E Fußnotentext1,-E Fußnotentext2,-E Fußnotentext3,Fußnotentextf,RSK-FT,RSK-FT1,RSK-FT2,Schriftart: 9 pt,Schriftart: 10 pt,Schriftart: 8 pt,WB-Fußnotentext,fn,Footnotes,Footnote ak,Char,Fußnote"/>
    <w:basedOn w:val="Normal"/>
    <w:link w:val="FootnoteTextChar"/>
    <w:uiPriority w:val="99"/>
    <w:qFormat/>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link w:val="HeaderChar"/>
    <w:uiPriority w:val="99"/>
    <w:pPr>
      <w:tabs>
        <w:tab w:val="center" w:pos="4535"/>
        <w:tab w:val="right" w:pos="9071"/>
      </w:tabs>
    </w:pPr>
  </w:style>
  <w:style w:type="paragraph" w:customStyle="1" w:styleId="HeaderLandscape">
    <w:name w:val="HeaderLandscape"/>
    <w:basedOn w:val="Normal"/>
    <w:pPr>
      <w:tabs>
        <w:tab w:val="center" w:pos="7285"/>
        <w:tab w:val="right" w:pos="14003"/>
      </w:tabs>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7"/>
      </w:numPr>
    </w:pPr>
  </w:style>
  <w:style w:type="paragraph" w:customStyle="1" w:styleId="NumPar2">
    <w:name w:val="NumPar 2"/>
    <w:basedOn w:val="Normal"/>
    <w:next w:val="Normal"/>
    <w:pPr>
      <w:numPr>
        <w:ilvl w:val="1"/>
        <w:numId w:val="7"/>
      </w:numPr>
    </w:pPr>
  </w:style>
  <w:style w:type="paragraph" w:customStyle="1" w:styleId="NumPar3">
    <w:name w:val="NumPar 3"/>
    <w:basedOn w:val="Normal"/>
    <w:next w:val="Normal"/>
    <w:pPr>
      <w:numPr>
        <w:ilvl w:val="2"/>
        <w:numId w:val="7"/>
      </w:numPr>
    </w:pPr>
  </w:style>
  <w:style w:type="paragraph" w:customStyle="1" w:styleId="NumPar4">
    <w:name w:val="NumPar 4"/>
    <w:basedOn w:val="Normal"/>
    <w:next w:val="Normal"/>
    <w:pPr>
      <w:numPr>
        <w:ilvl w:val="3"/>
        <w:numId w:val="7"/>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8"/>
      </w:numPr>
    </w:pPr>
  </w:style>
  <w:style w:type="paragraph" w:customStyle="1" w:styleId="Point0number">
    <w:name w:val="Point 0 (number)"/>
    <w:basedOn w:val="Normal"/>
    <w:pPr>
      <w:numPr>
        <w:numId w:val="8"/>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8"/>
      </w:numPr>
    </w:pPr>
  </w:style>
  <w:style w:type="paragraph" w:customStyle="1" w:styleId="Point1number">
    <w:name w:val="Point 1 (number)"/>
    <w:basedOn w:val="Normal"/>
    <w:pPr>
      <w:numPr>
        <w:ilvl w:val="2"/>
        <w:numId w:val="8"/>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8"/>
      </w:numPr>
    </w:pPr>
  </w:style>
  <w:style w:type="paragraph" w:customStyle="1" w:styleId="Point2number">
    <w:name w:val="Point 2 (number)"/>
    <w:basedOn w:val="Normal"/>
    <w:pPr>
      <w:numPr>
        <w:ilvl w:val="4"/>
        <w:numId w:val="8"/>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8"/>
      </w:numPr>
    </w:pPr>
  </w:style>
  <w:style w:type="paragraph" w:customStyle="1" w:styleId="Point3number">
    <w:name w:val="Point 3 (number)"/>
    <w:basedOn w:val="Normal"/>
    <w:pPr>
      <w:numPr>
        <w:ilvl w:val="6"/>
        <w:numId w:val="8"/>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qFormat/>
    <w:pPr>
      <w:tabs>
        <w:tab w:val="right" w:leader="dot" w:pos="9071"/>
      </w:tabs>
      <w:spacing w:before="60"/>
      <w:ind w:left="850" w:hanging="850"/>
      <w:jc w:val="left"/>
    </w:pPr>
  </w:style>
  <w:style w:type="paragraph" w:styleId="TOC2">
    <w:name w:val="toc 2"/>
    <w:basedOn w:val="Normal"/>
    <w:next w:val="Normal"/>
    <w:uiPriority w:val="39"/>
    <w:qFormat/>
    <w:pPr>
      <w:tabs>
        <w:tab w:val="right" w:leader="dot" w:pos="9071"/>
      </w:tabs>
      <w:spacing w:before="60"/>
      <w:ind w:left="850" w:hanging="850"/>
      <w:jc w:val="left"/>
    </w:pPr>
  </w:style>
  <w:style w:type="paragraph" w:styleId="TOC3">
    <w:name w:val="toc 3"/>
    <w:basedOn w:val="Normal"/>
    <w:next w:val="Normal"/>
    <w:uiPriority w:val="39"/>
    <w:qFormat/>
    <w:pPr>
      <w:tabs>
        <w:tab w:val="right" w:leader="dot" w:pos="9071"/>
      </w:tabs>
      <w:spacing w:before="60"/>
      <w:ind w:left="850" w:hanging="850"/>
      <w:jc w:val="left"/>
    </w:pPr>
  </w:style>
  <w:style w:type="paragraph" w:styleId="TOC4">
    <w:name w:val="toc 4"/>
    <w:basedOn w:val="Normal"/>
    <w:next w:val="Normal"/>
    <w:uiPriority w:val="39"/>
    <w:semiHidden/>
    <w:pPr>
      <w:tabs>
        <w:tab w:val="right" w:leader="dot" w:pos="9071"/>
      </w:tabs>
      <w:spacing w:before="60"/>
      <w:ind w:left="850" w:hanging="850"/>
      <w:jc w:val="left"/>
    </w:pPr>
  </w:style>
  <w:style w:type="paragraph" w:styleId="TOC5">
    <w:name w:val="toc 5"/>
    <w:basedOn w:val="Normal"/>
    <w:next w:val="Normal"/>
    <w:uiPriority w:val="39"/>
    <w:semiHidden/>
    <w:pPr>
      <w:tabs>
        <w:tab w:val="right" w:leader="dot" w:pos="9071"/>
      </w:tabs>
      <w:spacing w:before="300"/>
      <w:jc w:val="left"/>
    </w:pPr>
  </w:style>
  <w:style w:type="paragraph" w:styleId="TOC6">
    <w:name w:val="toc 6"/>
    <w:basedOn w:val="Normal"/>
    <w:next w:val="Normal"/>
    <w:uiPriority w:val="39"/>
    <w:semiHidden/>
    <w:pPr>
      <w:tabs>
        <w:tab w:val="right" w:leader="dot" w:pos="9071"/>
      </w:tabs>
      <w:spacing w:before="240"/>
      <w:jc w:val="left"/>
    </w:pPr>
  </w:style>
  <w:style w:type="paragraph" w:styleId="TOC7">
    <w:name w:val="toc 7"/>
    <w:basedOn w:val="Normal"/>
    <w:next w:val="Normal"/>
    <w:uiPriority w:val="39"/>
    <w:semiHidden/>
    <w:pPr>
      <w:tabs>
        <w:tab w:val="right" w:leader="dot" w:pos="9071"/>
      </w:tabs>
      <w:spacing w:before="180"/>
      <w:jc w:val="left"/>
    </w:pPr>
  </w:style>
  <w:style w:type="paragraph" w:styleId="TOC8">
    <w:name w:val="toc 8"/>
    <w:basedOn w:val="Normal"/>
    <w:next w:val="Normal"/>
    <w:uiPriority w:val="39"/>
    <w:semiHidden/>
    <w:pPr>
      <w:tabs>
        <w:tab w:val="right" w:leader="dot" w:pos="9071"/>
      </w:tabs>
      <w:jc w:val="left"/>
    </w:pPr>
  </w:style>
  <w:style w:type="paragraph" w:styleId="TOC9">
    <w:name w:val="toc 9"/>
    <w:basedOn w:val="Normal"/>
    <w:next w:val="Normal"/>
    <w:uiPriority w:val="39"/>
    <w:semiHidden/>
    <w:pPr>
      <w:tabs>
        <w:tab w:val="right" w:leader="dot" w:pos="9071"/>
      </w:tabs>
    </w:pPr>
  </w:style>
  <w:style w:type="paragraph" w:styleId="TOCHeading">
    <w:name w:val="TOC Heading"/>
    <w:basedOn w:val="Normal"/>
    <w:next w:val="Normal"/>
    <w:uiPriority w:val="3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character" w:customStyle="1" w:styleId="Heading5Char">
    <w:name w:val="Heading 5 Char"/>
    <w:link w:val="Heading5"/>
    <w:uiPriority w:val="9"/>
    <w:rPr>
      <w:b/>
      <w:bCs/>
      <w:i/>
      <w:iCs/>
      <w:sz w:val="26"/>
      <w:szCs w:val="26"/>
    </w:rPr>
  </w:style>
  <w:style w:type="character" w:customStyle="1" w:styleId="Heading6Char">
    <w:name w:val="Heading 6 Char"/>
    <w:link w:val="Heading6"/>
    <w:uiPriority w:val="9"/>
    <w:rPr>
      <w:b/>
      <w:bCs/>
      <w:sz w:val="22"/>
    </w:rPr>
  </w:style>
  <w:style w:type="character" w:customStyle="1" w:styleId="Heading7Char">
    <w:name w:val="Heading 7 Char"/>
    <w:link w:val="Heading7"/>
    <w:uiPriority w:val="9"/>
    <w:rPr>
      <w:b/>
      <w:bCs/>
      <w:sz w:val="18"/>
      <w:shd w:val="clear" w:color="auto" w:fill="auto"/>
      <w:lang w:val="bg-BG" w:eastAsia="bg-BG"/>
    </w:rPr>
  </w:style>
  <w:style w:type="character" w:customStyle="1" w:styleId="Heading8Char">
    <w:name w:val="Heading 8 Char"/>
    <w:link w:val="Heading8"/>
    <w:uiPriority w:val="9"/>
    <w:rPr>
      <w:rFonts w:ascii="Palatino Linotype" w:hAnsi="Palatino Linotype"/>
      <w:i/>
      <w:iCs/>
      <w:sz w:val="22"/>
      <w:shd w:val="clear" w:color="auto" w:fill="auto"/>
      <w:lang w:eastAsia="bg-BG"/>
    </w:rPr>
  </w:style>
  <w:style w:type="character" w:customStyle="1" w:styleId="Heading9Char">
    <w:name w:val="Heading 9 Char"/>
    <w:link w:val="Heading9"/>
    <w:uiPriority w:val="9"/>
    <w:rPr>
      <w:rFonts w:ascii="Arial" w:hAnsi="Arial" w:cs="Arial"/>
      <w:sz w:val="22"/>
      <w:shd w:val="clear" w:color="auto" w:fill="auto"/>
      <w:lang w:eastAsia="bg-BG"/>
    </w:rPr>
  </w:style>
  <w:style w:type="paragraph" w:styleId="ListBullet">
    <w:name w:val="List Bullet"/>
    <w:basedOn w:val="Normal"/>
    <w:uiPriority w:val="99"/>
    <w:pPr>
      <w:numPr>
        <w:numId w:val="14"/>
      </w:numPr>
    </w:pPr>
    <w:rPr>
      <w:szCs w:val="20"/>
    </w:rPr>
  </w:style>
  <w:style w:type="paragraph" w:styleId="ListBullet2">
    <w:name w:val="List Bullet 2"/>
    <w:basedOn w:val="Normal"/>
    <w:uiPriority w:val="99"/>
    <w:pPr>
      <w:numPr>
        <w:numId w:val="15"/>
      </w:numPr>
    </w:pPr>
    <w:rPr>
      <w:szCs w:val="20"/>
    </w:rPr>
  </w:style>
  <w:style w:type="paragraph" w:styleId="ListBullet3">
    <w:name w:val="List Bullet 3"/>
    <w:basedOn w:val="Normal"/>
    <w:uiPriority w:val="99"/>
    <w:pPr>
      <w:numPr>
        <w:numId w:val="16"/>
      </w:numPr>
    </w:pPr>
    <w:rPr>
      <w:szCs w:val="20"/>
    </w:rPr>
  </w:style>
  <w:style w:type="paragraph" w:styleId="ListBullet4">
    <w:name w:val="List Bullet 4"/>
    <w:basedOn w:val="Normal"/>
    <w:uiPriority w:val="99"/>
    <w:pPr>
      <w:numPr>
        <w:numId w:val="17"/>
      </w:numPr>
    </w:pPr>
    <w:rPr>
      <w:szCs w:val="20"/>
    </w:rPr>
  </w:style>
  <w:style w:type="paragraph" w:styleId="ListNumber">
    <w:name w:val="List Number"/>
    <w:basedOn w:val="Normal"/>
    <w:uiPriority w:val="99"/>
    <w:pPr>
      <w:numPr>
        <w:numId w:val="29"/>
      </w:numPr>
    </w:pPr>
    <w:rPr>
      <w:szCs w:val="20"/>
    </w:rPr>
  </w:style>
  <w:style w:type="paragraph" w:styleId="ListNumber2">
    <w:name w:val="List Number 2"/>
    <w:basedOn w:val="Normal"/>
    <w:uiPriority w:val="99"/>
    <w:pPr>
      <w:numPr>
        <w:numId w:val="28"/>
      </w:numPr>
    </w:pPr>
    <w:rPr>
      <w:szCs w:val="20"/>
    </w:rPr>
  </w:style>
  <w:style w:type="paragraph" w:styleId="ListNumber3">
    <w:name w:val="List Number 3"/>
    <w:basedOn w:val="Normal"/>
    <w:uiPriority w:val="99"/>
    <w:pPr>
      <w:numPr>
        <w:numId w:val="27"/>
      </w:numPr>
    </w:pPr>
    <w:rPr>
      <w:szCs w:val="20"/>
    </w:rPr>
  </w:style>
  <w:style w:type="paragraph" w:styleId="ListNumber4">
    <w:name w:val="List Number 4"/>
    <w:basedOn w:val="Normal"/>
    <w:uiPriority w:val="99"/>
    <w:pPr>
      <w:numPr>
        <w:numId w:val="26"/>
      </w:numPr>
    </w:pPr>
    <w:rPr>
      <w:szCs w:val="20"/>
    </w:rPr>
  </w:style>
  <w:style w:type="paragraph" w:customStyle="1" w:styleId="ListBullet1">
    <w:name w:val="List Bullet 1"/>
    <w:basedOn w:val="Normal"/>
    <w:pPr>
      <w:numPr>
        <w:numId w:val="18"/>
      </w:numPr>
    </w:pPr>
    <w:rPr>
      <w:szCs w:val="20"/>
    </w:rPr>
  </w:style>
  <w:style w:type="paragraph" w:customStyle="1" w:styleId="ListDash">
    <w:name w:val="List Dash"/>
    <w:basedOn w:val="Normal"/>
    <w:pPr>
      <w:numPr>
        <w:numId w:val="19"/>
      </w:numPr>
    </w:pPr>
    <w:rPr>
      <w:szCs w:val="20"/>
    </w:rPr>
  </w:style>
  <w:style w:type="paragraph" w:customStyle="1" w:styleId="ListDash1">
    <w:name w:val="List Dash 1"/>
    <w:basedOn w:val="Normal"/>
    <w:pPr>
      <w:numPr>
        <w:numId w:val="20"/>
      </w:numPr>
    </w:pPr>
    <w:rPr>
      <w:szCs w:val="20"/>
    </w:rPr>
  </w:style>
  <w:style w:type="paragraph" w:customStyle="1" w:styleId="ListDash2">
    <w:name w:val="List Dash 2"/>
    <w:basedOn w:val="Normal"/>
    <w:pPr>
      <w:numPr>
        <w:numId w:val="21"/>
      </w:numPr>
    </w:pPr>
    <w:rPr>
      <w:szCs w:val="20"/>
    </w:rPr>
  </w:style>
  <w:style w:type="paragraph" w:customStyle="1" w:styleId="ListDash3">
    <w:name w:val="List Dash 3"/>
    <w:basedOn w:val="Normal"/>
    <w:pPr>
      <w:numPr>
        <w:numId w:val="22"/>
      </w:numPr>
    </w:pPr>
    <w:rPr>
      <w:szCs w:val="20"/>
    </w:rPr>
  </w:style>
  <w:style w:type="paragraph" w:customStyle="1" w:styleId="ListDash4">
    <w:name w:val="List Dash 4"/>
    <w:basedOn w:val="Normal"/>
    <w:pPr>
      <w:numPr>
        <w:numId w:val="23"/>
      </w:numPr>
    </w:pPr>
    <w:rPr>
      <w:szCs w:val="20"/>
    </w:rPr>
  </w:style>
  <w:style w:type="paragraph" w:customStyle="1" w:styleId="ListNumber1">
    <w:name w:val="List Number 1"/>
    <w:basedOn w:val="Text1"/>
    <w:pPr>
      <w:numPr>
        <w:numId w:val="24"/>
      </w:numPr>
    </w:pPr>
    <w:rPr>
      <w:szCs w:val="20"/>
    </w:rPr>
  </w:style>
  <w:style w:type="paragraph" w:customStyle="1" w:styleId="ListNumberLevel2">
    <w:name w:val="List Number (Level 2)"/>
    <w:basedOn w:val="Normal"/>
    <w:pPr>
      <w:numPr>
        <w:ilvl w:val="1"/>
        <w:numId w:val="29"/>
      </w:numPr>
    </w:pPr>
    <w:rPr>
      <w:szCs w:val="20"/>
    </w:rPr>
  </w:style>
  <w:style w:type="paragraph" w:customStyle="1" w:styleId="ListNumber1Level2">
    <w:name w:val="List Number 1 (Level 2)"/>
    <w:basedOn w:val="Text1"/>
    <w:pPr>
      <w:numPr>
        <w:ilvl w:val="1"/>
        <w:numId w:val="24"/>
      </w:numPr>
    </w:pPr>
    <w:rPr>
      <w:szCs w:val="20"/>
    </w:rPr>
  </w:style>
  <w:style w:type="paragraph" w:customStyle="1" w:styleId="ListNumber2Level2">
    <w:name w:val="List Number 2 (Level 2)"/>
    <w:basedOn w:val="Text2"/>
    <w:pPr>
      <w:numPr>
        <w:ilvl w:val="1"/>
        <w:numId w:val="28"/>
      </w:numPr>
    </w:pPr>
    <w:rPr>
      <w:szCs w:val="20"/>
    </w:rPr>
  </w:style>
  <w:style w:type="paragraph" w:customStyle="1" w:styleId="ListNumber3Level2">
    <w:name w:val="List Number 3 (Level 2)"/>
    <w:basedOn w:val="Text3"/>
    <w:pPr>
      <w:numPr>
        <w:ilvl w:val="1"/>
        <w:numId w:val="27"/>
      </w:numPr>
    </w:pPr>
    <w:rPr>
      <w:szCs w:val="20"/>
    </w:rPr>
  </w:style>
  <w:style w:type="paragraph" w:customStyle="1" w:styleId="ListNumber4Level2">
    <w:name w:val="List Number 4 (Level 2)"/>
    <w:basedOn w:val="Text4"/>
    <w:pPr>
      <w:numPr>
        <w:ilvl w:val="1"/>
        <w:numId w:val="26"/>
      </w:numPr>
    </w:pPr>
    <w:rPr>
      <w:szCs w:val="20"/>
    </w:rPr>
  </w:style>
  <w:style w:type="paragraph" w:customStyle="1" w:styleId="ListNumberLevel3">
    <w:name w:val="List Number (Level 3)"/>
    <w:basedOn w:val="Normal"/>
    <w:pPr>
      <w:numPr>
        <w:ilvl w:val="2"/>
        <w:numId w:val="29"/>
      </w:numPr>
    </w:pPr>
    <w:rPr>
      <w:szCs w:val="20"/>
    </w:rPr>
  </w:style>
  <w:style w:type="paragraph" w:customStyle="1" w:styleId="ListNumber1Level3">
    <w:name w:val="List Number 1 (Level 3)"/>
    <w:basedOn w:val="Text1"/>
    <w:pPr>
      <w:numPr>
        <w:ilvl w:val="2"/>
        <w:numId w:val="24"/>
      </w:numPr>
    </w:pPr>
    <w:rPr>
      <w:szCs w:val="20"/>
    </w:rPr>
  </w:style>
  <w:style w:type="paragraph" w:customStyle="1" w:styleId="ListNumber2Level3">
    <w:name w:val="List Number 2 (Level 3)"/>
    <w:basedOn w:val="Text2"/>
    <w:pPr>
      <w:numPr>
        <w:ilvl w:val="2"/>
        <w:numId w:val="28"/>
      </w:numPr>
    </w:pPr>
    <w:rPr>
      <w:szCs w:val="20"/>
    </w:rPr>
  </w:style>
  <w:style w:type="paragraph" w:customStyle="1" w:styleId="ListNumber3Level3">
    <w:name w:val="List Number 3 (Level 3)"/>
    <w:basedOn w:val="Text3"/>
    <w:pPr>
      <w:numPr>
        <w:ilvl w:val="2"/>
        <w:numId w:val="27"/>
      </w:numPr>
    </w:pPr>
    <w:rPr>
      <w:szCs w:val="20"/>
    </w:rPr>
  </w:style>
  <w:style w:type="paragraph" w:customStyle="1" w:styleId="ListNumber4Level3">
    <w:name w:val="List Number 4 (Level 3)"/>
    <w:basedOn w:val="Text4"/>
    <w:pPr>
      <w:numPr>
        <w:ilvl w:val="2"/>
        <w:numId w:val="26"/>
      </w:numPr>
    </w:pPr>
    <w:rPr>
      <w:szCs w:val="20"/>
    </w:rPr>
  </w:style>
  <w:style w:type="paragraph" w:customStyle="1" w:styleId="ListNumberLevel4">
    <w:name w:val="List Number (Level 4)"/>
    <w:basedOn w:val="Normal"/>
    <w:pPr>
      <w:numPr>
        <w:ilvl w:val="3"/>
        <w:numId w:val="29"/>
      </w:numPr>
    </w:pPr>
    <w:rPr>
      <w:szCs w:val="20"/>
    </w:rPr>
  </w:style>
  <w:style w:type="paragraph" w:customStyle="1" w:styleId="ListNumber1Level4">
    <w:name w:val="List Number 1 (Level 4)"/>
    <w:basedOn w:val="Text1"/>
    <w:pPr>
      <w:numPr>
        <w:ilvl w:val="3"/>
        <w:numId w:val="24"/>
      </w:numPr>
    </w:pPr>
    <w:rPr>
      <w:szCs w:val="20"/>
    </w:rPr>
  </w:style>
  <w:style w:type="paragraph" w:customStyle="1" w:styleId="ListNumber2Level4">
    <w:name w:val="List Number 2 (Level 4)"/>
    <w:basedOn w:val="Text2"/>
    <w:pPr>
      <w:numPr>
        <w:ilvl w:val="3"/>
        <w:numId w:val="28"/>
      </w:numPr>
    </w:pPr>
    <w:rPr>
      <w:szCs w:val="20"/>
    </w:rPr>
  </w:style>
  <w:style w:type="paragraph" w:customStyle="1" w:styleId="ListNumber3Level4">
    <w:name w:val="List Number 3 (Level 4)"/>
    <w:basedOn w:val="Text3"/>
    <w:pPr>
      <w:numPr>
        <w:ilvl w:val="3"/>
        <w:numId w:val="27"/>
      </w:numPr>
    </w:pPr>
    <w:rPr>
      <w:szCs w:val="20"/>
    </w:rPr>
  </w:style>
  <w:style w:type="paragraph" w:customStyle="1" w:styleId="ListNumber4Level4">
    <w:name w:val="List Number 4 (Level 4)"/>
    <w:basedOn w:val="Text4"/>
    <w:pPr>
      <w:numPr>
        <w:ilvl w:val="3"/>
        <w:numId w:val="26"/>
      </w:numPr>
    </w:pPr>
    <w:rPr>
      <w:szCs w:val="20"/>
    </w:rPr>
  </w:style>
  <w:style w:type="paragraph" w:customStyle="1" w:styleId="Annexetitreacte">
    <w:name w:val="Annexe titre (acte)"/>
    <w:basedOn w:val="Normal"/>
    <w:next w:val="Normal"/>
    <w:pPr>
      <w:jc w:val="center"/>
    </w:pPr>
    <w:rPr>
      <w:b/>
      <w:szCs w:val="20"/>
      <w:u w:val="single"/>
    </w:rPr>
  </w:style>
  <w:style w:type="paragraph" w:customStyle="1" w:styleId="Annexetitreexposglobal">
    <w:name w:val="Annexe titre (exposé global)"/>
    <w:basedOn w:val="Normal"/>
    <w:next w:val="Normal"/>
    <w:pPr>
      <w:jc w:val="center"/>
    </w:pPr>
    <w:rPr>
      <w:b/>
      <w:szCs w:val="20"/>
      <w:u w:val="single"/>
    </w:rPr>
  </w:style>
  <w:style w:type="paragraph" w:customStyle="1" w:styleId="Annexetitrefichefinacte">
    <w:name w:val="Annexe titre (fiche fin. acte)"/>
    <w:basedOn w:val="Normal"/>
    <w:next w:val="Normal"/>
    <w:pPr>
      <w:jc w:val="center"/>
    </w:pPr>
    <w:rPr>
      <w:b/>
      <w:szCs w:val="20"/>
      <w:u w:val="single"/>
    </w:rPr>
  </w:style>
  <w:style w:type="paragraph" w:customStyle="1" w:styleId="Annexetitrefichefinglobale">
    <w:name w:val="Annexe titre (fiche fin. globale)"/>
    <w:basedOn w:val="Normal"/>
    <w:next w:val="Normal"/>
    <w:pPr>
      <w:jc w:val="center"/>
    </w:pPr>
    <w:rPr>
      <w:b/>
      <w:szCs w:val="20"/>
      <w:u w:val="single"/>
    </w:rPr>
  </w:style>
  <w:style w:type="paragraph" w:customStyle="1" w:styleId="Annexetitreglobale">
    <w:name w:val="Annexe titre (globale)"/>
    <w:basedOn w:val="Normal"/>
    <w:next w:val="Normal"/>
    <w:pPr>
      <w:jc w:val="center"/>
    </w:pPr>
    <w:rPr>
      <w:b/>
      <w:szCs w:val="20"/>
      <w:u w:val="single"/>
    </w:rPr>
  </w:style>
  <w:style w:type="paragraph" w:customStyle="1" w:styleId="Rfrenceinstitutionelle">
    <w:name w:val="Référence institutionelle"/>
    <w:basedOn w:val="Normal"/>
    <w:next w:val="Statut"/>
    <w:pPr>
      <w:spacing w:before="0" w:after="240"/>
      <w:ind w:left="5103"/>
      <w:jc w:val="left"/>
    </w:pPr>
    <w:rPr>
      <w:szCs w:val="20"/>
    </w:rPr>
  </w:style>
  <w:style w:type="paragraph" w:customStyle="1" w:styleId="Exposdesmotifstitreglobal">
    <w:name w:val="Exposé des motifs titre (global)"/>
    <w:basedOn w:val="Normal"/>
    <w:next w:val="Normal"/>
    <w:pPr>
      <w:jc w:val="center"/>
    </w:pPr>
    <w:rPr>
      <w:b/>
      <w:szCs w:val="20"/>
      <w:u w:val="single"/>
    </w:rPr>
  </w:style>
  <w:style w:type="paragraph" w:customStyle="1" w:styleId="Langueoriginale">
    <w:name w:val="Langue originale"/>
    <w:basedOn w:val="Normal"/>
    <w:next w:val="Phrasefinale"/>
    <w:pPr>
      <w:spacing w:before="360"/>
      <w:jc w:val="center"/>
    </w:pPr>
    <w:rPr>
      <w:caps/>
      <w:szCs w:val="20"/>
    </w:rPr>
  </w:style>
  <w:style w:type="paragraph" w:customStyle="1" w:styleId="Phrasefinale">
    <w:name w:val="Phrase finale"/>
    <w:basedOn w:val="Normal"/>
    <w:next w:val="Normal"/>
    <w:pPr>
      <w:spacing w:before="360" w:after="0"/>
      <w:jc w:val="center"/>
    </w:pPr>
    <w:rPr>
      <w:szCs w:val="20"/>
    </w:rPr>
  </w:style>
  <w:style w:type="paragraph" w:customStyle="1" w:styleId="Prliminairetitre">
    <w:name w:val="Préliminaire titre"/>
    <w:basedOn w:val="Normal"/>
    <w:next w:val="Normal"/>
    <w:pPr>
      <w:spacing w:before="360" w:after="360"/>
      <w:jc w:val="center"/>
    </w:pPr>
    <w:rPr>
      <w:b/>
      <w:szCs w:val="20"/>
    </w:rPr>
  </w:style>
  <w:style w:type="paragraph" w:customStyle="1" w:styleId="Prliminairetype">
    <w:name w:val="Préliminaire type"/>
    <w:basedOn w:val="Normal"/>
    <w:next w:val="Normal"/>
    <w:pPr>
      <w:spacing w:before="360" w:after="0"/>
      <w:jc w:val="center"/>
    </w:pPr>
    <w:rPr>
      <w:b/>
      <w:szCs w:val="20"/>
    </w:rPr>
  </w:style>
  <w:style w:type="paragraph" w:customStyle="1" w:styleId="Rfrenceinterinstitutionelle">
    <w:name w:val="Référence interinstitutionelle"/>
    <w:basedOn w:val="Normal"/>
    <w:next w:val="Statut"/>
    <w:pPr>
      <w:spacing w:before="0" w:after="0"/>
      <w:ind w:left="5103"/>
      <w:jc w:val="left"/>
    </w:pPr>
    <w:rPr>
      <w:szCs w:val="20"/>
    </w:rPr>
  </w:style>
  <w:style w:type="paragraph" w:customStyle="1" w:styleId="Rfrenceinterinstitutionelleprliminaire">
    <w:name w:val="Référence interinstitutionelle (préliminaire)"/>
    <w:basedOn w:val="Normal"/>
    <w:next w:val="Normal"/>
    <w:pPr>
      <w:spacing w:before="0" w:after="0"/>
      <w:ind w:left="5103"/>
      <w:jc w:val="left"/>
    </w:pPr>
    <w:rPr>
      <w:szCs w:val="20"/>
    </w:rPr>
  </w:style>
  <w:style w:type="paragraph" w:customStyle="1" w:styleId="Sous-titreobjetprliminaire">
    <w:name w:val="Sous-titre objet (préliminaire)"/>
    <w:basedOn w:val="Normal"/>
    <w:pPr>
      <w:spacing w:before="0" w:after="0"/>
      <w:jc w:val="center"/>
    </w:pPr>
    <w:rPr>
      <w:b/>
      <w:szCs w:val="20"/>
    </w:rPr>
  </w:style>
  <w:style w:type="paragraph" w:customStyle="1" w:styleId="Statutprliminaire">
    <w:name w:val="Statut (préliminaire)"/>
    <w:basedOn w:val="Normal"/>
    <w:next w:val="Normal"/>
    <w:pPr>
      <w:spacing w:before="360" w:after="0"/>
      <w:jc w:val="center"/>
    </w:pPr>
    <w:rPr>
      <w:szCs w:val="20"/>
    </w:rPr>
  </w:style>
  <w:style w:type="paragraph" w:customStyle="1" w:styleId="Titreobjetprliminaire">
    <w:name w:val="Titre objet (préliminaire)"/>
    <w:basedOn w:val="Normal"/>
    <w:next w:val="Normal"/>
    <w:pPr>
      <w:spacing w:before="360" w:after="360"/>
      <w:jc w:val="center"/>
    </w:pPr>
    <w:rPr>
      <w:b/>
      <w:szCs w:val="20"/>
    </w:rPr>
  </w:style>
  <w:style w:type="paragraph" w:customStyle="1" w:styleId="Typedudocumentprliminaire">
    <w:name w:val="Type du document (préliminaire)"/>
    <w:basedOn w:val="Normal"/>
    <w:next w:val="Normal"/>
    <w:pPr>
      <w:spacing w:before="360" w:after="0"/>
      <w:jc w:val="center"/>
    </w:pPr>
    <w:rPr>
      <w:b/>
      <w:szCs w:val="20"/>
    </w:rPr>
  </w:style>
  <w:style w:type="paragraph" w:customStyle="1" w:styleId="Fichefinancirestandardtitre">
    <w:name w:val="Fiche financière (standard) titre"/>
    <w:basedOn w:val="Normal"/>
    <w:next w:val="Normal"/>
    <w:pPr>
      <w:jc w:val="center"/>
    </w:pPr>
    <w:rPr>
      <w:b/>
      <w:szCs w:val="20"/>
      <w:u w:val="single"/>
    </w:rPr>
  </w:style>
  <w:style w:type="paragraph" w:customStyle="1" w:styleId="Fichefinancirestandardtitreacte">
    <w:name w:val="Fiche financière (standard) titre (acte)"/>
    <w:basedOn w:val="Normal"/>
    <w:next w:val="Normal"/>
    <w:pPr>
      <w:jc w:val="center"/>
    </w:pPr>
    <w:rPr>
      <w:b/>
      <w:szCs w:val="20"/>
      <w:u w:val="single"/>
    </w:rPr>
  </w:style>
  <w:style w:type="paragraph" w:customStyle="1" w:styleId="Fichefinanciretravailtitre">
    <w:name w:val="Fiche financière (travail) titre"/>
    <w:basedOn w:val="Normal"/>
    <w:next w:val="Normal"/>
    <w:pPr>
      <w:jc w:val="center"/>
    </w:pPr>
    <w:rPr>
      <w:b/>
      <w:szCs w:val="20"/>
      <w:u w:val="single"/>
    </w:rPr>
  </w:style>
  <w:style w:type="paragraph" w:customStyle="1" w:styleId="Fichefinanciretravailtitreacte">
    <w:name w:val="Fiche financière (travail) titre (acte)"/>
    <w:basedOn w:val="Normal"/>
    <w:next w:val="Normal"/>
    <w:pPr>
      <w:jc w:val="center"/>
    </w:pPr>
    <w:rPr>
      <w:b/>
      <w:szCs w:val="20"/>
      <w:u w:val="single"/>
    </w:rPr>
  </w:style>
  <w:style w:type="paragraph" w:customStyle="1" w:styleId="Fichefinancireattributiontitre">
    <w:name w:val="Fiche financière (attribution) titre"/>
    <w:basedOn w:val="Normal"/>
    <w:next w:val="Normal"/>
    <w:pPr>
      <w:jc w:val="center"/>
    </w:pPr>
    <w:rPr>
      <w:b/>
      <w:szCs w:val="20"/>
      <w:u w:val="single"/>
    </w:rPr>
  </w:style>
  <w:style w:type="paragraph" w:customStyle="1" w:styleId="Fichefinancireattributiontitreacte">
    <w:name w:val="Fiche financière (attribution) titre (acte)"/>
    <w:basedOn w:val="Normal"/>
    <w:next w:val="Normal"/>
    <w:pPr>
      <w:jc w:val="center"/>
    </w:pPr>
    <w:rPr>
      <w:b/>
      <w:szCs w:val="20"/>
      <w:u w:val="single"/>
    </w:rPr>
  </w:style>
  <w:style w:type="character" w:styleId="Hyperlink">
    <w:name w:val="Hyperlink"/>
    <w:uiPriority w:val="99"/>
    <w:rPr>
      <w:noProof/>
      <w:color w:val="0000FF"/>
      <w:u w:val="single"/>
    </w:rPr>
  </w:style>
  <w:style w:type="character" w:styleId="EndnoteReference">
    <w:name w:val="endnote reference"/>
    <w:uiPriority w:val="99"/>
    <w:rPr>
      <w:rFonts w:cs="Times New Roman"/>
      <w:shd w:val="clear" w:color="auto" w:fill="auto"/>
      <w:vertAlign w:val="superscript"/>
    </w:rPr>
  </w:style>
  <w:style w:type="paragraph" w:styleId="BodyText">
    <w:name w:val="Body Text"/>
    <w:basedOn w:val="Normal"/>
    <w:link w:val="BodyTextChar"/>
    <w:uiPriority w:val="99"/>
    <w:pPr>
      <w:tabs>
        <w:tab w:val="left" w:pos="3960"/>
      </w:tabs>
      <w:spacing w:before="0" w:after="240"/>
      <w:jc w:val="left"/>
    </w:pPr>
    <w:rPr>
      <w:rFonts w:ascii="Palatino Linotype" w:hAnsi="Palatino Linotype" w:cs="Arial"/>
      <w:sz w:val="22"/>
      <w:szCs w:val="20"/>
    </w:rPr>
  </w:style>
  <w:style w:type="character" w:customStyle="1" w:styleId="BodyTextChar">
    <w:name w:val="Body Text Char"/>
    <w:link w:val="BodyText"/>
    <w:uiPriority w:val="99"/>
    <w:rPr>
      <w:rFonts w:ascii="Palatino Linotype" w:hAnsi="Palatino Linotype" w:cs="Arial"/>
      <w:sz w:val="22"/>
      <w:shd w:val="clear" w:color="auto" w:fill="auto"/>
      <w:lang w:eastAsia="bg-BG"/>
    </w:rPr>
  </w:style>
  <w:style w:type="character" w:styleId="Strong">
    <w:name w:val="Strong"/>
    <w:uiPriority w:val="22"/>
    <w:qFormat/>
    <w:rPr>
      <w:rFonts w:cs="Times New Roman"/>
      <w:b/>
      <w:bCs/>
      <w:shd w:val="clear" w:color="auto" w:fill="auto"/>
    </w:rPr>
  </w:style>
  <w:style w:type="paragraph" w:customStyle="1" w:styleId="5Normal">
    <w:name w:val="5 Normal"/>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76" w:lineRule="auto"/>
      <w:jc w:val="both"/>
    </w:pPr>
    <w:rPr>
      <w:rFonts w:ascii="Arial" w:hAnsi="Arial"/>
      <w:spacing w:val="-2"/>
      <w:sz w:val="22"/>
      <w:szCs w:val="22"/>
    </w:rPr>
  </w:style>
  <w:style w:type="paragraph" w:styleId="NormalWeb">
    <w:name w:val="Normal (Web)"/>
    <w:aliases w:val="webb"/>
    <w:basedOn w:val="Normal"/>
    <w:uiPriority w:val="99"/>
    <w:pPr>
      <w:spacing w:before="150" w:after="150"/>
      <w:ind w:left="675" w:right="525"/>
      <w:jc w:val="left"/>
    </w:pPr>
    <w:rPr>
      <w:sz w:val="19"/>
      <w:szCs w:val="19"/>
    </w:rPr>
  </w:style>
  <w:style w:type="paragraph" w:customStyle="1" w:styleId="Tyret1">
    <w:name w:val="Tyret 1"/>
    <w:basedOn w:val="ListDash"/>
    <w:pPr>
      <w:numPr>
        <w:numId w:val="25"/>
      </w:numPr>
      <w:tabs>
        <w:tab w:val="num" w:pos="1134"/>
      </w:tabs>
      <w:ind w:left="1134"/>
    </w:pPr>
  </w:style>
  <w:style w:type="character" w:styleId="FollowedHyperlink">
    <w:name w:val="FollowedHyperlink"/>
    <w:uiPriority w:val="99"/>
    <w:rPr>
      <w:rFonts w:cs="Times New Roman"/>
      <w:color w:val="800080"/>
      <w:u w:val="single"/>
      <w:shd w:val="clear" w:color="auto" w:fill="auto"/>
    </w:rPr>
  </w:style>
  <w:style w:type="paragraph" w:customStyle="1" w:styleId="4Chapeau">
    <w:name w:val="4 Chapeau"/>
    <w:basedOn w:val="Normal"/>
    <w:next w:val="Normal"/>
    <w:autoRedefine/>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600" w:after="240"/>
    </w:pPr>
    <w:rPr>
      <w:szCs w:val="20"/>
    </w:rPr>
  </w:style>
  <w:style w:type="paragraph" w:customStyle="1" w:styleId="Default">
    <w:name w:val="Default"/>
    <w:pPr>
      <w:autoSpaceDE w:val="0"/>
      <w:autoSpaceDN w:val="0"/>
      <w:adjustRightInd w:val="0"/>
      <w:spacing w:after="200" w:line="276" w:lineRule="auto"/>
    </w:pPr>
    <w:rPr>
      <w:rFonts w:ascii="EUAlbertina" w:hAnsi="EUAlbertina" w:cs="EUAlbertina"/>
      <w:color w:val="000000"/>
      <w:sz w:val="24"/>
      <w:szCs w:val="24"/>
    </w:rPr>
  </w:style>
  <w:style w:type="table" w:styleId="TableGrid">
    <w:name w:val="Table Grid"/>
    <w:basedOn w:val="TableNormal"/>
    <w:uiPriority w:val="59"/>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4">
    <w:name w:val="CM4"/>
    <w:basedOn w:val="Default"/>
    <w:next w:val="Default"/>
    <w:uiPriority w:val="99"/>
    <w:rPr>
      <w:rFonts w:cs="Times New Roman"/>
      <w:color w:val="auto"/>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character" w:styleId="CommentReference">
    <w:name w:val="annotation reference"/>
    <w:uiPriority w:val="99"/>
    <w:rPr>
      <w:sz w:val="16"/>
      <w:szCs w:val="16"/>
      <w:shd w:val="clear" w:color="auto" w:fill="auto"/>
    </w:rPr>
  </w:style>
  <w:style w:type="paragraph" w:styleId="CommentText">
    <w:name w:val="annotation text"/>
    <w:basedOn w:val="Normal"/>
    <w:link w:val="CommentTextChar1"/>
    <w:uiPriority w:val="99"/>
    <w:rPr>
      <w:sz w:val="20"/>
      <w:szCs w:val="20"/>
    </w:rPr>
  </w:style>
  <w:style w:type="character" w:customStyle="1" w:styleId="CommentTextChar">
    <w:name w:val="Comment Text Char"/>
    <w:uiPriority w:val="99"/>
    <w:rPr>
      <w:shd w:val="clear" w:color="auto" w:fill="auto"/>
      <w:lang w:eastAsia="bg-BG"/>
    </w:rPr>
  </w:style>
  <w:style w:type="paragraph" w:styleId="CommentSubject">
    <w:name w:val="annotation subject"/>
    <w:basedOn w:val="Normal"/>
    <w:next w:val="CommentText"/>
    <w:link w:val="CommentSubjectChar"/>
    <w:uiPriority w:val="99"/>
    <w:rPr>
      <w:b/>
      <w:bCs/>
      <w:szCs w:val="20"/>
    </w:rPr>
  </w:style>
  <w:style w:type="character" w:customStyle="1" w:styleId="CommentSubjectChar">
    <w:name w:val="Comment Subject Char"/>
    <w:link w:val="CommentSubject"/>
    <w:uiPriority w:val="99"/>
    <w:rPr>
      <w:b/>
      <w:bCs/>
      <w:sz w:val="24"/>
      <w:shd w:val="clear" w:color="auto" w:fill="auto"/>
      <w:lang w:eastAsia="bg-BG"/>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shd w:val="clear" w:color="auto" w:fill="auto"/>
    </w:rPr>
  </w:style>
  <w:style w:type="paragraph" w:styleId="Caption">
    <w:name w:val="caption"/>
    <w:aliases w:val="Beschriftung_tab,tab_überschrift Char,Tab_Überschrift,tab_überschrift"/>
    <w:basedOn w:val="Normal"/>
    <w:next w:val="Normal"/>
    <w:uiPriority w:val="35"/>
    <w:qFormat/>
    <w:rPr>
      <w:b/>
      <w:bCs/>
      <w:sz w:val="20"/>
      <w:szCs w:val="20"/>
    </w:rPr>
  </w:style>
  <w:style w:type="paragraph" w:styleId="TableofFigures">
    <w:name w:val="table of figures"/>
    <w:basedOn w:val="Normal"/>
    <w:next w:val="Normal"/>
    <w:uiPriority w:val="99"/>
    <w:rPr>
      <w:szCs w:val="20"/>
    </w:rPr>
  </w:style>
  <w:style w:type="paragraph" w:customStyle="1" w:styleId="Pa14">
    <w:name w:val="Pa14"/>
    <w:basedOn w:val="Default"/>
    <w:next w:val="Default"/>
    <w:pPr>
      <w:spacing w:line="201" w:lineRule="atLeast"/>
    </w:pPr>
    <w:rPr>
      <w:rFonts w:ascii="Palatino Linotype" w:hAnsi="Palatino Linotype" w:cs="Times New Roman"/>
      <w:color w:val="auto"/>
    </w:rPr>
  </w:style>
  <w:style w:type="character" w:customStyle="1" w:styleId="A10">
    <w:name w:val="A10"/>
    <w:rPr>
      <w:rFonts w:cs="Palatino Linotype"/>
      <w:color w:val="000000"/>
      <w:sz w:val="11"/>
      <w:szCs w:val="11"/>
    </w:rPr>
  </w:style>
  <w:style w:type="paragraph" w:styleId="Revision">
    <w:name w:val="Revision"/>
    <w:hidden/>
    <w:uiPriority w:val="99"/>
    <w:semiHidden/>
    <w:pPr>
      <w:spacing w:after="200" w:line="276" w:lineRule="auto"/>
    </w:pPr>
    <w:rPr>
      <w:sz w:val="24"/>
      <w:szCs w:val="24"/>
    </w:rPr>
  </w:style>
  <w:style w:type="paragraph" w:styleId="ListParagraph">
    <w:name w:val="List Paragraph"/>
    <w:aliases w:val="Heading 2_sj"/>
    <w:basedOn w:val="Normal"/>
    <w:link w:val="ListParagraphChar"/>
    <w:uiPriority w:val="34"/>
    <w:qFormat/>
    <w:pPr>
      <w:spacing w:before="0" w:after="0"/>
      <w:ind w:left="720"/>
      <w:jc w:val="left"/>
    </w:pPr>
    <w:rPr>
      <w:rFonts w:ascii="Calibri" w:eastAsia="Calibri" w:hAnsi="Calibri" w:cs="Calibri"/>
      <w:sz w:val="22"/>
      <w:szCs w:val="20"/>
    </w:rPr>
  </w:style>
  <w:style w:type="paragraph" w:customStyle="1" w:styleId="astandard3520normal">
    <w:name w:val="a_standard__35__20_normal"/>
    <w:basedOn w:val="Normal"/>
    <w:pPr>
      <w:spacing w:before="0"/>
      <w:ind w:right="57"/>
    </w:pPr>
    <w:rPr>
      <w:szCs w:val="20"/>
    </w:rPr>
  </w:style>
  <w:style w:type="paragraph" w:customStyle="1" w:styleId="astandardsous-titre201">
    <w:name w:val="a_standard_sous-titre_20_1"/>
    <w:basedOn w:val="Normal"/>
    <w:pPr>
      <w:spacing w:before="240" w:after="80"/>
      <w:ind w:right="57"/>
      <w:jc w:val="left"/>
    </w:pPr>
    <w:rPr>
      <w:b/>
      <w:bCs/>
      <w:szCs w:val="20"/>
    </w:rPr>
  </w:style>
  <w:style w:type="paragraph" w:customStyle="1" w:styleId="a3520normalp9">
    <w:name w:val="a__35__20_normal_p9"/>
    <w:basedOn w:val="Normal"/>
    <w:pPr>
      <w:spacing w:before="0"/>
      <w:ind w:right="57"/>
    </w:pPr>
    <w:rPr>
      <w:szCs w:val="20"/>
    </w:rPr>
  </w:style>
  <w:style w:type="character" w:customStyle="1" w:styleId="at12">
    <w:name w:val="a__t12"/>
    <w:rPr>
      <w:i/>
      <w:iCs/>
    </w:rPr>
  </w:style>
  <w:style w:type="character" w:customStyle="1" w:styleId="at61">
    <w:name w:val="a__t61"/>
    <w:rPr>
      <w:b/>
      <w:bCs/>
    </w:rPr>
  </w:style>
  <w:style w:type="character" w:customStyle="1" w:styleId="at8">
    <w:name w:val="a__t8"/>
  </w:style>
  <w:style w:type="character" w:customStyle="1" w:styleId="afootnote20symbol1">
    <w:name w:val="a__footnote_20_symbol1"/>
    <w:rPr>
      <w:b/>
      <w:bCs/>
    </w:rPr>
  </w:style>
  <w:style w:type="character" w:customStyle="1" w:styleId="CommentTextChar1">
    <w:name w:val="Comment Text Char1"/>
    <w:link w:val="CommentText"/>
    <w:uiPriority w:val="99"/>
  </w:style>
  <w:style w:type="paragraph" w:styleId="EndnoteText">
    <w:name w:val="endnote text"/>
    <w:basedOn w:val="Normal"/>
    <w:link w:val="EndnoteTextChar"/>
    <w:uiPriority w:val="99"/>
    <w:rPr>
      <w:sz w:val="20"/>
      <w:szCs w:val="20"/>
    </w:rPr>
  </w:style>
  <w:style w:type="character" w:customStyle="1" w:styleId="EndnoteTextChar">
    <w:name w:val="Endnote Text Char"/>
    <w:link w:val="EndnoteText"/>
    <w:uiPriority w:val="99"/>
    <w:rPr>
      <w:shd w:val="clear" w:color="auto" w:fill="auto"/>
    </w:rPr>
  </w:style>
  <w:style w:type="character" w:customStyle="1" w:styleId="FootnoteTextChar3">
    <w:name w:val="Footnote Text Char3"/>
    <w:aliases w:val="Footnote Char2,-E Fußnotentext Char2,Fußnotentext Ursprung Char2,Fußnote Char2,footnote text Char2,(Diplomarbeit) Char,(Diplomarbeit)1 Char,(Diplomarbeit)2 Char,(Diplomarbeit)3 Char,(Diplomarbeit)4 Char,(Diplomarbeit)5 Char"/>
    <w:locked/>
    <w:rPr>
      <w:rFonts w:ascii="Verdana" w:eastAsia="Times New Roman" w:hAnsi="Verdana"/>
      <w:sz w:val="16"/>
      <w:lang w:eastAsia="bg-BG"/>
    </w:rPr>
  </w:style>
  <w:style w:type="character" w:customStyle="1" w:styleId="Text1Char">
    <w:name w:val="Text 1 Char"/>
    <w:rPr>
      <w:sz w:val="24"/>
      <w:szCs w:val="24"/>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szCs w:val="20"/>
    </w:rPr>
  </w:style>
  <w:style w:type="character" w:customStyle="1" w:styleId="FooterCoverPageChar">
    <w:name w:val="Footer Cover Page Char"/>
    <w:link w:val="FooterCoverPage"/>
    <w:rPr>
      <w:rFonts w:eastAsia="Calibri"/>
      <w:sz w:val="24"/>
    </w:rPr>
  </w:style>
  <w:style w:type="paragraph" w:customStyle="1" w:styleId="HeaderCoverPage">
    <w:name w:val="Header Cover Page"/>
    <w:basedOn w:val="Normal"/>
    <w:link w:val="HeaderCoverPageChar"/>
    <w:pPr>
      <w:tabs>
        <w:tab w:val="center" w:pos="4535"/>
        <w:tab w:val="right" w:pos="9071"/>
      </w:tabs>
      <w:spacing w:before="0"/>
    </w:pPr>
    <w:rPr>
      <w:rFonts w:eastAsia="Calibri"/>
      <w:szCs w:val="20"/>
    </w:rPr>
  </w:style>
  <w:style w:type="character" w:customStyle="1" w:styleId="HeaderCoverPageChar">
    <w:name w:val="Header Cover Page Char"/>
    <w:link w:val="HeaderCoverPage"/>
    <w:rPr>
      <w:rFonts w:eastAsia="Calibri"/>
      <w:sz w:val="24"/>
    </w:rPr>
  </w:style>
  <w:style w:type="numbering" w:customStyle="1" w:styleId="NoList1">
    <w:name w:val="No List1"/>
    <w:next w:val="NoList"/>
    <w:uiPriority w:val="99"/>
    <w:semiHidden/>
    <w:unhideWhenUsed/>
  </w:style>
  <w:style w:type="paragraph" w:customStyle="1" w:styleId="FoonoteText">
    <w:name w:val="Foonote Text"/>
    <w:basedOn w:val="Normal"/>
    <w:autoRedefine/>
    <w:pPr>
      <w:tabs>
        <w:tab w:val="left" w:pos="425"/>
      </w:tabs>
      <w:autoSpaceDE w:val="0"/>
      <w:autoSpaceDN w:val="0"/>
      <w:adjustRightInd w:val="0"/>
      <w:spacing w:before="40" w:after="40"/>
      <w:ind w:left="425" w:hanging="425"/>
    </w:pPr>
    <w:rPr>
      <w:sz w:val="16"/>
      <w:szCs w:val="16"/>
    </w:rPr>
  </w:style>
  <w:style w:type="character" w:styleId="PageNumber">
    <w:name w:val="page number"/>
    <w:uiPriority w:val="99"/>
    <w:rPr>
      <w:shd w:val="clear" w:color="auto" w:fill="auto"/>
    </w:rPr>
  </w:style>
  <w:style w:type="paragraph" w:customStyle="1" w:styleId="Source">
    <w:name w:val="Source"/>
    <w:basedOn w:val="Normal"/>
    <w:next w:val="Normal"/>
    <w:pPr>
      <w:keepLines/>
      <w:tabs>
        <w:tab w:val="left" w:pos="1134"/>
      </w:tabs>
      <w:spacing w:before="60" w:after="240"/>
      <w:ind w:left="1134" w:hanging="1134"/>
      <w:jc w:val="left"/>
    </w:pPr>
    <w:rPr>
      <w:rFonts w:ascii="Arial" w:hAnsi="Arial"/>
      <w:sz w:val="18"/>
      <w:szCs w:val="20"/>
    </w:rPr>
  </w:style>
  <w:style w:type="paragraph" w:customStyle="1" w:styleId="Annex">
    <w:name w:val="Annex"/>
    <w:basedOn w:val="Heading1"/>
    <w:next w:val="Normal"/>
    <w:pPr>
      <w:pageBreakBefore/>
      <w:numPr>
        <w:numId w:val="0"/>
      </w:numPr>
      <w:tabs>
        <w:tab w:val="num" w:pos="283"/>
        <w:tab w:val="num" w:pos="709"/>
        <w:tab w:val="num" w:pos="926"/>
        <w:tab w:val="num" w:pos="1134"/>
        <w:tab w:val="num" w:pos="1984"/>
        <w:tab w:val="num" w:pos="2517"/>
      </w:tabs>
      <w:spacing w:before="0" w:after="480"/>
      <w:ind w:left="717" w:hanging="283"/>
      <w:jc w:val="left"/>
    </w:pPr>
    <w:rPr>
      <w:rFonts w:ascii="Verdana" w:hAnsi="Verdana" w:cs="Arial"/>
      <w:smallCaps w:val="0"/>
      <w:kern w:val="32"/>
      <w:sz w:val="44"/>
      <w:szCs w:val="28"/>
    </w:rPr>
  </w:style>
  <w:style w:type="paragraph" w:customStyle="1" w:styleId="BoxTitle">
    <w:name w:val="Box Title"/>
    <w:basedOn w:val="Heading2"/>
    <w:next w:val="Normal"/>
    <w:pPr>
      <w:numPr>
        <w:numId w:val="30"/>
      </w:numPr>
      <w:pBdr>
        <w:top w:val="single" w:sz="4" w:space="1" w:color="auto"/>
        <w:left w:val="single" w:sz="4" w:space="4" w:color="auto"/>
        <w:bottom w:val="single" w:sz="4" w:space="1" w:color="auto"/>
        <w:right w:val="single" w:sz="4" w:space="4" w:color="auto"/>
      </w:pBdr>
      <w:shd w:val="clear" w:color="auto" w:fill="CCCCCC"/>
      <w:tabs>
        <w:tab w:val="clear" w:pos="2520"/>
        <w:tab w:val="num" w:pos="643"/>
        <w:tab w:val="num" w:pos="709"/>
        <w:tab w:val="num" w:pos="1134"/>
      </w:tabs>
      <w:spacing w:before="240" w:after="240"/>
      <w:ind w:left="1151" w:hanging="794"/>
      <w:jc w:val="left"/>
    </w:pPr>
    <w:rPr>
      <w:rFonts w:ascii="Arial" w:hAnsi="Arial" w:cs="Arial"/>
      <w:iCs w:val="0"/>
      <w:sz w:val="22"/>
      <w:szCs w:val="26"/>
    </w:rPr>
  </w:style>
  <w:style w:type="paragraph" w:customStyle="1" w:styleId="FigureTitle">
    <w:name w:val="Figure Title"/>
    <w:basedOn w:val="Heading2"/>
    <w:next w:val="Normal"/>
    <w:pPr>
      <w:tabs>
        <w:tab w:val="num" w:pos="850"/>
        <w:tab w:val="num" w:pos="1134"/>
        <w:tab w:val="num" w:pos="1560"/>
        <w:tab w:val="num" w:pos="1984"/>
      </w:tabs>
      <w:spacing w:before="240" w:after="240"/>
      <w:ind w:left="1151" w:hanging="794"/>
      <w:jc w:val="left"/>
    </w:pPr>
    <w:rPr>
      <w:rFonts w:ascii="Arial" w:hAnsi="Arial" w:cs="Arial"/>
      <w:iCs w:val="0"/>
      <w:sz w:val="22"/>
      <w:szCs w:val="26"/>
    </w:rPr>
  </w:style>
  <w:style w:type="paragraph" w:customStyle="1" w:styleId="MapTitle">
    <w:name w:val="Map Title"/>
    <w:basedOn w:val="Heading2"/>
    <w:next w:val="Normal"/>
    <w:pPr>
      <w:tabs>
        <w:tab w:val="num" w:pos="283"/>
        <w:tab w:val="num" w:pos="1417"/>
        <w:tab w:val="num" w:pos="2268"/>
        <w:tab w:val="num" w:pos="3118"/>
      </w:tabs>
      <w:spacing w:before="240" w:after="240"/>
      <w:ind w:left="1151" w:hanging="794"/>
      <w:jc w:val="left"/>
    </w:pPr>
    <w:rPr>
      <w:rFonts w:ascii="Arial" w:hAnsi="Arial" w:cs="Arial"/>
      <w:iCs w:val="0"/>
      <w:sz w:val="22"/>
      <w:szCs w:val="26"/>
    </w:rPr>
  </w:style>
  <w:style w:type="paragraph" w:customStyle="1" w:styleId="Smiley-Negative">
    <w:name w:val="Smiley - Negative"/>
    <w:basedOn w:val="Normal"/>
    <w:pPr>
      <w:tabs>
        <w:tab w:val="num" w:pos="1134"/>
        <w:tab w:val="num" w:pos="1560"/>
        <w:tab w:val="num" w:pos="1984"/>
      </w:tabs>
      <w:spacing w:before="0" w:after="0"/>
      <w:ind w:left="360" w:hanging="567"/>
      <w:jc w:val="left"/>
    </w:pPr>
    <w:rPr>
      <w:sz w:val="22"/>
      <w:szCs w:val="20"/>
    </w:rPr>
  </w:style>
  <w:style w:type="paragraph" w:customStyle="1" w:styleId="Smiley-Neutral">
    <w:name w:val="Smiley - Neutral"/>
    <w:basedOn w:val="Normal"/>
    <w:pPr>
      <w:tabs>
        <w:tab w:val="num" w:pos="709"/>
        <w:tab w:val="num" w:pos="1134"/>
        <w:tab w:val="num" w:pos="2551"/>
      </w:tabs>
      <w:spacing w:before="0" w:after="0"/>
      <w:ind w:left="360" w:hanging="567"/>
      <w:jc w:val="left"/>
    </w:pPr>
    <w:rPr>
      <w:sz w:val="22"/>
      <w:szCs w:val="20"/>
    </w:rPr>
  </w:style>
  <w:style w:type="paragraph" w:customStyle="1" w:styleId="Smiley-Positive">
    <w:name w:val="Smiley - Positive"/>
    <w:basedOn w:val="Normal"/>
    <w:pPr>
      <w:tabs>
        <w:tab w:val="num" w:pos="283"/>
        <w:tab w:val="num" w:pos="1134"/>
        <w:tab w:val="num" w:pos="1209"/>
        <w:tab w:val="num" w:pos="3118"/>
      </w:tabs>
      <w:spacing w:before="0" w:after="0"/>
      <w:ind w:left="3118" w:hanging="283"/>
      <w:jc w:val="left"/>
    </w:pPr>
    <w:rPr>
      <w:sz w:val="22"/>
      <w:szCs w:val="20"/>
    </w:rPr>
  </w:style>
  <w:style w:type="paragraph" w:customStyle="1" w:styleId="TableText">
    <w:name w:val="Table Text"/>
    <w:basedOn w:val="Normal"/>
    <w:next w:val="Normal"/>
    <w:pPr>
      <w:overflowPunct w:val="0"/>
      <w:autoSpaceDE w:val="0"/>
      <w:autoSpaceDN w:val="0"/>
      <w:adjustRightInd w:val="0"/>
      <w:spacing w:before="0" w:after="0"/>
      <w:ind w:left="357"/>
      <w:jc w:val="left"/>
      <w:textAlignment w:val="baseline"/>
    </w:pPr>
    <w:rPr>
      <w:rFonts w:ascii="Arial" w:hAnsi="Arial"/>
      <w:sz w:val="18"/>
      <w:szCs w:val="20"/>
    </w:rPr>
  </w:style>
  <w:style w:type="paragraph" w:customStyle="1" w:styleId="Cover-title3">
    <w:name w:val="Cover - title 3"/>
    <w:basedOn w:val="Normal"/>
    <w:next w:val="Normal"/>
    <w:pPr>
      <w:overflowPunct w:val="0"/>
      <w:autoSpaceDE w:val="0"/>
      <w:autoSpaceDN w:val="0"/>
      <w:adjustRightInd w:val="0"/>
      <w:spacing w:before="60" w:after="80"/>
      <w:jc w:val="right"/>
      <w:textAlignment w:val="baseline"/>
    </w:pPr>
    <w:rPr>
      <w:rFonts w:ascii="Avenir 55" w:hAnsi="Avenir 55"/>
      <w:b/>
      <w:sz w:val="22"/>
      <w:szCs w:val="20"/>
    </w:rPr>
  </w:style>
  <w:style w:type="paragraph" w:customStyle="1" w:styleId="KeyMessage0">
    <w:name w:val="KeyMessage"/>
    <w:basedOn w:val="Normal"/>
    <w:next w:val="Normal"/>
    <w:pPr>
      <w:keepLines/>
      <w:shd w:val="clear" w:color="auto" w:fill="F3F3F3"/>
      <w:tabs>
        <w:tab w:val="left" w:pos="540"/>
      </w:tabs>
      <w:spacing w:before="80" w:after="80"/>
      <w:ind w:left="540" w:hanging="540"/>
      <w:jc w:val="left"/>
    </w:pPr>
    <w:rPr>
      <w:rFonts w:ascii="Verdana" w:hAnsi="Verdana"/>
      <w:noProof/>
      <w:sz w:val="20"/>
      <w:szCs w:val="20"/>
    </w:rPr>
  </w:style>
  <w:style w:type="paragraph" w:customStyle="1" w:styleId="punkte">
    <w:name w:val="punkte"/>
    <w:basedOn w:val="Normal"/>
    <w:pPr>
      <w:tabs>
        <w:tab w:val="num" w:pos="850"/>
        <w:tab w:val="num" w:pos="1134"/>
        <w:tab w:val="num" w:pos="2517"/>
      </w:tabs>
      <w:spacing w:before="0" w:after="0"/>
      <w:ind w:left="360" w:hanging="850"/>
      <w:jc w:val="left"/>
    </w:pPr>
    <w:rPr>
      <w:szCs w:val="20"/>
    </w:rPr>
  </w:style>
  <w:style w:type="paragraph" w:customStyle="1" w:styleId="FormatvorlageBeschriftungPalatinoLinotype">
    <w:name w:val="Formatvorlage Beschriftung + Palatino Linotype"/>
    <w:basedOn w:val="Caption"/>
    <w:autoRedefine/>
    <w:pPr>
      <w:keepNext/>
      <w:keepLines/>
      <w:pBdr>
        <w:top w:val="single" w:sz="4" w:space="1" w:color="auto"/>
        <w:bottom w:val="single" w:sz="4" w:space="1" w:color="auto"/>
      </w:pBdr>
      <w:shd w:val="clear" w:color="auto" w:fill="E6E6E6"/>
      <w:tabs>
        <w:tab w:val="left" w:pos="1418"/>
      </w:tabs>
      <w:spacing w:before="240" w:after="80"/>
      <w:ind w:left="1440" w:hanging="1440"/>
      <w:jc w:val="left"/>
    </w:pPr>
    <w:rPr>
      <w:rFonts w:ascii="Verdana" w:hAnsi="Verdana"/>
    </w:rPr>
  </w:style>
  <w:style w:type="paragraph" w:customStyle="1" w:styleId="font5">
    <w:name w:val="font5"/>
    <w:basedOn w:val="Normal"/>
    <w:pPr>
      <w:spacing w:before="100" w:beforeAutospacing="1" w:after="100" w:afterAutospacing="1"/>
      <w:jc w:val="left"/>
    </w:pPr>
    <w:rPr>
      <w:sz w:val="16"/>
      <w:szCs w:val="16"/>
    </w:rPr>
  </w:style>
  <w:style w:type="paragraph" w:customStyle="1" w:styleId="xl45">
    <w:name w:val="xl45"/>
    <w:basedOn w:val="Normal"/>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left"/>
    </w:pPr>
    <w:rPr>
      <w:b/>
      <w:bCs/>
      <w:sz w:val="16"/>
      <w:szCs w:val="16"/>
    </w:rPr>
  </w:style>
  <w:style w:type="paragraph" w:customStyle="1" w:styleId="xl46">
    <w:name w:val="xl4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7">
    <w:name w:val="xl4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0"/>
    </w:rPr>
  </w:style>
  <w:style w:type="paragraph" w:customStyle="1" w:styleId="xl48">
    <w:name w:val="xl4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0"/>
    </w:rPr>
  </w:style>
  <w:style w:type="paragraph" w:customStyle="1" w:styleId="xl49">
    <w:name w:val="xl49"/>
    <w:basedOn w:val="Normal"/>
    <w:pPr>
      <w:pBdr>
        <w:top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sz w:val="16"/>
      <w:szCs w:val="16"/>
    </w:rPr>
  </w:style>
  <w:style w:type="paragraph" w:customStyle="1" w:styleId="xl50">
    <w:name w:val="xl50"/>
    <w:basedOn w:val="Normal"/>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sz w:val="16"/>
      <w:szCs w:val="16"/>
    </w:rPr>
  </w:style>
  <w:style w:type="paragraph" w:customStyle="1" w:styleId="xl51">
    <w:name w:val="xl51"/>
    <w:basedOn w:val="Normal"/>
    <w:pPr>
      <w:pBdr>
        <w:top w:val="single" w:sz="4" w:space="0" w:color="auto"/>
        <w:left w:val="single" w:sz="4" w:space="0" w:color="auto"/>
        <w:bottom w:val="single" w:sz="4" w:space="0" w:color="auto"/>
        <w:right w:val="single" w:sz="8" w:space="0" w:color="auto"/>
      </w:pBdr>
      <w:shd w:val="clear" w:color="auto" w:fill="FFCC00"/>
      <w:spacing w:before="100" w:beforeAutospacing="1" w:after="100" w:afterAutospacing="1"/>
      <w:jc w:val="center"/>
      <w:textAlignment w:val="center"/>
    </w:pPr>
    <w:rPr>
      <w:b/>
      <w:bCs/>
      <w:sz w:val="16"/>
      <w:szCs w:val="16"/>
    </w:rPr>
  </w:style>
  <w:style w:type="paragraph" w:customStyle="1" w:styleId="xl52">
    <w:name w:val="xl52"/>
    <w:basedOn w:val="Normal"/>
    <w:pPr>
      <w:pBdr>
        <w:left w:val="single" w:sz="8" w:space="0" w:color="auto"/>
        <w:bottom w:val="single" w:sz="4" w:space="0" w:color="auto"/>
      </w:pBdr>
      <w:shd w:val="clear" w:color="auto" w:fill="C0C0C0"/>
      <w:spacing w:before="100" w:beforeAutospacing="1" w:after="100" w:afterAutospacing="1"/>
      <w:jc w:val="left"/>
      <w:textAlignment w:val="center"/>
    </w:pPr>
    <w:rPr>
      <w:b/>
      <w:bCs/>
      <w:sz w:val="16"/>
      <w:szCs w:val="16"/>
    </w:rPr>
  </w:style>
  <w:style w:type="paragraph" w:customStyle="1" w:styleId="xl53">
    <w:name w:val="xl53"/>
    <w:basedOn w:val="Normal"/>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sz w:val="16"/>
      <w:szCs w:val="16"/>
    </w:rPr>
  </w:style>
  <w:style w:type="paragraph" w:customStyle="1" w:styleId="xl54">
    <w:name w:val="xl54"/>
    <w:basedOn w:val="Normal"/>
    <w:pPr>
      <w:pBdr>
        <w:left w:val="single" w:sz="8" w:space="0" w:color="auto"/>
        <w:bottom w:val="single" w:sz="8" w:space="0" w:color="auto"/>
      </w:pBdr>
      <w:shd w:val="clear" w:color="auto" w:fill="C0C0C0"/>
      <w:spacing w:before="100" w:beforeAutospacing="1" w:after="100" w:afterAutospacing="1"/>
      <w:jc w:val="left"/>
      <w:textAlignment w:val="center"/>
    </w:pPr>
    <w:rPr>
      <w:b/>
      <w:bCs/>
      <w:sz w:val="16"/>
      <w:szCs w:val="16"/>
    </w:rPr>
  </w:style>
  <w:style w:type="paragraph" w:customStyle="1" w:styleId="xl55">
    <w:name w:val="xl55"/>
    <w:basedOn w:val="Normal"/>
    <w:pPr>
      <w:pBdr>
        <w:top w:val="single" w:sz="4" w:space="0" w:color="auto"/>
        <w:left w:val="single" w:sz="4" w:space="0" w:color="auto"/>
        <w:bottom w:val="single" w:sz="8" w:space="0" w:color="auto"/>
        <w:right w:val="single" w:sz="4" w:space="0" w:color="auto"/>
      </w:pBdr>
      <w:shd w:val="clear" w:color="auto" w:fill="FFCC00"/>
      <w:spacing w:before="100" w:beforeAutospacing="1" w:after="100" w:afterAutospacing="1"/>
      <w:jc w:val="center"/>
      <w:textAlignment w:val="center"/>
    </w:pPr>
    <w:rPr>
      <w:b/>
      <w:bCs/>
      <w:sz w:val="16"/>
      <w:szCs w:val="16"/>
    </w:rPr>
  </w:style>
  <w:style w:type="paragraph" w:customStyle="1" w:styleId="xl56">
    <w:name w:val="xl56"/>
    <w:basedOn w:val="Normal"/>
    <w:pPr>
      <w:pBdr>
        <w:top w:val="single" w:sz="4" w:space="0" w:color="auto"/>
        <w:left w:val="single" w:sz="4" w:space="0" w:color="auto"/>
        <w:bottom w:val="single" w:sz="8" w:space="0" w:color="auto"/>
        <w:right w:val="single" w:sz="8" w:space="0" w:color="auto"/>
      </w:pBdr>
      <w:shd w:val="clear" w:color="auto" w:fill="FFCC00"/>
      <w:spacing w:before="100" w:beforeAutospacing="1" w:after="100" w:afterAutospacing="1"/>
      <w:jc w:val="center"/>
      <w:textAlignment w:val="center"/>
    </w:pPr>
    <w:rPr>
      <w:b/>
      <w:bCs/>
      <w:sz w:val="16"/>
      <w:szCs w:val="16"/>
    </w:rPr>
  </w:style>
  <w:style w:type="paragraph" w:customStyle="1" w:styleId="xl57">
    <w:name w:val="xl57"/>
    <w:basedOn w:val="Normal"/>
    <w:pPr>
      <w:pBdr>
        <w:top w:val="single" w:sz="8" w:space="0" w:color="auto"/>
        <w:left w:val="single" w:sz="8" w:space="0" w:color="auto"/>
      </w:pBdr>
      <w:shd w:val="clear" w:color="auto" w:fill="C0C0C0"/>
      <w:spacing w:before="100" w:beforeAutospacing="1" w:after="100" w:afterAutospacing="1"/>
      <w:jc w:val="center"/>
      <w:textAlignment w:val="center"/>
    </w:pPr>
    <w:rPr>
      <w:sz w:val="16"/>
      <w:szCs w:val="16"/>
    </w:rPr>
  </w:style>
  <w:style w:type="paragraph" w:customStyle="1" w:styleId="xl58">
    <w:name w:val="xl58"/>
    <w:basedOn w:val="Normal"/>
    <w:pPr>
      <w:pBdr>
        <w:top w:val="single" w:sz="8" w:space="0" w:color="auto"/>
      </w:pBdr>
      <w:shd w:val="clear" w:color="auto" w:fill="FFCC99"/>
      <w:spacing w:before="100" w:beforeAutospacing="1" w:after="100" w:afterAutospacing="1"/>
      <w:jc w:val="center"/>
      <w:textAlignment w:val="center"/>
    </w:pPr>
    <w:rPr>
      <w:sz w:val="16"/>
      <w:szCs w:val="16"/>
    </w:rPr>
  </w:style>
  <w:style w:type="paragraph" w:customStyle="1" w:styleId="xl59">
    <w:name w:val="xl59"/>
    <w:basedOn w:val="Normal"/>
    <w:pPr>
      <w:pBdr>
        <w:top w:val="single" w:sz="8" w:space="0" w:color="auto"/>
        <w:right w:val="single" w:sz="8" w:space="0" w:color="auto"/>
      </w:pBdr>
      <w:shd w:val="clear" w:color="auto" w:fill="FFCC99"/>
      <w:spacing w:before="100" w:beforeAutospacing="1" w:after="100" w:afterAutospacing="1"/>
      <w:jc w:val="center"/>
      <w:textAlignment w:val="center"/>
    </w:pPr>
    <w:rPr>
      <w:sz w:val="16"/>
      <w:szCs w:val="16"/>
    </w:rPr>
  </w:style>
  <w:style w:type="paragraph" w:customStyle="1" w:styleId="xl60">
    <w:name w:val="xl60"/>
    <w:basedOn w:val="Normal"/>
    <w:pPr>
      <w:pBdr>
        <w:left w:val="single" w:sz="8" w:space="0" w:color="auto"/>
        <w:bottom w:val="single" w:sz="4" w:space="0" w:color="auto"/>
      </w:pBdr>
      <w:shd w:val="clear" w:color="auto" w:fill="C0C0C0"/>
      <w:spacing w:before="100" w:beforeAutospacing="1" w:after="100" w:afterAutospacing="1"/>
      <w:jc w:val="center"/>
      <w:textAlignment w:val="center"/>
    </w:pPr>
    <w:rPr>
      <w:sz w:val="16"/>
      <w:szCs w:val="16"/>
    </w:rPr>
  </w:style>
  <w:style w:type="paragraph" w:customStyle="1" w:styleId="xl61">
    <w:name w:val="xl61"/>
    <w:basedOn w:val="Normal"/>
    <w:pPr>
      <w:pBdr>
        <w:bottom w:val="single" w:sz="4" w:space="0" w:color="auto"/>
      </w:pBdr>
      <w:shd w:val="clear" w:color="auto" w:fill="FFCC99"/>
      <w:spacing w:before="100" w:beforeAutospacing="1" w:after="100" w:afterAutospacing="1"/>
      <w:jc w:val="center"/>
      <w:textAlignment w:val="center"/>
    </w:pPr>
    <w:rPr>
      <w:sz w:val="16"/>
      <w:szCs w:val="16"/>
    </w:rPr>
  </w:style>
  <w:style w:type="paragraph" w:customStyle="1" w:styleId="xl62">
    <w:name w:val="xl62"/>
    <w:basedOn w:val="Normal"/>
    <w:pPr>
      <w:pBdr>
        <w:bottom w:val="single" w:sz="4" w:space="0" w:color="auto"/>
        <w:right w:val="single" w:sz="8" w:space="0" w:color="auto"/>
      </w:pBdr>
      <w:shd w:val="clear" w:color="auto" w:fill="FFCC99"/>
      <w:spacing w:before="100" w:beforeAutospacing="1" w:after="100" w:afterAutospacing="1"/>
      <w:jc w:val="center"/>
      <w:textAlignment w:val="center"/>
    </w:pPr>
    <w:rPr>
      <w:sz w:val="16"/>
      <w:szCs w:val="16"/>
    </w:rPr>
  </w:style>
  <w:style w:type="paragraph" w:customStyle="1" w:styleId="xl63">
    <w:name w:val="xl63"/>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sz w:val="16"/>
      <w:szCs w:val="16"/>
    </w:rPr>
  </w:style>
  <w:style w:type="paragraph" w:customStyle="1" w:styleId="font6">
    <w:name w:val="font6"/>
    <w:basedOn w:val="Normal"/>
    <w:pPr>
      <w:spacing w:before="100" w:beforeAutospacing="1" w:after="100" w:afterAutospacing="1"/>
      <w:jc w:val="left"/>
    </w:pPr>
    <w:rPr>
      <w:rFonts w:eastAsia="Arial Unicode MS"/>
      <w:b/>
      <w:bCs/>
      <w:sz w:val="16"/>
      <w:szCs w:val="16"/>
    </w:rPr>
  </w:style>
  <w:style w:type="paragraph" w:customStyle="1" w:styleId="xl44">
    <w:name w:val="xl44"/>
    <w:basedOn w:val="Normal"/>
    <w:pPr>
      <w:pBdr>
        <w:top w:val="single" w:sz="8" w:space="0" w:color="auto"/>
        <w:left w:val="single" w:sz="8" w:space="0" w:color="auto"/>
        <w:bottom w:val="single" w:sz="8" w:space="0" w:color="auto"/>
        <w:right w:val="single" w:sz="8" w:space="0" w:color="auto"/>
      </w:pBdr>
      <w:shd w:val="clear" w:color="auto" w:fill="CCCCFF"/>
      <w:spacing w:before="100" w:beforeAutospacing="1" w:after="100" w:afterAutospacing="1"/>
      <w:jc w:val="center"/>
      <w:textAlignment w:val="top"/>
    </w:pPr>
    <w:rPr>
      <w:rFonts w:eastAsia="Arial Unicode MS"/>
      <w:sz w:val="16"/>
      <w:szCs w:val="16"/>
    </w:rPr>
  </w:style>
  <w:style w:type="paragraph" w:customStyle="1" w:styleId="xl64">
    <w:name w:val="xl64"/>
    <w:basedOn w:val="Normal"/>
    <w:pPr>
      <w:pBdr>
        <w:top w:val="single" w:sz="8" w:space="0" w:color="auto"/>
        <w:left w:val="single" w:sz="8" w:space="0" w:color="auto"/>
        <w:right w:val="single" w:sz="8" w:space="0" w:color="auto"/>
      </w:pBdr>
      <w:shd w:val="clear" w:color="auto" w:fill="CCCCFF"/>
      <w:spacing w:before="100" w:beforeAutospacing="1" w:after="100" w:afterAutospacing="1"/>
      <w:jc w:val="left"/>
      <w:textAlignment w:val="top"/>
    </w:pPr>
    <w:rPr>
      <w:rFonts w:eastAsia="Arial Unicode MS"/>
      <w:sz w:val="16"/>
      <w:szCs w:val="16"/>
    </w:rPr>
  </w:style>
  <w:style w:type="paragraph" w:customStyle="1" w:styleId="xl65">
    <w:name w:val="xl65"/>
    <w:basedOn w:val="Normal"/>
    <w:pPr>
      <w:pBdr>
        <w:left w:val="single" w:sz="8" w:space="0" w:color="auto"/>
        <w:bottom w:val="single" w:sz="8" w:space="0" w:color="auto"/>
        <w:right w:val="single" w:sz="8" w:space="0" w:color="auto"/>
      </w:pBdr>
      <w:shd w:val="clear" w:color="auto" w:fill="CCCCFF"/>
      <w:spacing w:before="100" w:beforeAutospacing="1" w:after="100" w:afterAutospacing="1"/>
      <w:jc w:val="left"/>
      <w:textAlignment w:val="top"/>
    </w:pPr>
    <w:rPr>
      <w:rFonts w:eastAsia="Arial Unicode MS"/>
      <w:sz w:val="16"/>
      <w:szCs w:val="16"/>
    </w:rPr>
  </w:style>
  <w:style w:type="paragraph" w:customStyle="1" w:styleId="xl66">
    <w:name w:val="xl66"/>
    <w:basedOn w:val="Normal"/>
    <w:pPr>
      <w:pBdr>
        <w:left w:val="single" w:sz="8" w:space="0" w:color="auto"/>
        <w:right w:val="single" w:sz="8" w:space="0" w:color="auto"/>
      </w:pBdr>
      <w:shd w:val="clear" w:color="auto" w:fill="CCCCFF"/>
      <w:spacing w:before="100" w:beforeAutospacing="1" w:after="100" w:afterAutospacing="1"/>
      <w:jc w:val="center"/>
      <w:textAlignment w:val="top"/>
    </w:pPr>
    <w:rPr>
      <w:rFonts w:eastAsia="Arial Unicode MS"/>
      <w:sz w:val="16"/>
      <w:szCs w:val="16"/>
    </w:rPr>
  </w:style>
  <w:style w:type="paragraph" w:customStyle="1" w:styleId="xl67">
    <w:name w:val="xl67"/>
    <w:basedOn w:val="Normal"/>
    <w:pPr>
      <w:pBdr>
        <w:bottom w:val="single" w:sz="4" w:space="0" w:color="auto"/>
        <w:right w:val="single" w:sz="4" w:space="0" w:color="auto"/>
      </w:pBdr>
      <w:spacing w:before="100" w:beforeAutospacing="1" w:after="100" w:afterAutospacing="1"/>
      <w:jc w:val="center"/>
    </w:pPr>
    <w:rPr>
      <w:rFonts w:eastAsia="Arial Unicode MS"/>
      <w:sz w:val="16"/>
      <w:szCs w:val="16"/>
    </w:rPr>
  </w:style>
  <w:style w:type="paragraph" w:customStyle="1" w:styleId="xl68">
    <w:name w:val="xl68"/>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eastAsia="Arial Unicode MS"/>
      <w:sz w:val="16"/>
      <w:szCs w:val="16"/>
    </w:rPr>
  </w:style>
  <w:style w:type="paragraph" w:customStyle="1" w:styleId="xl69">
    <w:name w:val="xl69"/>
    <w:basedOn w:val="Normal"/>
    <w:pPr>
      <w:pBdr>
        <w:top w:val="single" w:sz="8" w:space="0" w:color="auto"/>
        <w:bottom w:val="single" w:sz="4" w:space="0" w:color="auto"/>
        <w:right w:val="single" w:sz="4" w:space="0" w:color="auto"/>
      </w:pBdr>
      <w:spacing w:before="100" w:beforeAutospacing="1" w:after="100" w:afterAutospacing="1"/>
      <w:jc w:val="center"/>
    </w:pPr>
    <w:rPr>
      <w:rFonts w:eastAsia="Arial Unicode MS"/>
      <w:sz w:val="16"/>
      <w:szCs w:val="16"/>
    </w:rPr>
  </w:style>
  <w:style w:type="paragraph" w:customStyle="1" w:styleId="xl70">
    <w:name w:val="xl70"/>
    <w:basedOn w:val="Normal"/>
    <w:pPr>
      <w:pBdr>
        <w:top w:val="single" w:sz="8" w:space="0" w:color="auto"/>
        <w:bottom w:val="single" w:sz="4" w:space="0" w:color="auto"/>
        <w:right w:val="single" w:sz="8" w:space="0" w:color="auto"/>
      </w:pBdr>
      <w:spacing w:before="100" w:beforeAutospacing="1" w:after="100" w:afterAutospacing="1"/>
      <w:jc w:val="center"/>
    </w:pPr>
    <w:rPr>
      <w:rFonts w:eastAsia="Arial Unicode MS"/>
      <w:sz w:val="16"/>
      <w:szCs w:val="16"/>
    </w:rPr>
  </w:style>
  <w:style w:type="paragraph" w:customStyle="1" w:styleId="xl71">
    <w:name w:val="xl71"/>
    <w:basedOn w:val="Normal"/>
    <w:pPr>
      <w:pBdr>
        <w:bottom w:val="single" w:sz="4" w:space="0" w:color="auto"/>
        <w:right w:val="single" w:sz="8" w:space="0" w:color="auto"/>
      </w:pBdr>
      <w:spacing w:before="100" w:beforeAutospacing="1" w:after="100" w:afterAutospacing="1"/>
      <w:jc w:val="center"/>
    </w:pPr>
    <w:rPr>
      <w:rFonts w:eastAsia="Arial Unicode MS"/>
      <w:sz w:val="16"/>
      <w:szCs w:val="16"/>
    </w:rPr>
  </w:style>
  <w:style w:type="paragraph" w:customStyle="1" w:styleId="xl72">
    <w:name w:val="xl72"/>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eastAsia="Arial Unicode MS"/>
      <w:sz w:val="16"/>
      <w:szCs w:val="16"/>
    </w:rPr>
  </w:style>
  <w:style w:type="paragraph" w:customStyle="1" w:styleId="xl73">
    <w:name w:val="xl73"/>
    <w:basedOn w:val="Normal"/>
    <w:pPr>
      <w:pBdr>
        <w:bottom w:val="single" w:sz="8" w:space="0" w:color="auto"/>
        <w:right w:val="single" w:sz="4" w:space="0" w:color="auto"/>
      </w:pBdr>
      <w:spacing w:before="100" w:beforeAutospacing="1" w:after="100" w:afterAutospacing="1"/>
      <w:jc w:val="center"/>
    </w:pPr>
    <w:rPr>
      <w:rFonts w:eastAsia="Arial Unicode MS"/>
      <w:sz w:val="16"/>
      <w:szCs w:val="16"/>
    </w:rPr>
  </w:style>
  <w:style w:type="paragraph" w:customStyle="1" w:styleId="xl74">
    <w:name w:val="xl74"/>
    <w:basedOn w:val="Normal"/>
    <w:pPr>
      <w:pBdr>
        <w:bottom w:val="single" w:sz="8" w:space="0" w:color="auto"/>
        <w:right w:val="single" w:sz="8" w:space="0" w:color="auto"/>
      </w:pBdr>
      <w:spacing w:before="100" w:beforeAutospacing="1" w:after="100" w:afterAutospacing="1"/>
      <w:jc w:val="center"/>
    </w:pPr>
    <w:rPr>
      <w:rFonts w:eastAsia="Arial Unicode MS"/>
      <w:sz w:val="16"/>
      <w:szCs w:val="16"/>
    </w:rPr>
  </w:style>
  <w:style w:type="paragraph" w:customStyle="1" w:styleId="xl75">
    <w:name w:val="xl75"/>
    <w:basedOn w:val="Normal"/>
    <w:pPr>
      <w:pBdr>
        <w:bottom w:val="single" w:sz="4" w:space="0" w:color="auto"/>
        <w:right w:val="single" w:sz="4" w:space="0" w:color="auto"/>
      </w:pBdr>
      <w:spacing w:before="100" w:beforeAutospacing="1" w:after="100" w:afterAutospacing="1"/>
      <w:jc w:val="center"/>
    </w:pPr>
    <w:rPr>
      <w:rFonts w:eastAsia="Arial Unicode MS"/>
      <w:b/>
      <w:bCs/>
      <w:sz w:val="16"/>
      <w:szCs w:val="16"/>
    </w:rPr>
  </w:style>
  <w:style w:type="paragraph" w:customStyle="1" w:styleId="xl76">
    <w:name w:val="xl76"/>
    <w:basedOn w:val="Normal"/>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b/>
      <w:bCs/>
      <w:sz w:val="16"/>
      <w:szCs w:val="16"/>
    </w:rPr>
  </w:style>
  <w:style w:type="paragraph" w:customStyle="1" w:styleId="xl77">
    <w:name w:val="xl77"/>
    <w:basedOn w:val="Normal"/>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b/>
      <w:bCs/>
      <w:sz w:val="16"/>
      <w:szCs w:val="16"/>
    </w:rPr>
  </w:style>
  <w:style w:type="paragraph" w:customStyle="1" w:styleId="xl78">
    <w:name w:val="xl78"/>
    <w:basedOn w:val="Normal"/>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b/>
      <w:bCs/>
      <w:sz w:val="16"/>
      <w:szCs w:val="16"/>
    </w:rPr>
  </w:style>
  <w:style w:type="paragraph" w:customStyle="1" w:styleId="xl79">
    <w:name w:val="xl79"/>
    <w:basedOn w:val="Normal"/>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b/>
      <w:bCs/>
      <w:sz w:val="16"/>
      <w:szCs w:val="16"/>
    </w:rPr>
  </w:style>
  <w:style w:type="paragraph" w:customStyle="1" w:styleId="EntInstit">
    <w:name w:val="EntInstit"/>
    <w:pPr>
      <w:spacing w:after="200" w:line="276" w:lineRule="auto"/>
      <w:jc w:val="right"/>
    </w:pPr>
    <w:rPr>
      <w:b/>
      <w:sz w:val="24"/>
      <w:szCs w:val="22"/>
    </w:rPr>
  </w:style>
  <w:style w:type="paragraph" w:customStyle="1" w:styleId="NormalConseil">
    <w:name w:val="NormalConseil"/>
    <w:basedOn w:val="Normal"/>
    <w:pPr>
      <w:spacing w:before="0" w:after="0"/>
      <w:jc w:val="left"/>
    </w:pPr>
    <w:rPr>
      <w:szCs w:val="20"/>
    </w:rPr>
  </w:style>
  <w:style w:type="paragraph" w:customStyle="1" w:styleId="EntRefer">
    <w:name w:val="EntRefer"/>
    <w:pPr>
      <w:spacing w:after="200" w:line="276" w:lineRule="auto"/>
    </w:pPr>
    <w:rPr>
      <w:b/>
      <w:sz w:val="24"/>
      <w:szCs w:val="22"/>
    </w:rPr>
  </w:style>
  <w:style w:type="paragraph" w:customStyle="1" w:styleId="EntEmet">
    <w:name w:val="EntEmet"/>
    <w:pPr>
      <w:tabs>
        <w:tab w:val="left" w:pos="284"/>
        <w:tab w:val="left" w:pos="567"/>
        <w:tab w:val="left" w:pos="851"/>
        <w:tab w:val="left" w:pos="1134"/>
        <w:tab w:val="left" w:pos="1418"/>
      </w:tabs>
      <w:spacing w:before="40" w:after="200" w:line="276" w:lineRule="auto"/>
    </w:pPr>
    <w:rPr>
      <w:sz w:val="24"/>
      <w:szCs w:val="22"/>
    </w:rPr>
  </w:style>
  <w:style w:type="paragraph" w:customStyle="1" w:styleId="EntLogo">
    <w:name w:val="EntLogo"/>
    <w:next w:val="EntInstit"/>
    <w:pPr>
      <w:spacing w:after="200" w:line="360" w:lineRule="auto"/>
    </w:pPr>
    <w:rPr>
      <w:b/>
      <w:sz w:val="24"/>
      <w:szCs w:val="22"/>
    </w:rPr>
  </w:style>
  <w:style w:type="paragraph" w:customStyle="1" w:styleId="FooterConseil">
    <w:name w:val="FooterConseil"/>
    <w:pPr>
      <w:tabs>
        <w:tab w:val="center" w:pos="4820"/>
        <w:tab w:val="center" w:pos="7371"/>
        <w:tab w:val="right" w:pos="9639"/>
      </w:tabs>
      <w:spacing w:after="200" w:line="276" w:lineRule="auto"/>
    </w:pPr>
    <w:rPr>
      <w:sz w:val="24"/>
      <w:szCs w:val="22"/>
    </w:rPr>
  </w:style>
  <w:style w:type="paragraph" w:customStyle="1" w:styleId="FigureCaption">
    <w:name w:val="Figure Caption"/>
    <w:basedOn w:val="Normal"/>
    <w:pPr>
      <w:spacing w:before="0" w:after="0"/>
      <w:jc w:val="left"/>
    </w:pPr>
    <w:rPr>
      <w:rFonts w:ascii="Arial" w:hAnsi="Arial"/>
      <w:sz w:val="22"/>
      <w:szCs w:val="20"/>
    </w:rPr>
  </w:style>
  <w:style w:type="paragraph" w:customStyle="1" w:styleId="Question">
    <w:name w:val="Question"/>
    <w:basedOn w:val="Normal"/>
    <w:pPr>
      <w:pBdr>
        <w:top w:val="single" w:sz="4" w:space="1" w:color="auto"/>
        <w:left w:val="single" w:sz="4" w:space="4" w:color="auto"/>
        <w:bottom w:val="single" w:sz="4" w:space="1" w:color="auto"/>
        <w:right w:val="single" w:sz="4" w:space="4" w:color="auto"/>
      </w:pBdr>
      <w:spacing w:before="60" w:after="80"/>
      <w:jc w:val="left"/>
    </w:pPr>
    <w:rPr>
      <w:rFonts w:ascii="Arial Black" w:hAnsi="Arial Black"/>
      <w:sz w:val="22"/>
      <w:szCs w:val="20"/>
    </w:rPr>
  </w:style>
  <w:style w:type="paragraph" w:customStyle="1" w:styleId="Keymessage">
    <w:name w:val="Key message"/>
    <w:basedOn w:val="Normal"/>
    <w:pPr>
      <w:numPr>
        <w:numId w:val="32"/>
      </w:numPr>
      <w:pBdr>
        <w:top w:val="single" w:sz="4" w:space="1" w:color="auto"/>
        <w:left w:val="single" w:sz="4" w:space="4" w:color="auto"/>
        <w:bottom w:val="single" w:sz="4" w:space="1" w:color="auto"/>
        <w:right w:val="single" w:sz="4" w:space="4" w:color="auto"/>
      </w:pBdr>
      <w:shd w:val="clear" w:color="auto" w:fill="F3F3F3"/>
      <w:spacing w:before="60" w:after="60"/>
      <w:ind w:left="357" w:hanging="357"/>
      <w:jc w:val="left"/>
    </w:pPr>
    <w:rPr>
      <w:rFonts w:ascii="Palatino Linotype" w:hAnsi="Palatino Linotype"/>
      <w:sz w:val="22"/>
      <w:szCs w:val="20"/>
    </w:rPr>
  </w:style>
  <w:style w:type="paragraph" w:customStyle="1" w:styleId="graph">
    <w:name w:val="graph"/>
    <w:basedOn w:val="Normal"/>
    <w:pPr>
      <w:spacing w:before="0" w:after="0"/>
      <w:ind w:left="6158" w:hanging="6158"/>
      <w:jc w:val="left"/>
    </w:pPr>
    <w:rPr>
      <w:rFonts w:ascii="Palatino Linotype" w:hAnsi="Palatino Linotype"/>
      <w:sz w:val="22"/>
      <w:szCs w:val="20"/>
    </w:rPr>
  </w:style>
  <w:style w:type="paragraph" w:customStyle="1" w:styleId="FormatvorlageSource8ptFett">
    <w:name w:val="Formatvorlage Source + 8 pt Fett"/>
    <w:basedOn w:val="Normal"/>
    <w:pPr>
      <w:keepNext/>
      <w:keepLines/>
      <w:spacing w:before="60" w:after="0"/>
      <w:ind w:left="1134" w:hanging="1134"/>
      <w:jc w:val="left"/>
    </w:pPr>
    <w:rPr>
      <w:rFonts w:ascii="Arial" w:hAnsi="Arial"/>
      <w:b/>
      <w:bCs/>
      <w:sz w:val="16"/>
      <w:szCs w:val="16"/>
    </w:rPr>
  </w:style>
  <w:style w:type="paragraph" w:customStyle="1" w:styleId="source0">
    <w:name w:val="source"/>
    <w:basedOn w:val="Normal"/>
    <w:pPr>
      <w:keepLines/>
      <w:spacing w:before="0" w:after="0"/>
      <w:jc w:val="left"/>
    </w:pPr>
    <w:rPr>
      <w:rFonts w:ascii="Arial" w:hAnsi="Arial"/>
      <w:sz w:val="16"/>
      <w:szCs w:val="16"/>
    </w:rPr>
  </w:style>
  <w:style w:type="paragraph" w:styleId="BodyText3">
    <w:name w:val="Body Text 3"/>
    <w:basedOn w:val="Normal"/>
    <w:link w:val="BodyText3Char"/>
    <w:uiPriority w:val="99"/>
    <w:pPr>
      <w:widowControl w:val="0"/>
      <w:adjustRightInd w:val="0"/>
      <w:jc w:val="left"/>
      <w:textAlignment w:val="baseline"/>
    </w:pPr>
    <w:rPr>
      <w:rFonts w:ascii="NewBskvll BT" w:hAnsi="NewBskvll BT"/>
      <w:sz w:val="22"/>
      <w:szCs w:val="20"/>
    </w:rPr>
  </w:style>
  <w:style w:type="character" w:customStyle="1" w:styleId="BodyText3Char">
    <w:name w:val="Body Text 3 Char"/>
    <w:link w:val="BodyText3"/>
    <w:uiPriority w:val="99"/>
    <w:rPr>
      <w:rFonts w:ascii="NewBskvll BT" w:hAnsi="NewBskvll BT"/>
      <w:sz w:val="22"/>
      <w:shd w:val="clear" w:color="auto" w:fill="auto"/>
    </w:rPr>
  </w:style>
  <w:style w:type="paragraph" w:customStyle="1" w:styleId="StandardEC-NIR">
    <w:name w:val="Standard_EC-NIR"/>
    <w:basedOn w:val="Normal"/>
    <w:pPr>
      <w:widowControl w:val="0"/>
      <w:adjustRightInd w:val="0"/>
      <w:textAlignment w:val="baseline"/>
    </w:pPr>
    <w:rPr>
      <w:sz w:val="20"/>
      <w:szCs w:val="20"/>
    </w:rPr>
  </w:style>
  <w:style w:type="character" w:customStyle="1" w:styleId="Table-ContentsCTChar">
    <w:name w:val="Table - Contents (CT) Char"/>
    <w:link w:val="Table-ContentsCT"/>
    <w:locked/>
    <w:rPr>
      <w:rFonts w:ascii="Arial" w:hAnsi="Arial"/>
      <w:sz w:val="16"/>
      <w:lang w:val="bg-BG" w:eastAsia="bg-BG"/>
    </w:rPr>
  </w:style>
  <w:style w:type="paragraph" w:customStyle="1" w:styleId="Table-ContentsCT">
    <w:name w:val="Table - Contents (CT)"/>
    <w:link w:val="Table-ContentsCTChar"/>
    <w:qFormat/>
    <w:pPr>
      <w:spacing w:before="80" w:after="80" w:line="276" w:lineRule="auto"/>
    </w:pPr>
    <w:rPr>
      <w:rFonts w:ascii="Arial" w:hAnsi="Arial"/>
      <w:sz w:val="16"/>
    </w:rPr>
  </w:style>
  <w:style w:type="paragraph" w:customStyle="1" w:styleId="Maualheading">
    <w:name w:val="Maual heading"/>
    <w:basedOn w:val="Objetacteprincipal"/>
    <w:pPr>
      <w:jc w:val="both"/>
    </w:pPr>
    <w:rPr>
      <w:noProof/>
      <w:szCs w:val="20"/>
    </w:rPr>
  </w:style>
  <w:style w:type="character" w:customStyle="1" w:styleId="ListParagraphChar">
    <w:name w:val="List Paragraph Char"/>
    <w:aliases w:val="Heading 2_sj Char"/>
    <w:link w:val="ListParagraph"/>
    <w:uiPriority w:val="34"/>
    <w:locked/>
    <w:rPr>
      <w:rFonts w:ascii="Calibri" w:eastAsia="Calibri" w:hAnsi="Calibri" w:cs="Calibri"/>
      <w:sz w:val="22"/>
    </w:rPr>
  </w:style>
  <w:style w:type="paragraph" w:customStyle="1" w:styleId="font7">
    <w:name w:val="font7"/>
    <w:basedOn w:val="Normal"/>
    <w:pPr>
      <w:spacing w:before="100" w:beforeAutospacing="1" w:after="100" w:afterAutospacing="1"/>
      <w:jc w:val="left"/>
    </w:pPr>
    <w:rPr>
      <w:rFonts w:ascii="Calibri" w:hAnsi="Calibri" w:cs="Calibri"/>
      <w:b/>
      <w:bCs/>
      <w:sz w:val="22"/>
      <w:szCs w:val="20"/>
    </w:rPr>
  </w:style>
  <w:style w:type="paragraph" w:customStyle="1" w:styleId="font8">
    <w:name w:val="font8"/>
    <w:basedOn w:val="Normal"/>
    <w:pPr>
      <w:spacing w:before="100" w:beforeAutospacing="1" w:after="100" w:afterAutospacing="1"/>
      <w:jc w:val="left"/>
    </w:pPr>
    <w:rPr>
      <w:rFonts w:ascii="Calibri" w:hAnsi="Calibri" w:cs="Calibri"/>
      <w:sz w:val="22"/>
      <w:szCs w:val="20"/>
    </w:rPr>
  </w:style>
  <w:style w:type="paragraph" w:customStyle="1" w:styleId="font9">
    <w:name w:val="font9"/>
    <w:basedOn w:val="Normal"/>
    <w:pPr>
      <w:spacing w:before="100" w:beforeAutospacing="1" w:after="100" w:afterAutospacing="1"/>
      <w:jc w:val="left"/>
    </w:pPr>
    <w:rPr>
      <w:rFonts w:ascii="Calibri" w:hAnsi="Calibri" w:cs="Calibri"/>
      <w:color w:val="000000"/>
      <w:sz w:val="22"/>
      <w:szCs w:val="20"/>
    </w:rPr>
  </w:style>
  <w:style w:type="paragraph" w:customStyle="1" w:styleId="font10">
    <w:name w:val="font10"/>
    <w:basedOn w:val="Normal"/>
    <w:pPr>
      <w:spacing w:before="100" w:beforeAutospacing="1" w:after="100" w:afterAutospacing="1"/>
      <w:jc w:val="left"/>
    </w:pPr>
    <w:rPr>
      <w:rFonts w:ascii="Calibri" w:hAnsi="Calibri" w:cs="Calibri"/>
      <w:sz w:val="22"/>
      <w:szCs w:val="20"/>
    </w:rPr>
  </w:style>
  <w:style w:type="paragraph" w:customStyle="1" w:styleId="font11">
    <w:name w:val="font11"/>
    <w:basedOn w:val="Normal"/>
    <w:pPr>
      <w:spacing w:before="100" w:beforeAutospacing="1" w:after="100" w:afterAutospacing="1"/>
      <w:jc w:val="left"/>
    </w:pPr>
    <w:rPr>
      <w:rFonts w:ascii="Calibri" w:hAnsi="Calibri" w:cs="Calibri"/>
      <w:i/>
      <w:iCs/>
      <w:sz w:val="22"/>
      <w:szCs w:val="20"/>
    </w:rPr>
  </w:style>
  <w:style w:type="paragraph" w:customStyle="1" w:styleId="font12">
    <w:name w:val="font12"/>
    <w:basedOn w:val="Normal"/>
    <w:pPr>
      <w:spacing w:before="100" w:beforeAutospacing="1" w:after="100" w:afterAutospacing="1"/>
      <w:jc w:val="left"/>
    </w:pPr>
    <w:rPr>
      <w:rFonts w:ascii="Calibri" w:hAnsi="Calibri" w:cs="Calibri"/>
      <w:i/>
      <w:iCs/>
      <w:sz w:val="22"/>
      <w:szCs w:val="20"/>
    </w:rPr>
  </w:style>
  <w:style w:type="paragraph" w:customStyle="1" w:styleId="xl196">
    <w:name w:val="xl1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color w:val="000000"/>
      <w:sz w:val="22"/>
      <w:szCs w:val="20"/>
    </w:rPr>
  </w:style>
  <w:style w:type="paragraph" w:customStyle="1" w:styleId="xl197">
    <w:name w:val="xl197"/>
    <w:basedOn w:val="Normal"/>
    <w:pPr>
      <w:spacing w:before="100" w:beforeAutospacing="1" w:after="100" w:afterAutospacing="1"/>
      <w:jc w:val="left"/>
    </w:pPr>
    <w:rPr>
      <w:rFonts w:ascii="Calibri" w:hAnsi="Calibri" w:cs="Calibri"/>
      <w:sz w:val="22"/>
      <w:szCs w:val="20"/>
    </w:rPr>
  </w:style>
  <w:style w:type="paragraph" w:customStyle="1" w:styleId="xl198">
    <w:name w:val="xl198"/>
    <w:basedOn w:val="Normal"/>
    <w:pPr>
      <w:spacing w:before="100" w:beforeAutospacing="1" w:after="100" w:afterAutospacing="1"/>
      <w:jc w:val="left"/>
    </w:pPr>
    <w:rPr>
      <w:rFonts w:ascii="Calibri" w:hAnsi="Calibri" w:cs="Calibri"/>
      <w:sz w:val="22"/>
      <w:szCs w:val="20"/>
    </w:rPr>
  </w:style>
  <w:style w:type="paragraph" w:customStyle="1" w:styleId="xl199">
    <w:name w:val="xl199"/>
    <w:basedOn w:val="Normal"/>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Calibri" w:hAnsi="Calibri" w:cs="Calibri"/>
      <w:b/>
      <w:bCs/>
      <w:sz w:val="22"/>
      <w:szCs w:val="20"/>
    </w:rPr>
  </w:style>
  <w:style w:type="paragraph" w:customStyle="1" w:styleId="xl200">
    <w:name w:val="xl200"/>
    <w:basedOn w:val="Normal"/>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ascii="Calibri" w:hAnsi="Calibri" w:cs="Calibri"/>
      <w:color w:val="000000"/>
      <w:sz w:val="22"/>
      <w:szCs w:val="20"/>
    </w:rPr>
  </w:style>
  <w:style w:type="paragraph" w:customStyle="1" w:styleId="xl201">
    <w:name w:val="xl201"/>
    <w:basedOn w:val="Normal"/>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Calibri" w:hAnsi="Calibri" w:cs="Calibri"/>
      <w:color w:val="000000"/>
      <w:sz w:val="22"/>
      <w:szCs w:val="20"/>
    </w:rPr>
  </w:style>
  <w:style w:type="paragraph" w:customStyle="1" w:styleId="xl202">
    <w:name w:val="xl202"/>
    <w:basedOn w:val="Normal"/>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ascii="Calibri" w:hAnsi="Calibri" w:cs="Calibri"/>
      <w:sz w:val="22"/>
      <w:szCs w:val="20"/>
    </w:rPr>
  </w:style>
  <w:style w:type="paragraph" w:customStyle="1" w:styleId="xl203">
    <w:name w:val="xl203"/>
    <w:basedOn w:val="Normal"/>
    <w:pPr>
      <w:pBdr>
        <w:top w:val="single" w:sz="4" w:space="0" w:color="auto"/>
        <w:left w:val="single" w:sz="4" w:space="0" w:color="auto"/>
        <w:bottom w:val="single" w:sz="4" w:space="0" w:color="auto"/>
      </w:pBdr>
      <w:shd w:val="clear" w:color="000000" w:fill="CCFFCC"/>
      <w:spacing w:before="100" w:beforeAutospacing="1" w:after="100" w:afterAutospacing="1"/>
      <w:jc w:val="left"/>
      <w:textAlignment w:val="center"/>
    </w:pPr>
    <w:rPr>
      <w:rFonts w:ascii="Calibri" w:hAnsi="Calibri" w:cs="Calibri"/>
      <w:sz w:val="22"/>
      <w:szCs w:val="20"/>
    </w:rPr>
  </w:style>
  <w:style w:type="paragraph" w:customStyle="1" w:styleId="xl204">
    <w:name w:val="xl204"/>
    <w:basedOn w:val="Normal"/>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Calibri" w:hAnsi="Calibri" w:cs="Calibri"/>
      <w:sz w:val="22"/>
      <w:szCs w:val="20"/>
    </w:rPr>
  </w:style>
  <w:style w:type="paragraph" w:customStyle="1" w:styleId="xl205">
    <w:name w:val="xl205"/>
    <w:basedOn w:val="Normal"/>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ascii="Calibri" w:hAnsi="Calibri" w:cs="Calibri"/>
      <w:sz w:val="22"/>
      <w:szCs w:val="20"/>
    </w:rPr>
  </w:style>
  <w:style w:type="paragraph" w:customStyle="1" w:styleId="xl206">
    <w:name w:val="xl20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color w:val="000000"/>
      <w:sz w:val="22"/>
      <w:szCs w:val="20"/>
    </w:rPr>
  </w:style>
  <w:style w:type="paragraph" w:customStyle="1" w:styleId="xl207">
    <w:name w:val="xl20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color w:val="000000"/>
      <w:sz w:val="22"/>
      <w:szCs w:val="20"/>
    </w:rPr>
  </w:style>
  <w:style w:type="paragraph" w:customStyle="1" w:styleId="xl208">
    <w:name w:val="xl2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2"/>
      <w:szCs w:val="20"/>
    </w:rPr>
  </w:style>
  <w:style w:type="paragraph" w:customStyle="1" w:styleId="xl209">
    <w:name w:val="xl2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2"/>
      <w:szCs w:val="20"/>
    </w:rPr>
  </w:style>
  <w:style w:type="paragraph" w:customStyle="1" w:styleId="xl210">
    <w:name w:val="xl21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color w:val="000000"/>
      <w:sz w:val="22"/>
      <w:szCs w:val="20"/>
    </w:rPr>
  </w:style>
  <w:style w:type="paragraph" w:customStyle="1" w:styleId="xl211">
    <w:name w:val="xl21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2"/>
      <w:szCs w:val="20"/>
    </w:rPr>
  </w:style>
  <w:style w:type="paragraph" w:customStyle="1" w:styleId="xl212">
    <w:name w:val="xl212"/>
    <w:basedOn w:val="Normal"/>
    <w:pPr>
      <w:spacing w:before="100" w:beforeAutospacing="1" w:after="100" w:afterAutospacing="1"/>
      <w:jc w:val="left"/>
    </w:pPr>
    <w:rPr>
      <w:rFonts w:ascii="Calibri" w:hAnsi="Calibri" w:cs="Calibri"/>
      <w:b/>
      <w:bCs/>
      <w:sz w:val="22"/>
      <w:szCs w:val="20"/>
    </w:rPr>
  </w:style>
  <w:style w:type="paragraph" w:customStyle="1" w:styleId="xl213">
    <w:name w:val="xl21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color w:val="000000"/>
      <w:sz w:val="22"/>
      <w:szCs w:val="20"/>
    </w:rPr>
  </w:style>
  <w:style w:type="paragraph" w:customStyle="1" w:styleId="xl214">
    <w:name w:val="xl21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color w:val="000000"/>
      <w:sz w:val="22"/>
      <w:szCs w:val="20"/>
    </w:rPr>
  </w:style>
  <w:style w:type="paragraph" w:customStyle="1" w:styleId="xl215">
    <w:name w:val="xl21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color w:val="000000"/>
      <w:sz w:val="22"/>
      <w:szCs w:val="20"/>
    </w:rPr>
  </w:style>
  <w:style w:type="paragraph" w:customStyle="1" w:styleId="xl216">
    <w:name w:val="xl21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sz w:val="22"/>
      <w:szCs w:val="20"/>
    </w:rPr>
  </w:style>
  <w:style w:type="paragraph" w:customStyle="1" w:styleId="xl217">
    <w:name w:val="xl21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sz w:val="22"/>
      <w:szCs w:val="20"/>
    </w:rPr>
  </w:style>
  <w:style w:type="paragraph" w:customStyle="1" w:styleId="xl218">
    <w:name w:val="xl218"/>
    <w:basedOn w:val="Normal"/>
    <w:pPr>
      <w:spacing w:before="100" w:beforeAutospacing="1" w:after="100" w:afterAutospacing="1"/>
      <w:jc w:val="left"/>
    </w:pPr>
    <w:rPr>
      <w:rFonts w:ascii="Calibri" w:hAnsi="Calibri" w:cs="Calibri"/>
      <w:color w:val="FF00FF"/>
      <w:sz w:val="22"/>
      <w:szCs w:val="20"/>
    </w:rPr>
  </w:style>
  <w:style w:type="paragraph" w:customStyle="1" w:styleId="xl219">
    <w:name w:val="xl219"/>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Calibri" w:hAnsi="Calibri" w:cs="Calibri"/>
      <w:color w:val="000000"/>
      <w:sz w:val="22"/>
      <w:szCs w:val="20"/>
    </w:rPr>
  </w:style>
  <w:style w:type="paragraph" w:customStyle="1" w:styleId="xl220">
    <w:name w:val="xl220"/>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Calibri" w:hAnsi="Calibri" w:cs="Calibri"/>
      <w:color w:val="000000"/>
      <w:sz w:val="22"/>
      <w:szCs w:val="20"/>
    </w:rPr>
  </w:style>
  <w:style w:type="paragraph" w:customStyle="1" w:styleId="xl221">
    <w:name w:val="xl221"/>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Calibri" w:hAnsi="Calibri" w:cs="Calibri"/>
      <w:color w:val="000000"/>
      <w:sz w:val="22"/>
      <w:szCs w:val="20"/>
    </w:rPr>
  </w:style>
  <w:style w:type="paragraph" w:customStyle="1" w:styleId="xl222">
    <w:name w:val="xl222"/>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Calibri" w:hAnsi="Calibri" w:cs="Calibri"/>
      <w:sz w:val="22"/>
      <w:szCs w:val="20"/>
    </w:rPr>
  </w:style>
  <w:style w:type="paragraph" w:customStyle="1" w:styleId="xl223">
    <w:name w:val="xl223"/>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Calibri" w:hAnsi="Calibri" w:cs="Calibri"/>
      <w:sz w:val="22"/>
      <w:szCs w:val="20"/>
    </w:rPr>
  </w:style>
  <w:style w:type="paragraph" w:customStyle="1" w:styleId="xl224">
    <w:name w:val="xl224"/>
    <w:basedOn w:val="Normal"/>
    <w:pPr>
      <w:shd w:val="clear" w:color="000000" w:fill="DDD9C4"/>
      <w:spacing w:before="100" w:beforeAutospacing="1" w:after="100" w:afterAutospacing="1"/>
      <w:jc w:val="left"/>
    </w:pPr>
    <w:rPr>
      <w:rFonts w:ascii="Calibri" w:hAnsi="Calibri" w:cs="Calibri"/>
      <w:sz w:val="22"/>
      <w:szCs w:val="20"/>
    </w:rPr>
  </w:style>
  <w:style w:type="paragraph" w:customStyle="1" w:styleId="xl225">
    <w:name w:val="xl225"/>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pPr>
    <w:rPr>
      <w:rFonts w:ascii="Calibri" w:hAnsi="Calibri" w:cs="Calibri"/>
      <w:sz w:val="22"/>
      <w:szCs w:val="20"/>
    </w:rPr>
  </w:style>
  <w:style w:type="paragraph" w:customStyle="1" w:styleId="xl226">
    <w:name w:val="xl226"/>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Calibri" w:hAnsi="Calibri" w:cs="Calibri"/>
      <w:color w:val="000000"/>
      <w:sz w:val="22"/>
      <w:szCs w:val="20"/>
    </w:rPr>
  </w:style>
  <w:style w:type="paragraph" w:customStyle="1" w:styleId="xl227">
    <w:name w:val="xl227"/>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Calibri" w:hAnsi="Calibri" w:cs="Calibri"/>
      <w:b/>
      <w:bCs/>
      <w:sz w:val="22"/>
      <w:szCs w:val="20"/>
    </w:rPr>
  </w:style>
  <w:style w:type="paragraph" w:customStyle="1" w:styleId="xl228">
    <w:name w:val="xl228"/>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Calibri" w:hAnsi="Calibri" w:cs="Calibri"/>
      <w:b/>
      <w:bCs/>
      <w:sz w:val="22"/>
      <w:szCs w:val="20"/>
    </w:rPr>
  </w:style>
  <w:style w:type="paragraph" w:customStyle="1" w:styleId="xl229">
    <w:name w:val="xl229"/>
    <w:basedOn w:val="Normal"/>
    <w:pPr>
      <w:shd w:val="clear" w:color="000000" w:fill="DDD9C4"/>
      <w:spacing w:before="100" w:beforeAutospacing="1" w:after="100" w:afterAutospacing="1"/>
      <w:jc w:val="left"/>
    </w:pPr>
    <w:rPr>
      <w:rFonts w:ascii="Calibri" w:hAnsi="Calibri" w:cs="Calibri"/>
      <w:b/>
      <w:bCs/>
      <w:sz w:val="22"/>
      <w:szCs w:val="20"/>
    </w:rPr>
  </w:style>
  <w:style w:type="paragraph" w:customStyle="1" w:styleId="xl230">
    <w:name w:val="xl230"/>
    <w:basedOn w:val="Normal"/>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ascii="Calibri" w:hAnsi="Calibri" w:cs="Calibri"/>
      <w:i/>
      <w:iCs/>
      <w:sz w:val="22"/>
      <w:szCs w:val="20"/>
    </w:rPr>
  </w:style>
  <w:style w:type="paragraph" w:customStyle="1" w:styleId="xl231">
    <w:name w:val="xl231"/>
    <w:basedOn w:val="Normal"/>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Calibri" w:hAnsi="Calibri" w:cs="Calibri"/>
      <w:i/>
      <w:iCs/>
      <w:sz w:val="22"/>
      <w:szCs w:val="20"/>
    </w:rPr>
  </w:style>
  <w:style w:type="paragraph" w:customStyle="1" w:styleId="xl232">
    <w:name w:val="xl232"/>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Calibri" w:hAnsi="Calibri" w:cs="Calibri"/>
      <w:b/>
      <w:bCs/>
      <w:i/>
      <w:iCs/>
      <w:sz w:val="22"/>
      <w:szCs w:val="20"/>
    </w:rPr>
  </w:style>
  <w:style w:type="paragraph" w:customStyle="1" w:styleId="xl233">
    <w:name w:val="xl233"/>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Calibri" w:hAnsi="Calibri" w:cs="Calibri"/>
      <w:i/>
      <w:iCs/>
      <w:sz w:val="22"/>
      <w:szCs w:val="20"/>
    </w:rPr>
  </w:style>
  <w:style w:type="paragraph" w:customStyle="1" w:styleId="xl234">
    <w:name w:val="xl23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i/>
      <w:iCs/>
      <w:sz w:val="22"/>
      <w:szCs w:val="20"/>
    </w:rPr>
  </w:style>
  <w:style w:type="paragraph" w:customStyle="1" w:styleId="xl235">
    <w:name w:val="xl23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i/>
      <w:iCs/>
      <w:sz w:val="22"/>
      <w:szCs w:val="20"/>
    </w:rPr>
  </w:style>
  <w:style w:type="paragraph" w:customStyle="1" w:styleId="xl236">
    <w:name w:val="xl23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i/>
      <w:iCs/>
      <w:sz w:val="22"/>
      <w:szCs w:val="20"/>
    </w:rPr>
  </w:style>
  <w:style w:type="paragraph" w:customStyle="1" w:styleId="xl237">
    <w:name w:val="xl237"/>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Calibri" w:hAnsi="Calibri" w:cs="Calibri"/>
      <w:b/>
      <w:bCs/>
      <w:color w:val="000000"/>
      <w:sz w:val="22"/>
      <w:szCs w:val="20"/>
    </w:rPr>
  </w:style>
  <w:style w:type="paragraph" w:customStyle="1" w:styleId="xl238">
    <w:name w:val="xl238"/>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Calibri" w:hAnsi="Calibri" w:cs="Calibri"/>
      <w:b/>
      <w:bCs/>
      <w:color w:val="000000"/>
      <w:sz w:val="22"/>
      <w:szCs w:val="20"/>
    </w:rPr>
  </w:style>
  <w:style w:type="paragraph" w:customStyle="1" w:styleId="xl239">
    <w:name w:val="xl239"/>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Calibri" w:hAnsi="Calibri" w:cs="Calibri"/>
      <w:b/>
      <w:bCs/>
      <w:color w:val="000000"/>
      <w:sz w:val="22"/>
      <w:szCs w:val="20"/>
    </w:rPr>
  </w:style>
  <w:style w:type="paragraph" w:customStyle="1" w:styleId="xl240">
    <w:name w:val="xl240"/>
    <w:basedOn w:val="Normal"/>
    <w:pPr>
      <w:spacing w:before="100" w:beforeAutospacing="1" w:after="100" w:afterAutospacing="1"/>
      <w:jc w:val="right"/>
    </w:pPr>
    <w:rPr>
      <w:rFonts w:ascii="Calibri" w:hAnsi="Calibri" w:cs="Calibri"/>
      <w:sz w:val="22"/>
      <w:szCs w:val="20"/>
    </w:rPr>
  </w:style>
  <w:style w:type="paragraph" w:customStyle="1" w:styleId="xl241">
    <w:name w:val="xl241"/>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Calibri" w:hAnsi="Calibri" w:cs="Calibri"/>
      <w:sz w:val="22"/>
      <w:szCs w:val="20"/>
    </w:rPr>
  </w:style>
  <w:style w:type="paragraph" w:customStyle="1" w:styleId="xl242">
    <w:name w:val="xl2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2"/>
      <w:szCs w:val="20"/>
    </w:rPr>
  </w:style>
  <w:style w:type="paragraph" w:customStyle="1" w:styleId="xl243">
    <w:name w:val="xl243"/>
    <w:basedOn w:val="Normal"/>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Calibri" w:hAnsi="Calibri" w:cs="Calibri"/>
      <w:b/>
      <w:bCs/>
      <w:sz w:val="22"/>
      <w:szCs w:val="20"/>
    </w:rPr>
  </w:style>
  <w:style w:type="paragraph" w:customStyle="1" w:styleId="xl244">
    <w:name w:val="xl244"/>
    <w:basedOn w:val="Normal"/>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rFonts w:ascii="Calibri" w:hAnsi="Calibri" w:cs="Calibri"/>
      <w:b/>
      <w:bCs/>
      <w:sz w:val="22"/>
      <w:szCs w:val="20"/>
    </w:rPr>
  </w:style>
  <w:style w:type="paragraph" w:customStyle="1" w:styleId="xl245">
    <w:name w:val="xl245"/>
    <w:basedOn w:val="Normal"/>
    <w:pPr>
      <w:pBdr>
        <w:top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Calibri" w:hAnsi="Calibri" w:cs="Calibri"/>
      <w:b/>
      <w:bCs/>
      <w:sz w:val="22"/>
      <w:szCs w:val="20"/>
    </w:rPr>
  </w:style>
  <w:style w:type="paragraph" w:customStyle="1" w:styleId="xl246">
    <w:name w:val="xl246"/>
    <w:basedOn w:val="Normal"/>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Calibri" w:hAnsi="Calibri" w:cs="Calibri"/>
      <w:b/>
      <w:bCs/>
      <w:color w:val="000000"/>
      <w:sz w:val="22"/>
      <w:szCs w:val="20"/>
    </w:rPr>
  </w:style>
  <w:style w:type="paragraph" w:customStyle="1" w:styleId="xl247">
    <w:name w:val="xl247"/>
    <w:basedOn w:val="Normal"/>
    <w:pPr>
      <w:pBdr>
        <w:left w:val="single" w:sz="4" w:space="0" w:color="auto"/>
        <w:right w:val="single" w:sz="4" w:space="0" w:color="auto"/>
      </w:pBdr>
      <w:shd w:val="clear" w:color="000000" w:fill="CCFFCC"/>
      <w:spacing w:before="100" w:beforeAutospacing="1" w:after="100" w:afterAutospacing="1"/>
      <w:jc w:val="center"/>
      <w:textAlignment w:val="center"/>
    </w:pPr>
    <w:rPr>
      <w:rFonts w:ascii="Calibri" w:hAnsi="Calibri" w:cs="Calibri"/>
      <w:b/>
      <w:bCs/>
      <w:color w:val="000000"/>
      <w:sz w:val="22"/>
      <w:szCs w:val="20"/>
    </w:rPr>
  </w:style>
  <w:style w:type="paragraph" w:customStyle="1" w:styleId="xl248">
    <w:name w:val="xl248"/>
    <w:basedOn w:val="Normal"/>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Calibri" w:hAnsi="Calibri" w:cs="Calibri"/>
      <w:b/>
      <w:bCs/>
      <w:color w:val="000000"/>
      <w:sz w:val="22"/>
      <w:szCs w:val="20"/>
    </w:rPr>
  </w:style>
  <w:style w:type="paragraph" w:customStyle="1" w:styleId="xl249">
    <w:name w:val="xl249"/>
    <w:basedOn w:val="Normal"/>
    <w:pPr>
      <w:pBdr>
        <w:top w:val="single" w:sz="4" w:space="0" w:color="auto"/>
        <w:left w:val="single" w:sz="4" w:space="0" w:color="auto"/>
      </w:pBdr>
      <w:shd w:val="clear" w:color="000000" w:fill="CCFFCC"/>
      <w:spacing w:before="100" w:beforeAutospacing="1" w:after="100" w:afterAutospacing="1"/>
      <w:jc w:val="center"/>
      <w:textAlignment w:val="center"/>
    </w:pPr>
    <w:rPr>
      <w:rFonts w:ascii="Calibri" w:hAnsi="Calibri" w:cs="Calibri"/>
      <w:b/>
      <w:bCs/>
      <w:color w:val="000000"/>
      <w:sz w:val="22"/>
      <w:szCs w:val="20"/>
    </w:rPr>
  </w:style>
  <w:style w:type="paragraph" w:customStyle="1" w:styleId="xl250">
    <w:name w:val="xl250"/>
    <w:basedOn w:val="Normal"/>
    <w:pPr>
      <w:pBdr>
        <w:top w:val="single" w:sz="4" w:space="0" w:color="auto"/>
        <w:right w:val="single" w:sz="4" w:space="0" w:color="auto"/>
      </w:pBdr>
      <w:shd w:val="clear" w:color="000000" w:fill="CCFFCC"/>
      <w:spacing w:before="100" w:beforeAutospacing="1" w:after="100" w:afterAutospacing="1"/>
      <w:jc w:val="center"/>
      <w:textAlignment w:val="center"/>
    </w:pPr>
    <w:rPr>
      <w:rFonts w:ascii="Calibri" w:hAnsi="Calibri" w:cs="Calibri"/>
      <w:b/>
      <w:bCs/>
      <w:color w:val="000000"/>
      <w:sz w:val="22"/>
      <w:szCs w:val="20"/>
    </w:rPr>
  </w:style>
  <w:style w:type="paragraph" w:customStyle="1" w:styleId="xl251">
    <w:name w:val="xl251"/>
    <w:basedOn w:val="Normal"/>
    <w:pPr>
      <w:pBdr>
        <w:left w:val="single" w:sz="4" w:space="0" w:color="auto"/>
        <w:bottom w:val="single" w:sz="4" w:space="0" w:color="auto"/>
      </w:pBdr>
      <w:shd w:val="clear" w:color="000000" w:fill="CCFFCC"/>
      <w:spacing w:before="100" w:beforeAutospacing="1" w:after="100" w:afterAutospacing="1"/>
      <w:jc w:val="center"/>
      <w:textAlignment w:val="center"/>
    </w:pPr>
    <w:rPr>
      <w:rFonts w:ascii="Calibri" w:hAnsi="Calibri" w:cs="Calibri"/>
      <w:b/>
      <w:bCs/>
      <w:color w:val="000000"/>
      <w:sz w:val="22"/>
      <w:szCs w:val="20"/>
    </w:rPr>
  </w:style>
  <w:style w:type="paragraph" w:customStyle="1" w:styleId="xl252">
    <w:name w:val="xl252"/>
    <w:basedOn w:val="Normal"/>
    <w:pPr>
      <w:pBdr>
        <w:bottom w:val="single" w:sz="4" w:space="0" w:color="auto"/>
        <w:right w:val="single" w:sz="4" w:space="0" w:color="auto"/>
      </w:pBdr>
      <w:shd w:val="clear" w:color="000000" w:fill="CCFFCC"/>
      <w:spacing w:before="100" w:beforeAutospacing="1" w:after="100" w:afterAutospacing="1"/>
      <w:jc w:val="center"/>
      <w:textAlignment w:val="center"/>
    </w:pPr>
    <w:rPr>
      <w:rFonts w:ascii="Calibri" w:hAnsi="Calibri" w:cs="Calibri"/>
      <w:b/>
      <w:bCs/>
      <w:color w:val="000000"/>
      <w:sz w:val="22"/>
      <w:szCs w:val="20"/>
    </w:rPr>
  </w:style>
  <w:style w:type="paragraph" w:customStyle="1" w:styleId="xl253">
    <w:name w:val="xl253"/>
    <w:basedOn w:val="Normal"/>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Calibri" w:hAnsi="Calibri" w:cs="Calibri"/>
      <w:b/>
      <w:bCs/>
      <w:i/>
      <w:iCs/>
      <w:sz w:val="22"/>
      <w:szCs w:val="20"/>
    </w:rPr>
  </w:style>
  <w:style w:type="character" w:customStyle="1" w:styleId="link-size">
    <w:name w:val="link-size"/>
  </w:style>
  <w:style w:type="paragraph" w:styleId="PlainText">
    <w:name w:val="Plain Text"/>
    <w:basedOn w:val="Normal"/>
    <w:link w:val="PlainTextChar"/>
    <w:uiPriority w:val="99"/>
    <w:unhideWhenUsed/>
    <w:pPr>
      <w:spacing w:before="0" w:after="0"/>
      <w:jc w:val="left"/>
    </w:pPr>
    <w:rPr>
      <w:rFonts w:ascii="Calibri" w:eastAsia="Calibri" w:hAnsi="Calibri" w:cs="Consolas"/>
      <w:sz w:val="22"/>
      <w:szCs w:val="21"/>
    </w:rPr>
  </w:style>
  <w:style w:type="character" w:customStyle="1" w:styleId="PlainTextChar">
    <w:name w:val="Plain Text Char"/>
    <w:link w:val="PlainText"/>
    <w:uiPriority w:val="99"/>
    <w:rPr>
      <w:rFonts w:ascii="Calibri" w:eastAsia="Calibri" w:hAnsi="Calibri" w:cs="Consolas"/>
      <w:sz w:val="22"/>
      <w:szCs w:val="21"/>
      <w:shd w:val="clear" w:color="auto" w:fill="auto"/>
      <w:lang w:eastAsia="bg-BG"/>
    </w:rPr>
  </w:style>
  <w:style w:type="character" w:customStyle="1" w:styleId="HeaderChar">
    <w:name w:val="Header Char"/>
    <w:link w:val="Header"/>
    <w:uiPriority w:val="99"/>
    <w:rPr>
      <w:sz w:val="24"/>
      <w:szCs w:val="24"/>
      <w:lang w:eastAsia="bg-BG"/>
    </w:rPr>
  </w:style>
  <w:style w:type="character" w:customStyle="1" w:styleId="FooterChar">
    <w:name w:val="Footer Char"/>
    <w:link w:val="Footer"/>
    <w:uiPriority w:val="99"/>
    <w:rPr>
      <w:sz w:val="24"/>
      <w:szCs w:val="24"/>
      <w:lang w:eastAsia="bg-BG"/>
    </w:rPr>
  </w:style>
  <w:style w:type="character" w:customStyle="1" w:styleId="FootnoteTextChar">
    <w:name w:val="Footnote Text Char"/>
    <w:aliases w:val="-E Fußnotentext Char,Fußnotentext Ursprung Char,-E Fußnotentext1 Char,-E Fußnotentext2 Char,-E Fußnotentext3 Char,Fußnotentextf Char,RSK-FT Char,RSK-FT1 Char,RSK-FT2 Char,Schriftart: 9 pt Char,Schriftart: 10 pt Char,fn Char,Char Char"/>
    <w:link w:val="FootnoteText"/>
    <w:uiPriority w:val="99"/>
    <w:rPr>
      <w:lang w:eastAsia="bg-BG"/>
    </w:rPr>
  </w:style>
  <w:style w:type="character" w:customStyle="1" w:styleId="Heading1Char">
    <w:name w:val="Heading 1 Char"/>
    <w:link w:val="Heading1"/>
    <w:uiPriority w:val="9"/>
    <w:rPr>
      <w:b/>
      <w:bCs/>
      <w:smallCaps/>
      <w:sz w:val="24"/>
      <w:szCs w:val="32"/>
      <w:lang w:eastAsia="bg-BG"/>
    </w:rPr>
  </w:style>
  <w:style w:type="character" w:customStyle="1" w:styleId="Heading2Char">
    <w:name w:val="Heading 2 Char"/>
    <w:link w:val="Heading2"/>
    <w:uiPriority w:val="9"/>
    <w:rPr>
      <w:b/>
      <w:bCs/>
      <w:i/>
      <w:iCs/>
      <w:sz w:val="24"/>
      <w:szCs w:val="28"/>
      <w:lang w:eastAsia="bg-BG"/>
    </w:rPr>
  </w:style>
  <w:style w:type="character" w:customStyle="1" w:styleId="Heading3Char">
    <w:name w:val="Heading 3 Char"/>
    <w:link w:val="Heading3"/>
    <w:uiPriority w:val="9"/>
    <w:rPr>
      <w:bCs/>
      <w:i/>
      <w:sz w:val="24"/>
      <w:szCs w:val="26"/>
      <w:lang w:eastAsia="bg-BG"/>
    </w:rPr>
  </w:style>
  <w:style w:type="character" w:customStyle="1" w:styleId="Heading4Char">
    <w:name w:val="Heading 4 Char"/>
    <w:link w:val="Heading4"/>
    <w:uiPriority w:val="9"/>
    <w:rPr>
      <w:bCs/>
      <w:sz w:val="24"/>
      <w:szCs w:val="28"/>
      <w:lang w:eastAsia="bg-BG"/>
    </w:rPr>
  </w:style>
  <w:style w:type="character" w:customStyle="1" w:styleId="FootnoteTextChar1">
    <w:name w:val="Footnote Text Char1"/>
    <w:aliases w:val="-E Fußnotentext Char1,Fußnotentext Ursprung Char1,-E Fußnotentext1 Char1,-E Fußnotentext2 Char1,-E Fußnotentext3 Char1"/>
    <w:uiPriority w:val="99"/>
    <w:locked/>
    <w:rPr>
      <w:rFonts w:cs="Times New Roman"/>
      <w:sz w:val="24"/>
      <w:lang w:val="bg-BG" w:eastAsia="bg-BG" w:bidi="bg-BG"/>
    </w:rPr>
  </w:style>
  <w:style w:type="character" w:styleId="Emphasis">
    <w:name w:val="Emphasis"/>
    <w:uiPriority w:val="20"/>
    <w:qFormat/>
    <w:rPr>
      <w:b/>
      <w:bCs/>
      <w:i w:val="0"/>
      <w:iCs w:val="0"/>
      <w:shd w:val="clear" w:color="auto" w:fill="auto"/>
    </w:rPr>
  </w:style>
  <w:style w:type="character" w:customStyle="1" w:styleId="st1">
    <w:name w:val="st1"/>
  </w:style>
  <w:style w:type="character" w:customStyle="1" w:styleId="st">
    <w:name w:val="st"/>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pPr>
      <w:spacing w:before="0" w:after="160" w:line="240" w:lineRule="exact"/>
      <w:jc w:val="left"/>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13122">
      <w:bodyDiv w:val="1"/>
      <w:marLeft w:val="0"/>
      <w:marRight w:val="0"/>
      <w:marTop w:val="0"/>
      <w:marBottom w:val="0"/>
      <w:divBdr>
        <w:top w:val="none" w:sz="0" w:space="0" w:color="auto"/>
        <w:left w:val="none" w:sz="0" w:space="0" w:color="auto"/>
        <w:bottom w:val="none" w:sz="0" w:space="0" w:color="auto"/>
        <w:right w:val="none" w:sz="0" w:space="0" w:color="auto"/>
      </w:divBdr>
      <w:divsChild>
        <w:div w:id="494539948">
          <w:marLeft w:val="0"/>
          <w:marRight w:val="0"/>
          <w:marTop w:val="0"/>
          <w:marBottom w:val="0"/>
          <w:divBdr>
            <w:top w:val="none" w:sz="0" w:space="0" w:color="auto"/>
            <w:left w:val="none" w:sz="0" w:space="0" w:color="auto"/>
            <w:bottom w:val="none" w:sz="0" w:space="0" w:color="auto"/>
            <w:right w:val="none" w:sz="0" w:space="0" w:color="auto"/>
          </w:divBdr>
          <w:divsChild>
            <w:div w:id="24720355">
              <w:marLeft w:val="0"/>
              <w:marRight w:val="0"/>
              <w:marTop w:val="0"/>
              <w:marBottom w:val="150"/>
              <w:divBdr>
                <w:top w:val="none" w:sz="0" w:space="0" w:color="auto"/>
                <w:left w:val="none" w:sz="0" w:space="0" w:color="auto"/>
                <w:bottom w:val="none" w:sz="0" w:space="0" w:color="auto"/>
                <w:right w:val="none" w:sz="0" w:space="0" w:color="auto"/>
              </w:divBdr>
              <w:divsChild>
                <w:div w:id="1109010745">
                  <w:marLeft w:val="0"/>
                  <w:marRight w:val="0"/>
                  <w:marTop w:val="0"/>
                  <w:marBottom w:val="0"/>
                  <w:divBdr>
                    <w:top w:val="none" w:sz="0" w:space="0" w:color="auto"/>
                    <w:left w:val="none" w:sz="0" w:space="0" w:color="auto"/>
                    <w:bottom w:val="none" w:sz="0" w:space="0" w:color="auto"/>
                    <w:right w:val="none" w:sz="0" w:space="0" w:color="auto"/>
                  </w:divBdr>
                  <w:divsChild>
                    <w:div w:id="1075202885">
                      <w:marLeft w:val="0"/>
                      <w:marRight w:val="0"/>
                      <w:marTop w:val="0"/>
                      <w:marBottom w:val="0"/>
                      <w:divBdr>
                        <w:top w:val="none" w:sz="0" w:space="0" w:color="auto"/>
                        <w:left w:val="none" w:sz="0" w:space="0" w:color="auto"/>
                        <w:bottom w:val="none" w:sz="0" w:space="0" w:color="auto"/>
                        <w:right w:val="none" w:sz="0" w:space="0" w:color="auto"/>
                      </w:divBdr>
                      <w:divsChild>
                        <w:div w:id="107235672">
                          <w:marLeft w:val="0"/>
                          <w:marRight w:val="0"/>
                          <w:marTop w:val="0"/>
                          <w:marBottom w:val="0"/>
                          <w:divBdr>
                            <w:top w:val="none" w:sz="0" w:space="0" w:color="auto"/>
                            <w:left w:val="none" w:sz="0" w:space="0" w:color="auto"/>
                            <w:bottom w:val="none" w:sz="0" w:space="0" w:color="auto"/>
                            <w:right w:val="none" w:sz="0" w:space="0" w:color="auto"/>
                          </w:divBdr>
                          <w:divsChild>
                            <w:div w:id="497890828">
                              <w:marLeft w:val="0"/>
                              <w:marRight w:val="0"/>
                              <w:marTop w:val="0"/>
                              <w:marBottom w:val="0"/>
                              <w:divBdr>
                                <w:top w:val="none" w:sz="0" w:space="0" w:color="auto"/>
                                <w:left w:val="none" w:sz="0" w:space="0" w:color="auto"/>
                                <w:bottom w:val="none" w:sz="0" w:space="0" w:color="auto"/>
                                <w:right w:val="none" w:sz="0" w:space="0" w:color="auto"/>
                              </w:divBdr>
                              <w:divsChild>
                                <w:div w:id="1123689832">
                                  <w:marLeft w:val="0"/>
                                  <w:marRight w:val="-3600"/>
                                  <w:marTop w:val="150"/>
                                  <w:marBottom w:val="0"/>
                                  <w:divBdr>
                                    <w:top w:val="none" w:sz="0" w:space="0" w:color="auto"/>
                                    <w:left w:val="none" w:sz="0" w:space="0" w:color="auto"/>
                                    <w:bottom w:val="none" w:sz="0" w:space="0" w:color="auto"/>
                                    <w:right w:val="none" w:sz="0" w:space="0" w:color="auto"/>
                                  </w:divBdr>
                                  <w:divsChild>
                                    <w:div w:id="1694502367">
                                      <w:marLeft w:val="0"/>
                                      <w:marRight w:val="3600"/>
                                      <w:marTop w:val="0"/>
                                      <w:marBottom w:val="0"/>
                                      <w:divBdr>
                                        <w:top w:val="none" w:sz="0" w:space="0" w:color="auto"/>
                                        <w:left w:val="none" w:sz="0" w:space="0" w:color="auto"/>
                                        <w:bottom w:val="none" w:sz="0" w:space="0" w:color="auto"/>
                                        <w:right w:val="none" w:sz="0" w:space="0" w:color="auto"/>
                                      </w:divBdr>
                                      <w:divsChild>
                                        <w:div w:id="265119377">
                                          <w:marLeft w:val="0"/>
                                          <w:marRight w:val="0"/>
                                          <w:marTop w:val="0"/>
                                          <w:marBottom w:val="0"/>
                                          <w:divBdr>
                                            <w:top w:val="none" w:sz="0" w:space="0" w:color="auto"/>
                                            <w:left w:val="none" w:sz="0" w:space="0" w:color="auto"/>
                                            <w:bottom w:val="none" w:sz="0" w:space="0" w:color="auto"/>
                                            <w:right w:val="none" w:sz="0" w:space="0" w:color="auto"/>
                                          </w:divBdr>
                                          <w:divsChild>
                                            <w:div w:id="473841268">
                                              <w:marLeft w:val="0"/>
                                              <w:marRight w:val="0"/>
                                              <w:marTop w:val="0"/>
                                              <w:marBottom w:val="0"/>
                                              <w:divBdr>
                                                <w:top w:val="none" w:sz="0" w:space="0" w:color="auto"/>
                                                <w:left w:val="none" w:sz="0" w:space="0" w:color="auto"/>
                                                <w:bottom w:val="none" w:sz="0" w:space="0" w:color="auto"/>
                                                <w:right w:val="none" w:sz="0" w:space="0" w:color="auto"/>
                                              </w:divBdr>
                                              <w:divsChild>
                                                <w:div w:id="327100209">
                                                  <w:marLeft w:val="0"/>
                                                  <w:marRight w:val="0"/>
                                                  <w:marTop w:val="0"/>
                                                  <w:marBottom w:val="0"/>
                                                  <w:divBdr>
                                                    <w:top w:val="none" w:sz="0" w:space="0" w:color="auto"/>
                                                    <w:left w:val="none" w:sz="0" w:space="0" w:color="auto"/>
                                                    <w:bottom w:val="none" w:sz="0" w:space="0" w:color="auto"/>
                                                    <w:right w:val="none" w:sz="0" w:space="0" w:color="auto"/>
                                                  </w:divBdr>
                                                  <w:divsChild>
                                                    <w:div w:id="1591893453">
                                                      <w:marLeft w:val="0"/>
                                                      <w:marRight w:val="0"/>
                                                      <w:marTop w:val="0"/>
                                                      <w:marBottom w:val="0"/>
                                                      <w:divBdr>
                                                        <w:top w:val="none" w:sz="0" w:space="0" w:color="auto"/>
                                                        <w:left w:val="none" w:sz="0" w:space="0" w:color="auto"/>
                                                        <w:bottom w:val="none" w:sz="0" w:space="0" w:color="auto"/>
                                                        <w:right w:val="none" w:sz="0" w:space="0" w:color="auto"/>
                                                      </w:divBdr>
                                                      <w:divsChild>
                                                        <w:div w:id="126407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630457">
      <w:bodyDiv w:val="1"/>
      <w:marLeft w:val="0"/>
      <w:marRight w:val="0"/>
      <w:marTop w:val="0"/>
      <w:marBottom w:val="0"/>
      <w:divBdr>
        <w:top w:val="none" w:sz="0" w:space="0" w:color="auto"/>
        <w:left w:val="none" w:sz="0" w:space="0" w:color="auto"/>
        <w:bottom w:val="none" w:sz="0" w:space="0" w:color="auto"/>
        <w:right w:val="none" w:sz="0" w:space="0" w:color="auto"/>
      </w:divBdr>
    </w:div>
    <w:div w:id="258954692">
      <w:bodyDiv w:val="1"/>
      <w:marLeft w:val="0"/>
      <w:marRight w:val="0"/>
      <w:marTop w:val="0"/>
      <w:marBottom w:val="0"/>
      <w:divBdr>
        <w:top w:val="none" w:sz="0" w:space="0" w:color="auto"/>
        <w:left w:val="none" w:sz="0" w:space="0" w:color="auto"/>
        <w:bottom w:val="none" w:sz="0" w:space="0" w:color="auto"/>
        <w:right w:val="none" w:sz="0" w:space="0" w:color="auto"/>
      </w:divBdr>
    </w:div>
    <w:div w:id="340937053">
      <w:bodyDiv w:val="1"/>
      <w:marLeft w:val="0"/>
      <w:marRight w:val="0"/>
      <w:marTop w:val="0"/>
      <w:marBottom w:val="0"/>
      <w:divBdr>
        <w:top w:val="none" w:sz="0" w:space="0" w:color="auto"/>
        <w:left w:val="none" w:sz="0" w:space="0" w:color="auto"/>
        <w:bottom w:val="none" w:sz="0" w:space="0" w:color="auto"/>
        <w:right w:val="none" w:sz="0" w:space="0" w:color="auto"/>
      </w:divBdr>
    </w:div>
    <w:div w:id="463088527">
      <w:bodyDiv w:val="1"/>
      <w:marLeft w:val="0"/>
      <w:marRight w:val="0"/>
      <w:marTop w:val="0"/>
      <w:marBottom w:val="0"/>
      <w:divBdr>
        <w:top w:val="none" w:sz="0" w:space="0" w:color="auto"/>
        <w:left w:val="none" w:sz="0" w:space="0" w:color="auto"/>
        <w:bottom w:val="none" w:sz="0" w:space="0" w:color="auto"/>
        <w:right w:val="none" w:sz="0" w:space="0" w:color="auto"/>
      </w:divBdr>
    </w:div>
    <w:div w:id="535656298">
      <w:bodyDiv w:val="1"/>
      <w:marLeft w:val="0"/>
      <w:marRight w:val="0"/>
      <w:marTop w:val="0"/>
      <w:marBottom w:val="0"/>
      <w:divBdr>
        <w:top w:val="none" w:sz="0" w:space="0" w:color="auto"/>
        <w:left w:val="none" w:sz="0" w:space="0" w:color="auto"/>
        <w:bottom w:val="none" w:sz="0" w:space="0" w:color="auto"/>
        <w:right w:val="none" w:sz="0" w:space="0" w:color="auto"/>
      </w:divBdr>
    </w:div>
    <w:div w:id="559443207">
      <w:bodyDiv w:val="1"/>
      <w:marLeft w:val="0"/>
      <w:marRight w:val="0"/>
      <w:marTop w:val="0"/>
      <w:marBottom w:val="0"/>
      <w:divBdr>
        <w:top w:val="none" w:sz="0" w:space="0" w:color="auto"/>
        <w:left w:val="none" w:sz="0" w:space="0" w:color="auto"/>
        <w:bottom w:val="none" w:sz="0" w:space="0" w:color="auto"/>
        <w:right w:val="none" w:sz="0" w:space="0" w:color="auto"/>
      </w:divBdr>
    </w:div>
    <w:div w:id="612250891">
      <w:bodyDiv w:val="1"/>
      <w:marLeft w:val="0"/>
      <w:marRight w:val="0"/>
      <w:marTop w:val="0"/>
      <w:marBottom w:val="0"/>
      <w:divBdr>
        <w:top w:val="none" w:sz="0" w:space="0" w:color="auto"/>
        <w:left w:val="none" w:sz="0" w:space="0" w:color="auto"/>
        <w:bottom w:val="none" w:sz="0" w:space="0" w:color="auto"/>
        <w:right w:val="none" w:sz="0" w:space="0" w:color="auto"/>
      </w:divBdr>
    </w:div>
    <w:div w:id="640888062">
      <w:bodyDiv w:val="1"/>
      <w:marLeft w:val="0"/>
      <w:marRight w:val="0"/>
      <w:marTop w:val="0"/>
      <w:marBottom w:val="0"/>
      <w:divBdr>
        <w:top w:val="none" w:sz="0" w:space="0" w:color="auto"/>
        <w:left w:val="none" w:sz="0" w:space="0" w:color="auto"/>
        <w:bottom w:val="none" w:sz="0" w:space="0" w:color="auto"/>
        <w:right w:val="none" w:sz="0" w:space="0" w:color="auto"/>
      </w:divBdr>
    </w:div>
    <w:div w:id="653995690">
      <w:bodyDiv w:val="1"/>
      <w:marLeft w:val="0"/>
      <w:marRight w:val="0"/>
      <w:marTop w:val="0"/>
      <w:marBottom w:val="0"/>
      <w:divBdr>
        <w:top w:val="none" w:sz="0" w:space="0" w:color="auto"/>
        <w:left w:val="none" w:sz="0" w:space="0" w:color="auto"/>
        <w:bottom w:val="none" w:sz="0" w:space="0" w:color="auto"/>
        <w:right w:val="none" w:sz="0" w:space="0" w:color="auto"/>
      </w:divBdr>
    </w:div>
    <w:div w:id="667637137">
      <w:bodyDiv w:val="1"/>
      <w:marLeft w:val="0"/>
      <w:marRight w:val="0"/>
      <w:marTop w:val="0"/>
      <w:marBottom w:val="0"/>
      <w:divBdr>
        <w:top w:val="none" w:sz="0" w:space="0" w:color="auto"/>
        <w:left w:val="none" w:sz="0" w:space="0" w:color="auto"/>
        <w:bottom w:val="none" w:sz="0" w:space="0" w:color="auto"/>
        <w:right w:val="none" w:sz="0" w:space="0" w:color="auto"/>
      </w:divBdr>
    </w:div>
    <w:div w:id="674382179">
      <w:bodyDiv w:val="1"/>
      <w:marLeft w:val="0"/>
      <w:marRight w:val="0"/>
      <w:marTop w:val="0"/>
      <w:marBottom w:val="0"/>
      <w:divBdr>
        <w:top w:val="none" w:sz="0" w:space="0" w:color="auto"/>
        <w:left w:val="none" w:sz="0" w:space="0" w:color="auto"/>
        <w:bottom w:val="none" w:sz="0" w:space="0" w:color="auto"/>
        <w:right w:val="none" w:sz="0" w:space="0" w:color="auto"/>
      </w:divBdr>
    </w:div>
    <w:div w:id="690957807">
      <w:bodyDiv w:val="1"/>
      <w:marLeft w:val="0"/>
      <w:marRight w:val="0"/>
      <w:marTop w:val="0"/>
      <w:marBottom w:val="0"/>
      <w:divBdr>
        <w:top w:val="none" w:sz="0" w:space="0" w:color="auto"/>
        <w:left w:val="none" w:sz="0" w:space="0" w:color="auto"/>
        <w:bottom w:val="none" w:sz="0" w:space="0" w:color="auto"/>
        <w:right w:val="none" w:sz="0" w:space="0" w:color="auto"/>
      </w:divBdr>
    </w:div>
    <w:div w:id="691995258">
      <w:bodyDiv w:val="1"/>
      <w:marLeft w:val="0"/>
      <w:marRight w:val="0"/>
      <w:marTop w:val="0"/>
      <w:marBottom w:val="0"/>
      <w:divBdr>
        <w:top w:val="none" w:sz="0" w:space="0" w:color="auto"/>
        <w:left w:val="none" w:sz="0" w:space="0" w:color="auto"/>
        <w:bottom w:val="none" w:sz="0" w:space="0" w:color="auto"/>
        <w:right w:val="none" w:sz="0" w:space="0" w:color="auto"/>
      </w:divBdr>
    </w:div>
    <w:div w:id="791367263">
      <w:bodyDiv w:val="1"/>
      <w:marLeft w:val="0"/>
      <w:marRight w:val="0"/>
      <w:marTop w:val="0"/>
      <w:marBottom w:val="0"/>
      <w:divBdr>
        <w:top w:val="none" w:sz="0" w:space="0" w:color="auto"/>
        <w:left w:val="none" w:sz="0" w:space="0" w:color="auto"/>
        <w:bottom w:val="none" w:sz="0" w:space="0" w:color="auto"/>
        <w:right w:val="none" w:sz="0" w:space="0" w:color="auto"/>
      </w:divBdr>
    </w:div>
    <w:div w:id="837185337">
      <w:bodyDiv w:val="1"/>
      <w:marLeft w:val="0"/>
      <w:marRight w:val="0"/>
      <w:marTop w:val="100"/>
      <w:marBottom w:val="100"/>
      <w:divBdr>
        <w:top w:val="single" w:sz="6" w:space="0" w:color="000000"/>
        <w:left w:val="single" w:sz="6" w:space="0" w:color="000000"/>
        <w:bottom w:val="single" w:sz="6" w:space="0" w:color="000000"/>
        <w:right w:val="single" w:sz="6" w:space="0" w:color="000000"/>
      </w:divBdr>
      <w:divsChild>
        <w:div w:id="1634359293">
          <w:marLeft w:val="0"/>
          <w:marRight w:val="0"/>
          <w:marTop w:val="150"/>
          <w:marBottom w:val="100"/>
          <w:divBdr>
            <w:top w:val="none" w:sz="0" w:space="0" w:color="auto"/>
            <w:left w:val="none" w:sz="0" w:space="0" w:color="auto"/>
            <w:bottom w:val="none" w:sz="0" w:space="0" w:color="auto"/>
            <w:right w:val="none" w:sz="0" w:space="0" w:color="auto"/>
          </w:divBdr>
          <w:divsChild>
            <w:div w:id="688025473">
              <w:marLeft w:val="-225"/>
              <w:marRight w:val="-375"/>
              <w:marTop w:val="0"/>
              <w:marBottom w:val="0"/>
              <w:divBdr>
                <w:top w:val="none" w:sz="0" w:space="0" w:color="auto"/>
                <w:left w:val="none" w:sz="0" w:space="0" w:color="auto"/>
                <w:bottom w:val="none" w:sz="0" w:space="0" w:color="auto"/>
                <w:right w:val="none" w:sz="0" w:space="0" w:color="auto"/>
              </w:divBdr>
              <w:divsChild>
                <w:div w:id="1155341101">
                  <w:marLeft w:val="0"/>
                  <w:marRight w:val="0"/>
                  <w:marTop w:val="0"/>
                  <w:marBottom w:val="0"/>
                  <w:divBdr>
                    <w:top w:val="none" w:sz="0" w:space="0" w:color="auto"/>
                    <w:left w:val="none" w:sz="0" w:space="0" w:color="auto"/>
                    <w:bottom w:val="none" w:sz="0" w:space="0" w:color="auto"/>
                    <w:right w:val="none" w:sz="0" w:space="0" w:color="auto"/>
                  </w:divBdr>
                  <w:divsChild>
                    <w:div w:id="2095661799">
                      <w:marLeft w:val="-225"/>
                      <w:marRight w:val="-375"/>
                      <w:marTop w:val="0"/>
                      <w:marBottom w:val="0"/>
                      <w:divBdr>
                        <w:top w:val="none" w:sz="0" w:space="0" w:color="auto"/>
                        <w:left w:val="none" w:sz="0" w:space="0" w:color="auto"/>
                        <w:bottom w:val="none" w:sz="0" w:space="0" w:color="auto"/>
                        <w:right w:val="none" w:sz="0" w:space="0" w:color="auto"/>
                      </w:divBdr>
                      <w:divsChild>
                        <w:div w:id="580792977">
                          <w:marLeft w:val="0"/>
                          <w:marRight w:val="0"/>
                          <w:marTop w:val="0"/>
                          <w:marBottom w:val="0"/>
                          <w:divBdr>
                            <w:top w:val="none" w:sz="0" w:space="0" w:color="auto"/>
                            <w:left w:val="none" w:sz="0" w:space="0" w:color="auto"/>
                            <w:bottom w:val="none" w:sz="0" w:space="0" w:color="auto"/>
                            <w:right w:val="none" w:sz="0" w:space="0" w:color="auto"/>
                          </w:divBdr>
                          <w:divsChild>
                            <w:div w:id="213154739">
                              <w:marLeft w:val="0"/>
                              <w:marRight w:val="0"/>
                              <w:marTop w:val="0"/>
                              <w:marBottom w:val="0"/>
                              <w:divBdr>
                                <w:top w:val="none" w:sz="0" w:space="0" w:color="auto"/>
                                <w:left w:val="none" w:sz="0" w:space="0" w:color="auto"/>
                                <w:bottom w:val="none" w:sz="0" w:space="0" w:color="auto"/>
                                <w:right w:val="none" w:sz="0" w:space="0" w:color="auto"/>
                              </w:divBdr>
                              <w:divsChild>
                                <w:div w:id="1838304031">
                                  <w:marLeft w:val="0"/>
                                  <w:marRight w:val="0"/>
                                  <w:marTop w:val="0"/>
                                  <w:marBottom w:val="0"/>
                                  <w:divBdr>
                                    <w:top w:val="none" w:sz="0" w:space="0" w:color="auto"/>
                                    <w:left w:val="none" w:sz="0" w:space="0" w:color="auto"/>
                                    <w:bottom w:val="none" w:sz="0" w:space="0" w:color="auto"/>
                                    <w:right w:val="none" w:sz="0" w:space="0" w:color="auto"/>
                                  </w:divBdr>
                                  <w:divsChild>
                                    <w:div w:id="1453791090">
                                      <w:marLeft w:val="0"/>
                                      <w:marRight w:val="0"/>
                                      <w:marTop w:val="0"/>
                                      <w:marBottom w:val="0"/>
                                      <w:divBdr>
                                        <w:top w:val="single" w:sz="2" w:space="0" w:color="auto"/>
                                        <w:left w:val="single" w:sz="2" w:space="0" w:color="auto"/>
                                        <w:bottom w:val="single" w:sz="2" w:space="0" w:color="auto"/>
                                        <w:right w:val="single" w:sz="2" w:space="0" w:color="auto"/>
                                      </w:divBdr>
                                      <w:divsChild>
                                        <w:div w:id="128284612">
                                          <w:marLeft w:val="0"/>
                                          <w:marRight w:val="0"/>
                                          <w:marTop w:val="0"/>
                                          <w:marBottom w:val="0"/>
                                          <w:divBdr>
                                            <w:top w:val="none" w:sz="0" w:space="0" w:color="auto"/>
                                            <w:left w:val="none" w:sz="0" w:space="0" w:color="auto"/>
                                            <w:bottom w:val="none" w:sz="0" w:space="0" w:color="auto"/>
                                            <w:right w:val="none" w:sz="0" w:space="0" w:color="auto"/>
                                          </w:divBdr>
                                          <w:divsChild>
                                            <w:div w:id="1386878724">
                                              <w:marLeft w:val="0"/>
                                              <w:marRight w:val="0"/>
                                              <w:marTop w:val="0"/>
                                              <w:marBottom w:val="0"/>
                                              <w:divBdr>
                                                <w:top w:val="none" w:sz="0" w:space="0" w:color="auto"/>
                                                <w:left w:val="none" w:sz="0" w:space="0" w:color="auto"/>
                                                <w:bottom w:val="none" w:sz="0" w:space="0" w:color="auto"/>
                                                <w:right w:val="none" w:sz="0" w:space="0" w:color="auto"/>
                                              </w:divBdr>
                                              <w:divsChild>
                                                <w:div w:id="1654334572">
                                                  <w:marLeft w:val="-225"/>
                                                  <w:marRight w:val="-375"/>
                                                  <w:marTop w:val="0"/>
                                                  <w:marBottom w:val="0"/>
                                                  <w:divBdr>
                                                    <w:top w:val="none" w:sz="0" w:space="0" w:color="auto"/>
                                                    <w:left w:val="none" w:sz="0" w:space="0" w:color="auto"/>
                                                    <w:bottom w:val="none" w:sz="0" w:space="0" w:color="auto"/>
                                                    <w:right w:val="none" w:sz="0" w:space="0" w:color="auto"/>
                                                  </w:divBdr>
                                                  <w:divsChild>
                                                    <w:div w:id="2013098978">
                                                      <w:marLeft w:val="0"/>
                                                      <w:marRight w:val="0"/>
                                                      <w:marTop w:val="0"/>
                                                      <w:marBottom w:val="0"/>
                                                      <w:divBdr>
                                                        <w:top w:val="none" w:sz="0" w:space="0" w:color="auto"/>
                                                        <w:left w:val="none" w:sz="0" w:space="0" w:color="auto"/>
                                                        <w:bottom w:val="none" w:sz="0" w:space="0" w:color="auto"/>
                                                        <w:right w:val="none" w:sz="0" w:space="0" w:color="auto"/>
                                                      </w:divBdr>
                                                      <w:divsChild>
                                                        <w:div w:id="673921264">
                                                          <w:marLeft w:val="0"/>
                                                          <w:marRight w:val="0"/>
                                                          <w:marTop w:val="0"/>
                                                          <w:marBottom w:val="0"/>
                                                          <w:divBdr>
                                                            <w:top w:val="none" w:sz="0" w:space="0" w:color="auto"/>
                                                            <w:left w:val="none" w:sz="0" w:space="0" w:color="auto"/>
                                                            <w:bottom w:val="none" w:sz="0" w:space="0" w:color="auto"/>
                                                            <w:right w:val="none" w:sz="0" w:space="0" w:color="auto"/>
                                                          </w:divBdr>
                                                          <w:divsChild>
                                                            <w:div w:id="447968962">
                                                              <w:marLeft w:val="0"/>
                                                              <w:marRight w:val="0"/>
                                                              <w:marTop w:val="0"/>
                                                              <w:marBottom w:val="0"/>
                                                              <w:divBdr>
                                                                <w:top w:val="none" w:sz="0" w:space="0" w:color="auto"/>
                                                                <w:left w:val="none" w:sz="0" w:space="0" w:color="auto"/>
                                                                <w:bottom w:val="none" w:sz="0" w:space="0" w:color="auto"/>
                                                                <w:right w:val="none" w:sz="0" w:space="0" w:color="auto"/>
                                                              </w:divBdr>
                                                              <w:divsChild>
                                                                <w:div w:id="168979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7690387">
      <w:bodyDiv w:val="1"/>
      <w:marLeft w:val="0"/>
      <w:marRight w:val="0"/>
      <w:marTop w:val="0"/>
      <w:marBottom w:val="0"/>
      <w:divBdr>
        <w:top w:val="none" w:sz="0" w:space="0" w:color="auto"/>
        <w:left w:val="none" w:sz="0" w:space="0" w:color="auto"/>
        <w:bottom w:val="none" w:sz="0" w:space="0" w:color="auto"/>
        <w:right w:val="none" w:sz="0" w:space="0" w:color="auto"/>
      </w:divBdr>
    </w:div>
    <w:div w:id="942225287">
      <w:bodyDiv w:val="1"/>
      <w:marLeft w:val="0"/>
      <w:marRight w:val="0"/>
      <w:marTop w:val="0"/>
      <w:marBottom w:val="0"/>
      <w:divBdr>
        <w:top w:val="none" w:sz="0" w:space="0" w:color="auto"/>
        <w:left w:val="none" w:sz="0" w:space="0" w:color="auto"/>
        <w:bottom w:val="none" w:sz="0" w:space="0" w:color="auto"/>
        <w:right w:val="none" w:sz="0" w:space="0" w:color="auto"/>
      </w:divBdr>
    </w:div>
    <w:div w:id="958148823">
      <w:bodyDiv w:val="1"/>
      <w:marLeft w:val="0"/>
      <w:marRight w:val="0"/>
      <w:marTop w:val="0"/>
      <w:marBottom w:val="0"/>
      <w:divBdr>
        <w:top w:val="none" w:sz="0" w:space="0" w:color="auto"/>
        <w:left w:val="none" w:sz="0" w:space="0" w:color="auto"/>
        <w:bottom w:val="none" w:sz="0" w:space="0" w:color="auto"/>
        <w:right w:val="none" w:sz="0" w:space="0" w:color="auto"/>
      </w:divBdr>
    </w:div>
    <w:div w:id="1065646807">
      <w:bodyDiv w:val="1"/>
      <w:marLeft w:val="0"/>
      <w:marRight w:val="0"/>
      <w:marTop w:val="0"/>
      <w:marBottom w:val="0"/>
      <w:divBdr>
        <w:top w:val="none" w:sz="0" w:space="0" w:color="auto"/>
        <w:left w:val="none" w:sz="0" w:space="0" w:color="auto"/>
        <w:bottom w:val="none" w:sz="0" w:space="0" w:color="auto"/>
        <w:right w:val="none" w:sz="0" w:space="0" w:color="auto"/>
      </w:divBdr>
    </w:div>
    <w:div w:id="1074818750">
      <w:bodyDiv w:val="1"/>
      <w:marLeft w:val="0"/>
      <w:marRight w:val="0"/>
      <w:marTop w:val="0"/>
      <w:marBottom w:val="0"/>
      <w:divBdr>
        <w:top w:val="none" w:sz="0" w:space="0" w:color="auto"/>
        <w:left w:val="none" w:sz="0" w:space="0" w:color="auto"/>
        <w:bottom w:val="none" w:sz="0" w:space="0" w:color="auto"/>
        <w:right w:val="none" w:sz="0" w:space="0" w:color="auto"/>
      </w:divBdr>
    </w:div>
    <w:div w:id="1119565626">
      <w:bodyDiv w:val="1"/>
      <w:marLeft w:val="0"/>
      <w:marRight w:val="0"/>
      <w:marTop w:val="0"/>
      <w:marBottom w:val="0"/>
      <w:divBdr>
        <w:top w:val="none" w:sz="0" w:space="0" w:color="auto"/>
        <w:left w:val="none" w:sz="0" w:space="0" w:color="auto"/>
        <w:bottom w:val="none" w:sz="0" w:space="0" w:color="auto"/>
        <w:right w:val="none" w:sz="0" w:space="0" w:color="auto"/>
      </w:divBdr>
    </w:div>
    <w:div w:id="1120878408">
      <w:bodyDiv w:val="1"/>
      <w:marLeft w:val="0"/>
      <w:marRight w:val="0"/>
      <w:marTop w:val="0"/>
      <w:marBottom w:val="0"/>
      <w:divBdr>
        <w:top w:val="none" w:sz="0" w:space="0" w:color="auto"/>
        <w:left w:val="none" w:sz="0" w:space="0" w:color="auto"/>
        <w:bottom w:val="none" w:sz="0" w:space="0" w:color="auto"/>
        <w:right w:val="none" w:sz="0" w:space="0" w:color="auto"/>
      </w:divBdr>
    </w:div>
    <w:div w:id="1251814903">
      <w:bodyDiv w:val="1"/>
      <w:marLeft w:val="0"/>
      <w:marRight w:val="0"/>
      <w:marTop w:val="0"/>
      <w:marBottom w:val="0"/>
      <w:divBdr>
        <w:top w:val="none" w:sz="0" w:space="0" w:color="auto"/>
        <w:left w:val="none" w:sz="0" w:space="0" w:color="auto"/>
        <w:bottom w:val="none" w:sz="0" w:space="0" w:color="auto"/>
        <w:right w:val="none" w:sz="0" w:space="0" w:color="auto"/>
      </w:divBdr>
    </w:div>
    <w:div w:id="1261569692">
      <w:bodyDiv w:val="1"/>
      <w:marLeft w:val="0"/>
      <w:marRight w:val="0"/>
      <w:marTop w:val="0"/>
      <w:marBottom w:val="0"/>
      <w:divBdr>
        <w:top w:val="none" w:sz="0" w:space="0" w:color="auto"/>
        <w:left w:val="none" w:sz="0" w:space="0" w:color="auto"/>
        <w:bottom w:val="none" w:sz="0" w:space="0" w:color="auto"/>
        <w:right w:val="none" w:sz="0" w:space="0" w:color="auto"/>
      </w:divBdr>
    </w:div>
    <w:div w:id="1317565669">
      <w:bodyDiv w:val="1"/>
      <w:marLeft w:val="0"/>
      <w:marRight w:val="0"/>
      <w:marTop w:val="0"/>
      <w:marBottom w:val="0"/>
      <w:divBdr>
        <w:top w:val="none" w:sz="0" w:space="0" w:color="auto"/>
        <w:left w:val="none" w:sz="0" w:space="0" w:color="auto"/>
        <w:bottom w:val="none" w:sz="0" w:space="0" w:color="auto"/>
        <w:right w:val="none" w:sz="0" w:space="0" w:color="auto"/>
      </w:divBdr>
    </w:div>
    <w:div w:id="1325820398">
      <w:bodyDiv w:val="1"/>
      <w:marLeft w:val="0"/>
      <w:marRight w:val="0"/>
      <w:marTop w:val="0"/>
      <w:marBottom w:val="0"/>
      <w:divBdr>
        <w:top w:val="none" w:sz="0" w:space="0" w:color="auto"/>
        <w:left w:val="none" w:sz="0" w:space="0" w:color="auto"/>
        <w:bottom w:val="none" w:sz="0" w:space="0" w:color="auto"/>
        <w:right w:val="none" w:sz="0" w:space="0" w:color="auto"/>
      </w:divBdr>
    </w:div>
    <w:div w:id="1337266140">
      <w:bodyDiv w:val="1"/>
      <w:marLeft w:val="0"/>
      <w:marRight w:val="0"/>
      <w:marTop w:val="0"/>
      <w:marBottom w:val="0"/>
      <w:divBdr>
        <w:top w:val="none" w:sz="0" w:space="0" w:color="auto"/>
        <w:left w:val="none" w:sz="0" w:space="0" w:color="auto"/>
        <w:bottom w:val="none" w:sz="0" w:space="0" w:color="auto"/>
        <w:right w:val="none" w:sz="0" w:space="0" w:color="auto"/>
      </w:divBdr>
    </w:div>
    <w:div w:id="1344556031">
      <w:bodyDiv w:val="1"/>
      <w:marLeft w:val="0"/>
      <w:marRight w:val="0"/>
      <w:marTop w:val="0"/>
      <w:marBottom w:val="0"/>
      <w:divBdr>
        <w:top w:val="none" w:sz="0" w:space="0" w:color="auto"/>
        <w:left w:val="none" w:sz="0" w:space="0" w:color="auto"/>
        <w:bottom w:val="none" w:sz="0" w:space="0" w:color="auto"/>
        <w:right w:val="none" w:sz="0" w:space="0" w:color="auto"/>
      </w:divBdr>
    </w:div>
    <w:div w:id="1351104555">
      <w:bodyDiv w:val="1"/>
      <w:marLeft w:val="0"/>
      <w:marRight w:val="0"/>
      <w:marTop w:val="0"/>
      <w:marBottom w:val="0"/>
      <w:divBdr>
        <w:top w:val="none" w:sz="0" w:space="0" w:color="auto"/>
        <w:left w:val="none" w:sz="0" w:space="0" w:color="auto"/>
        <w:bottom w:val="none" w:sz="0" w:space="0" w:color="auto"/>
        <w:right w:val="none" w:sz="0" w:space="0" w:color="auto"/>
      </w:divBdr>
    </w:div>
    <w:div w:id="1351180560">
      <w:bodyDiv w:val="1"/>
      <w:marLeft w:val="0"/>
      <w:marRight w:val="0"/>
      <w:marTop w:val="0"/>
      <w:marBottom w:val="0"/>
      <w:divBdr>
        <w:top w:val="none" w:sz="0" w:space="0" w:color="auto"/>
        <w:left w:val="none" w:sz="0" w:space="0" w:color="auto"/>
        <w:bottom w:val="none" w:sz="0" w:space="0" w:color="auto"/>
        <w:right w:val="none" w:sz="0" w:space="0" w:color="auto"/>
      </w:divBdr>
    </w:div>
    <w:div w:id="1424259050">
      <w:bodyDiv w:val="1"/>
      <w:marLeft w:val="0"/>
      <w:marRight w:val="0"/>
      <w:marTop w:val="0"/>
      <w:marBottom w:val="0"/>
      <w:divBdr>
        <w:top w:val="none" w:sz="0" w:space="0" w:color="auto"/>
        <w:left w:val="none" w:sz="0" w:space="0" w:color="auto"/>
        <w:bottom w:val="none" w:sz="0" w:space="0" w:color="auto"/>
        <w:right w:val="none" w:sz="0" w:space="0" w:color="auto"/>
      </w:divBdr>
    </w:div>
    <w:div w:id="1436511455">
      <w:bodyDiv w:val="1"/>
      <w:marLeft w:val="0"/>
      <w:marRight w:val="0"/>
      <w:marTop w:val="0"/>
      <w:marBottom w:val="0"/>
      <w:divBdr>
        <w:top w:val="none" w:sz="0" w:space="0" w:color="auto"/>
        <w:left w:val="none" w:sz="0" w:space="0" w:color="auto"/>
        <w:bottom w:val="none" w:sz="0" w:space="0" w:color="auto"/>
        <w:right w:val="none" w:sz="0" w:space="0" w:color="auto"/>
      </w:divBdr>
    </w:div>
    <w:div w:id="1518154503">
      <w:bodyDiv w:val="1"/>
      <w:marLeft w:val="0"/>
      <w:marRight w:val="0"/>
      <w:marTop w:val="0"/>
      <w:marBottom w:val="0"/>
      <w:divBdr>
        <w:top w:val="none" w:sz="0" w:space="0" w:color="auto"/>
        <w:left w:val="none" w:sz="0" w:space="0" w:color="auto"/>
        <w:bottom w:val="none" w:sz="0" w:space="0" w:color="auto"/>
        <w:right w:val="none" w:sz="0" w:space="0" w:color="auto"/>
      </w:divBdr>
    </w:div>
    <w:div w:id="1551990738">
      <w:bodyDiv w:val="1"/>
      <w:marLeft w:val="0"/>
      <w:marRight w:val="0"/>
      <w:marTop w:val="0"/>
      <w:marBottom w:val="0"/>
      <w:divBdr>
        <w:top w:val="none" w:sz="0" w:space="0" w:color="auto"/>
        <w:left w:val="none" w:sz="0" w:space="0" w:color="auto"/>
        <w:bottom w:val="none" w:sz="0" w:space="0" w:color="auto"/>
        <w:right w:val="none" w:sz="0" w:space="0" w:color="auto"/>
      </w:divBdr>
    </w:div>
    <w:div w:id="1555921849">
      <w:bodyDiv w:val="1"/>
      <w:marLeft w:val="0"/>
      <w:marRight w:val="0"/>
      <w:marTop w:val="0"/>
      <w:marBottom w:val="0"/>
      <w:divBdr>
        <w:top w:val="none" w:sz="0" w:space="0" w:color="auto"/>
        <w:left w:val="none" w:sz="0" w:space="0" w:color="auto"/>
        <w:bottom w:val="none" w:sz="0" w:space="0" w:color="auto"/>
        <w:right w:val="none" w:sz="0" w:space="0" w:color="auto"/>
      </w:divBdr>
    </w:div>
    <w:div w:id="1568034690">
      <w:bodyDiv w:val="1"/>
      <w:marLeft w:val="0"/>
      <w:marRight w:val="0"/>
      <w:marTop w:val="0"/>
      <w:marBottom w:val="0"/>
      <w:divBdr>
        <w:top w:val="none" w:sz="0" w:space="0" w:color="auto"/>
        <w:left w:val="none" w:sz="0" w:space="0" w:color="auto"/>
        <w:bottom w:val="none" w:sz="0" w:space="0" w:color="auto"/>
        <w:right w:val="none" w:sz="0" w:space="0" w:color="auto"/>
      </w:divBdr>
    </w:div>
    <w:div w:id="1691639214">
      <w:bodyDiv w:val="1"/>
      <w:marLeft w:val="0"/>
      <w:marRight w:val="0"/>
      <w:marTop w:val="0"/>
      <w:marBottom w:val="0"/>
      <w:divBdr>
        <w:top w:val="none" w:sz="0" w:space="0" w:color="auto"/>
        <w:left w:val="none" w:sz="0" w:space="0" w:color="auto"/>
        <w:bottom w:val="none" w:sz="0" w:space="0" w:color="auto"/>
        <w:right w:val="none" w:sz="0" w:space="0" w:color="auto"/>
      </w:divBdr>
    </w:div>
    <w:div w:id="1701667195">
      <w:bodyDiv w:val="1"/>
      <w:marLeft w:val="0"/>
      <w:marRight w:val="0"/>
      <w:marTop w:val="0"/>
      <w:marBottom w:val="0"/>
      <w:divBdr>
        <w:top w:val="none" w:sz="0" w:space="0" w:color="auto"/>
        <w:left w:val="none" w:sz="0" w:space="0" w:color="auto"/>
        <w:bottom w:val="none" w:sz="0" w:space="0" w:color="auto"/>
        <w:right w:val="none" w:sz="0" w:space="0" w:color="auto"/>
      </w:divBdr>
    </w:div>
    <w:div w:id="1800150934">
      <w:bodyDiv w:val="1"/>
      <w:marLeft w:val="0"/>
      <w:marRight w:val="0"/>
      <w:marTop w:val="0"/>
      <w:marBottom w:val="0"/>
      <w:divBdr>
        <w:top w:val="none" w:sz="0" w:space="0" w:color="auto"/>
        <w:left w:val="none" w:sz="0" w:space="0" w:color="auto"/>
        <w:bottom w:val="none" w:sz="0" w:space="0" w:color="auto"/>
        <w:right w:val="none" w:sz="0" w:space="0" w:color="auto"/>
      </w:divBdr>
    </w:div>
    <w:div w:id="1859539909">
      <w:bodyDiv w:val="1"/>
      <w:marLeft w:val="0"/>
      <w:marRight w:val="0"/>
      <w:marTop w:val="0"/>
      <w:marBottom w:val="0"/>
      <w:divBdr>
        <w:top w:val="none" w:sz="0" w:space="0" w:color="auto"/>
        <w:left w:val="none" w:sz="0" w:space="0" w:color="auto"/>
        <w:bottom w:val="none" w:sz="0" w:space="0" w:color="auto"/>
        <w:right w:val="none" w:sz="0" w:space="0" w:color="auto"/>
      </w:divBdr>
    </w:div>
    <w:div w:id="1876505795">
      <w:bodyDiv w:val="1"/>
      <w:marLeft w:val="0"/>
      <w:marRight w:val="0"/>
      <w:marTop w:val="0"/>
      <w:marBottom w:val="0"/>
      <w:divBdr>
        <w:top w:val="none" w:sz="0" w:space="0" w:color="auto"/>
        <w:left w:val="none" w:sz="0" w:space="0" w:color="auto"/>
        <w:bottom w:val="none" w:sz="0" w:space="0" w:color="auto"/>
        <w:right w:val="none" w:sz="0" w:space="0" w:color="auto"/>
      </w:divBdr>
    </w:div>
    <w:div w:id="1880704184">
      <w:bodyDiv w:val="1"/>
      <w:marLeft w:val="0"/>
      <w:marRight w:val="0"/>
      <w:marTop w:val="0"/>
      <w:marBottom w:val="0"/>
      <w:divBdr>
        <w:top w:val="none" w:sz="0" w:space="0" w:color="auto"/>
        <w:left w:val="none" w:sz="0" w:space="0" w:color="auto"/>
        <w:bottom w:val="none" w:sz="0" w:space="0" w:color="auto"/>
        <w:right w:val="none" w:sz="0" w:space="0" w:color="auto"/>
      </w:divBdr>
    </w:div>
    <w:div w:id="1899171553">
      <w:bodyDiv w:val="1"/>
      <w:marLeft w:val="0"/>
      <w:marRight w:val="0"/>
      <w:marTop w:val="0"/>
      <w:marBottom w:val="0"/>
      <w:divBdr>
        <w:top w:val="none" w:sz="0" w:space="0" w:color="auto"/>
        <w:left w:val="none" w:sz="0" w:space="0" w:color="auto"/>
        <w:bottom w:val="none" w:sz="0" w:space="0" w:color="auto"/>
        <w:right w:val="none" w:sz="0" w:space="0" w:color="auto"/>
      </w:divBdr>
    </w:div>
    <w:div w:id="1940327816">
      <w:bodyDiv w:val="1"/>
      <w:marLeft w:val="0"/>
      <w:marRight w:val="0"/>
      <w:marTop w:val="0"/>
      <w:marBottom w:val="0"/>
      <w:divBdr>
        <w:top w:val="none" w:sz="0" w:space="0" w:color="auto"/>
        <w:left w:val="none" w:sz="0" w:space="0" w:color="auto"/>
        <w:bottom w:val="none" w:sz="0" w:space="0" w:color="auto"/>
        <w:right w:val="none" w:sz="0" w:space="0" w:color="auto"/>
      </w:divBdr>
    </w:div>
    <w:div w:id="1995329560">
      <w:bodyDiv w:val="1"/>
      <w:marLeft w:val="0"/>
      <w:marRight w:val="0"/>
      <w:marTop w:val="0"/>
      <w:marBottom w:val="0"/>
      <w:divBdr>
        <w:top w:val="none" w:sz="0" w:space="0" w:color="auto"/>
        <w:left w:val="none" w:sz="0" w:space="0" w:color="auto"/>
        <w:bottom w:val="none" w:sz="0" w:space="0" w:color="auto"/>
        <w:right w:val="none" w:sz="0" w:space="0" w:color="auto"/>
      </w:divBdr>
    </w:div>
    <w:div w:id="1996952027">
      <w:bodyDiv w:val="1"/>
      <w:marLeft w:val="0"/>
      <w:marRight w:val="0"/>
      <w:marTop w:val="0"/>
      <w:marBottom w:val="0"/>
      <w:divBdr>
        <w:top w:val="none" w:sz="0" w:space="0" w:color="auto"/>
        <w:left w:val="none" w:sz="0" w:space="0" w:color="auto"/>
        <w:bottom w:val="none" w:sz="0" w:space="0" w:color="auto"/>
        <w:right w:val="none" w:sz="0" w:space="0" w:color="auto"/>
      </w:divBdr>
    </w:div>
    <w:div w:id="2024554846">
      <w:bodyDiv w:val="1"/>
      <w:marLeft w:val="0"/>
      <w:marRight w:val="0"/>
      <w:marTop w:val="0"/>
      <w:marBottom w:val="0"/>
      <w:divBdr>
        <w:top w:val="none" w:sz="0" w:space="0" w:color="auto"/>
        <w:left w:val="none" w:sz="0" w:space="0" w:color="auto"/>
        <w:bottom w:val="none" w:sz="0" w:space="0" w:color="auto"/>
        <w:right w:val="none" w:sz="0" w:space="0" w:color="auto"/>
      </w:divBdr>
    </w:div>
    <w:div w:id="2029326391">
      <w:bodyDiv w:val="1"/>
      <w:marLeft w:val="0"/>
      <w:marRight w:val="0"/>
      <w:marTop w:val="0"/>
      <w:marBottom w:val="0"/>
      <w:divBdr>
        <w:top w:val="none" w:sz="0" w:space="0" w:color="auto"/>
        <w:left w:val="none" w:sz="0" w:space="0" w:color="auto"/>
        <w:bottom w:val="none" w:sz="0" w:space="0" w:color="auto"/>
        <w:right w:val="none" w:sz="0" w:space="0" w:color="auto"/>
      </w:divBdr>
    </w:div>
    <w:div w:id="2132018859">
      <w:bodyDiv w:val="1"/>
      <w:marLeft w:val="0"/>
      <w:marRight w:val="0"/>
      <w:marTop w:val="0"/>
      <w:marBottom w:val="0"/>
      <w:divBdr>
        <w:top w:val="none" w:sz="0" w:space="0" w:color="auto"/>
        <w:left w:val="none" w:sz="0" w:space="0" w:color="auto"/>
        <w:bottom w:val="none" w:sz="0" w:space="0" w:color="auto"/>
        <w:right w:val="none" w:sz="0" w:space="0" w:color="auto"/>
      </w:divBdr>
    </w:div>
    <w:div w:id="213667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eader" Target="header9.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image" Target="media/image2.emf"/><Relationship Id="rId33"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image" Target="media/image5.emf"/><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image" Target="media/image4.emf"/><Relationship Id="rId30" Type="http://schemas.openxmlformats.org/officeDocument/2006/relationships/header" Target="header7.xml"/><Relationship Id="rId35"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2A576DC293414C8AF10C7482A56B8D" ma:contentTypeVersion="0" ma:contentTypeDescription="Create a new document." ma:contentTypeScope="" ma:versionID="883cb8ca4e526212b39831507e8e33fb">
  <xsd:schema xmlns:xsd="http://www.w3.org/2001/XMLSchema" xmlns:xs="http://www.w3.org/2001/XMLSchema" xmlns:p="http://schemas.microsoft.com/office/2006/metadata/properties" targetNamespace="http://schemas.microsoft.com/office/2006/metadata/properties" ma:root="true" ma:fieldsID="76159d44104cd8045dc8beebb3b5703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623DD-4106-4071-969C-2513278EF92E}">
  <ds:schemaRefs>
    <ds:schemaRef ds:uri="http://www.w3.org/XML/1998/namespace"/>
    <ds:schemaRef ds:uri="http://purl.org/dc/terms/"/>
    <ds:schemaRef ds:uri="http://schemas.microsoft.com/office/2006/metadata/propertie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E06479AD-5B76-458B-BD45-06DC8DDC36C8}">
  <ds:schemaRefs>
    <ds:schemaRef ds:uri="http://schemas.microsoft.com/sharepoint/v3/contenttype/forms"/>
  </ds:schemaRefs>
</ds:datastoreItem>
</file>

<file path=customXml/itemProps3.xml><?xml version="1.0" encoding="utf-8"?>
<ds:datastoreItem xmlns:ds="http://schemas.openxmlformats.org/officeDocument/2006/customXml" ds:itemID="{20F864BB-7CEB-4BBF-9A3B-D787A9D5F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9849DE0-EB1D-4CCB-9DFE-95AC934F2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20</Pages>
  <Words>6992</Words>
  <Characters>39087</Characters>
  <Application>Microsoft Office Word</Application>
  <DocSecurity>0</DocSecurity>
  <Lines>620</Lines>
  <Paragraphs>141</Paragraphs>
  <ScaleCrop>false</ScaleCrop>
  <HeadingPairs>
    <vt:vector size="2" baseType="variant">
      <vt:variant>
        <vt:lpstr>Title</vt:lpstr>
      </vt:variant>
      <vt:variant>
        <vt:i4>1</vt:i4>
      </vt:variant>
    </vt:vector>
  </HeadingPairs>
  <TitlesOfParts>
    <vt:vector size="1" baseType="lpstr">
      <vt:lpstr>Progress Report 2016</vt:lpstr>
    </vt:vector>
  </TitlesOfParts>
  <Manager/>
  <Company/>
  <LinksUpToDate>false</LinksUpToDate>
  <CharactersWithSpaces>45938</CharactersWithSpaces>
  <SharedDoc>false</SharedDoc>
  <HLinks>
    <vt:vector size="204" baseType="variant">
      <vt:variant>
        <vt:i4>1769522</vt:i4>
      </vt:variant>
      <vt:variant>
        <vt:i4>203</vt:i4>
      </vt:variant>
      <vt:variant>
        <vt:i4>0</vt:i4>
      </vt:variant>
      <vt:variant>
        <vt:i4>5</vt:i4>
      </vt:variant>
      <vt:variant>
        <vt:lpwstr/>
      </vt:variant>
      <vt:variant>
        <vt:lpwstr>_Toc429760996</vt:lpwstr>
      </vt:variant>
      <vt:variant>
        <vt:i4>1769522</vt:i4>
      </vt:variant>
      <vt:variant>
        <vt:i4>197</vt:i4>
      </vt:variant>
      <vt:variant>
        <vt:i4>0</vt:i4>
      </vt:variant>
      <vt:variant>
        <vt:i4>5</vt:i4>
      </vt:variant>
      <vt:variant>
        <vt:lpwstr/>
      </vt:variant>
      <vt:variant>
        <vt:lpwstr>_Toc429760995</vt:lpwstr>
      </vt:variant>
      <vt:variant>
        <vt:i4>1769522</vt:i4>
      </vt:variant>
      <vt:variant>
        <vt:i4>191</vt:i4>
      </vt:variant>
      <vt:variant>
        <vt:i4>0</vt:i4>
      </vt:variant>
      <vt:variant>
        <vt:i4>5</vt:i4>
      </vt:variant>
      <vt:variant>
        <vt:lpwstr/>
      </vt:variant>
      <vt:variant>
        <vt:lpwstr>_Toc429760994</vt:lpwstr>
      </vt:variant>
      <vt:variant>
        <vt:i4>1769522</vt:i4>
      </vt:variant>
      <vt:variant>
        <vt:i4>185</vt:i4>
      </vt:variant>
      <vt:variant>
        <vt:i4>0</vt:i4>
      </vt:variant>
      <vt:variant>
        <vt:i4>5</vt:i4>
      </vt:variant>
      <vt:variant>
        <vt:lpwstr/>
      </vt:variant>
      <vt:variant>
        <vt:lpwstr>_Toc429760993</vt:lpwstr>
      </vt:variant>
      <vt:variant>
        <vt:i4>1769522</vt:i4>
      </vt:variant>
      <vt:variant>
        <vt:i4>179</vt:i4>
      </vt:variant>
      <vt:variant>
        <vt:i4>0</vt:i4>
      </vt:variant>
      <vt:variant>
        <vt:i4>5</vt:i4>
      </vt:variant>
      <vt:variant>
        <vt:lpwstr/>
      </vt:variant>
      <vt:variant>
        <vt:lpwstr>_Toc429760992</vt:lpwstr>
      </vt:variant>
      <vt:variant>
        <vt:i4>1572915</vt:i4>
      </vt:variant>
      <vt:variant>
        <vt:i4>170</vt:i4>
      </vt:variant>
      <vt:variant>
        <vt:i4>0</vt:i4>
      </vt:variant>
      <vt:variant>
        <vt:i4>5</vt:i4>
      </vt:variant>
      <vt:variant>
        <vt:lpwstr/>
      </vt:variant>
      <vt:variant>
        <vt:lpwstr>_Toc434329161</vt:lpwstr>
      </vt:variant>
      <vt:variant>
        <vt:i4>1572915</vt:i4>
      </vt:variant>
      <vt:variant>
        <vt:i4>164</vt:i4>
      </vt:variant>
      <vt:variant>
        <vt:i4>0</vt:i4>
      </vt:variant>
      <vt:variant>
        <vt:i4>5</vt:i4>
      </vt:variant>
      <vt:variant>
        <vt:lpwstr/>
      </vt:variant>
      <vt:variant>
        <vt:lpwstr>_Toc434329160</vt:lpwstr>
      </vt:variant>
      <vt:variant>
        <vt:i4>1769523</vt:i4>
      </vt:variant>
      <vt:variant>
        <vt:i4>158</vt:i4>
      </vt:variant>
      <vt:variant>
        <vt:i4>0</vt:i4>
      </vt:variant>
      <vt:variant>
        <vt:i4>5</vt:i4>
      </vt:variant>
      <vt:variant>
        <vt:lpwstr/>
      </vt:variant>
      <vt:variant>
        <vt:lpwstr>_Toc434329159</vt:lpwstr>
      </vt:variant>
      <vt:variant>
        <vt:i4>1769523</vt:i4>
      </vt:variant>
      <vt:variant>
        <vt:i4>152</vt:i4>
      </vt:variant>
      <vt:variant>
        <vt:i4>0</vt:i4>
      </vt:variant>
      <vt:variant>
        <vt:i4>5</vt:i4>
      </vt:variant>
      <vt:variant>
        <vt:lpwstr/>
      </vt:variant>
      <vt:variant>
        <vt:lpwstr>_Toc434329158</vt:lpwstr>
      </vt:variant>
      <vt:variant>
        <vt:i4>1769523</vt:i4>
      </vt:variant>
      <vt:variant>
        <vt:i4>146</vt:i4>
      </vt:variant>
      <vt:variant>
        <vt:i4>0</vt:i4>
      </vt:variant>
      <vt:variant>
        <vt:i4>5</vt:i4>
      </vt:variant>
      <vt:variant>
        <vt:lpwstr/>
      </vt:variant>
      <vt:variant>
        <vt:lpwstr>_Toc434329157</vt:lpwstr>
      </vt:variant>
      <vt:variant>
        <vt:i4>1769523</vt:i4>
      </vt:variant>
      <vt:variant>
        <vt:i4>140</vt:i4>
      </vt:variant>
      <vt:variant>
        <vt:i4>0</vt:i4>
      </vt:variant>
      <vt:variant>
        <vt:i4>5</vt:i4>
      </vt:variant>
      <vt:variant>
        <vt:lpwstr/>
      </vt:variant>
      <vt:variant>
        <vt:lpwstr>_Toc434329156</vt:lpwstr>
      </vt:variant>
      <vt:variant>
        <vt:i4>1769523</vt:i4>
      </vt:variant>
      <vt:variant>
        <vt:i4>134</vt:i4>
      </vt:variant>
      <vt:variant>
        <vt:i4>0</vt:i4>
      </vt:variant>
      <vt:variant>
        <vt:i4>5</vt:i4>
      </vt:variant>
      <vt:variant>
        <vt:lpwstr/>
      </vt:variant>
      <vt:variant>
        <vt:lpwstr>_Toc434329155</vt:lpwstr>
      </vt:variant>
      <vt:variant>
        <vt:i4>1769523</vt:i4>
      </vt:variant>
      <vt:variant>
        <vt:i4>128</vt:i4>
      </vt:variant>
      <vt:variant>
        <vt:i4>0</vt:i4>
      </vt:variant>
      <vt:variant>
        <vt:i4>5</vt:i4>
      </vt:variant>
      <vt:variant>
        <vt:lpwstr/>
      </vt:variant>
      <vt:variant>
        <vt:lpwstr>_Toc434329154</vt:lpwstr>
      </vt:variant>
      <vt:variant>
        <vt:i4>1769523</vt:i4>
      </vt:variant>
      <vt:variant>
        <vt:i4>122</vt:i4>
      </vt:variant>
      <vt:variant>
        <vt:i4>0</vt:i4>
      </vt:variant>
      <vt:variant>
        <vt:i4>5</vt:i4>
      </vt:variant>
      <vt:variant>
        <vt:lpwstr/>
      </vt:variant>
      <vt:variant>
        <vt:lpwstr>_Toc434329153</vt:lpwstr>
      </vt:variant>
      <vt:variant>
        <vt:i4>1769523</vt:i4>
      </vt:variant>
      <vt:variant>
        <vt:i4>116</vt:i4>
      </vt:variant>
      <vt:variant>
        <vt:i4>0</vt:i4>
      </vt:variant>
      <vt:variant>
        <vt:i4>5</vt:i4>
      </vt:variant>
      <vt:variant>
        <vt:lpwstr/>
      </vt:variant>
      <vt:variant>
        <vt:lpwstr>_Toc434329152</vt:lpwstr>
      </vt:variant>
      <vt:variant>
        <vt:i4>1769523</vt:i4>
      </vt:variant>
      <vt:variant>
        <vt:i4>110</vt:i4>
      </vt:variant>
      <vt:variant>
        <vt:i4>0</vt:i4>
      </vt:variant>
      <vt:variant>
        <vt:i4>5</vt:i4>
      </vt:variant>
      <vt:variant>
        <vt:lpwstr/>
      </vt:variant>
      <vt:variant>
        <vt:lpwstr>_Toc434329151</vt:lpwstr>
      </vt:variant>
      <vt:variant>
        <vt:i4>1769523</vt:i4>
      </vt:variant>
      <vt:variant>
        <vt:i4>104</vt:i4>
      </vt:variant>
      <vt:variant>
        <vt:i4>0</vt:i4>
      </vt:variant>
      <vt:variant>
        <vt:i4>5</vt:i4>
      </vt:variant>
      <vt:variant>
        <vt:lpwstr/>
      </vt:variant>
      <vt:variant>
        <vt:lpwstr>_Toc434329150</vt:lpwstr>
      </vt:variant>
      <vt:variant>
        <vt:i4>1703987</vt:i4>
      </vt:variant>
      <vt:variant>
        <vt:i4>98</vt:i4>
      </vt:variant>
      <vt:variant>
        <vt:i4>0</vt:i4>
      </vt:variant>
      <vt:variant>
        <vt:i4>5</vt:i4>
      </vt:variant>
      <vt:variant>
        <vt:lpwstr/>
      </vt:variant>
      <vt:variant>
        <vt:lpwstr>_Toc434329149</vt:lpwstr>
      </vt:variant>
      <vt:variant>
        <vt:i4>1703987</vt:i4>
      </vt:variant>
      <vt:variant>
        <vt:i4>92</vt:i4>
      </vt:variant>
      <vt:variant>
        <vt:i4>0</vt:i4>
      </vt:variant>
      <vt:variant>
        <vt:i4>5</vt:i4>
      </vt:variant>
      <vt:variant>
        <vt:lpwstr/>
      </vt:variant>
      <vt:variant>
        <vt:lpwstr>_Toc434329148</vt:lpwstr>
      </vt:variant>
      <vt:variant>
        <vt:i4>1703987</vt:i4>
      </vt:variant>
      <vt:variant>
        <vt:i4>86</vt:i4>
      </vt:variant>
      <vt:variant>
        <vt:i4>0</vt:i4>
      </vt:variant>
      <vt:variant>
        <vt:i4>5</vt:i4>
      </vt:variant>
      <vt:variant>
        <vt:lpwstr/>
      </vt:variant>
      <vt:variant>
        <vt:lpwstr>_Toc434329147</vt:lpwstr>
      </vt:variant>
      <vt:variant>
        <vt:i4>1703987</vt:i4>
      </vt:variant>
      <vt:variant>
        <vt:i4>80</vt:i4>
      </vt:variant>
      <vt:variant>
        <vt:i4>0</vt:i4>
      </vt:variant>
      <vt:variant>
        <vt:i4>5</vt:i4>
      </vt:variant>
      <vt:variant>
        <vt:lpwstr/>
      </vt:variant>
      <vt:variant>
        <vt:lpwstr>_Toc434329146</vt:lpwstr>
      </vt:variant>
      <vt:variant>
        <vt:i4>1703987</vt:i4>
      </vt:variant>
      <vt:variant>
        <vt:i4>74</vt:i4>
      </vt:variant>
      <vt:variant>
        <vt:i4>0</vt:i4>
      </vt:variant>
      <vt:variant>
        <vt:i4>5</vt:i4>
      </vt:variant>
      <vt:variant>
        <vt:lpwstr/>
      </vt:variant>
      <vt:variant>
        <vt:lpwstr>_Toc434329145</vt:lpwstr>
      </vt:variant>
      <vt:variant>
        <vt:i4>1703987</vt:i4>
      </vt:variant>
      <vt:variant>
        <vt:i4>68</vt:i4>
      </vt:variant>
      <vt:variant>
        <vt:i4>0</vt:i4>
      </vt:variant>
      <vt:variant>
        <vt:i4>5</vt:i4>
      </vt:variant>
      <vt:variant>
        <vt:lpwstr/>
      </vt:variant>
      <vt:variant>
        <vt:lpwstr>_Toc434329144</vt:lpwstr>
      </vt:variant>
      <vt:variant>
        <vt:i4>1703987</vt:i4>
      </vt:variant>
      <vt:variant>
        <vt:i4>62</vt:i4>
      </vt:variant>
      <vt:variant>
        <vt:i4>0</vt:i4>
      </vt:variant>
      <vt:variant>
        <vt:i4>5</vt:i4>
      </vt:variant>
      <vt:variant>
        <vt:lpwstr/>
      </vt:variant>
      <vt:variant>
        <vt:lpwstr>_Toc434329143</vt:lpwstr>
      </vt:variant>
      <vt:variant>
        <vt:i4>1703987</vt:i4>
      </vt:variant>
      <vt:variant>
        <vt:i4>56</vt:i4>
      </vt:variant>
      <vt:variant>
        <vt:i4>0</vt:i4>
      </vt:variant>
      <vt:variant>
        <vt:i4>5</vt:i4>
      </vt:variant>
      <vt:variant>
        <vt:lpwstr/>
      </vt:variant>
      <vt:variant>
        <vt:lpwstr>_Toc434329142</vt:lpwstr>
      </vt:variant>
      <vt:variant>
        <vt:i4>1703987</vt:i4>
      </vt:variant>
      <vt:variant>
        <vt:i4>50</vt:i4>
      </vt:variant>
      <vt:variant>
        <vt:i4>0</vt:i4>
      </vt:variant>
      <vt:variant>
        <vt:i4>5</vt:i4>
      </vt:variant>
      <vt:variant>
        <vt:lpwstr/>
      </vt:variant>
      <vt:variant>
        <vt:lpwstr>_Toc434329141</vt:lpwstr>
      </vt:variant>
      <vt:variant>
        <vt:i4>1703987</vt:i4>
      </vt:variant>
      <vt:variant>
        <vt:i4>44</vt:i4>
      </vt:variant>
      <vt:variant>
        <vt:i4>0</vt:i4>
      </vt:variant>
      <vt:variant>
        <vt:i4>5</vt:i4>
      </vt:variant>
      <vt:variant>
        <vt:lpwstr/>
      </vt:variant>
      <vt:variant>
        <vt:lpwstr>_Toc434329140</vt:lpwstr>
      </vt:variant>
      <vt:variant>
        <vt:i4>1900595</vt:i4>
      </vt:variant>
      <vt:variant>
        <vt:i4>38</vt:i4>
      </vt:variant>
      <vt:variant>
        <vt:i4>0</vt:i4>
      </vt:variant>
      <vt:variant>
        <vt:i4>5</vt:i4>
      </vt:variant>
      <vt:variant>
        <vt:lpwstr/>
      </vt:variant>
      <vt:variant>
        <vt:lpwstr>_Toc434329139</vt:lpwstr>
      </vt:variant>
      <vt:variant>
        <vt:i4>1900595</vt:i4>
      </vt:variant>
      <vt:variant>
        <vt:i4>32</vt:i4>
      </vt:variant>
      <vt:variant>
        <vt:i4>0</vt:i4>
      </vt:variant>
      <vt:variant>
        <vt:i4>5</vt:i4>
      </vt:variant>
      <vt:variant>
        <vt:lpwstr/>
      </vt:variant>
      <vt:variant>
        <vt:lpwstr>_Toc434329138</vt:lpwstr>
      </vt:variant>
      <vt:variant>
        <vt:i4>1900595</vt:i4>
      </vt:variant>
      <vt:variant>
        <vt:i4>26</vt:i4>
      </vt:variant>
      <vt:variant>
        <vt:i4>0</vt:i4>
      </vt:variant>
      <vt:variant>
        <vt:i4>5</vt:i4>
      </vt:variant>
      <vt:variant>
        <vt:lpwstr/>
      </vt:variant>
      <vt:variant>
        <vt:lpwstr>_Toc434329137</vt:lpwstr>
      </vt:variant>
      <vt:variant>
        <vt:i4>1900595</vt:i4>
      </vt:variant>
      <vt:variant>
        <vt:i4>20</vt:i4>
      </vt:variant>
      <vt:variant>
        <vt:i4>0</vt:i4>
      </vt:variant>
      <vt:variant>
        <vt:i4>5</vt:i4>
      </vt:variant>
      <vt:variant>
        <vt:lpwstr/>
      </vt:variant>
      <vt:variant>
        <vt:lpwstr>_Toc434329136</vt:lpwstr>
      </vt:variant>
      <vt:variant>
        <vt:i4>1900595</vt:i4>
      </vt:variant>
      <vt:variant>
        <vt:i4>14</vt:i4>
      </vt:variant>
      <vt:variant>
        <vt:i4>0</vt:i4>
      </vt:variant>
      <vt:variant>
        <vt:i4>5</vt:i4>
      </vt:variant>
      <vt:variant>
        <vt:lpwstr/>
      </vt:variant>
      <vt:variant>
        <vt:lpwstr>_Toc434329135</vt:lpwstr>
      </vt:variant>
      <vt:variant>
        <vt:i4>1900595</vt:i4>
      </vt:variant>
      <vt:variant>
        <vt:i4>8</vt:i4>
      </vt:variant>
      <vt:variant>
        <vt:i4>0</vt:i4>
      </vt:variant>
      <vt:variant>
        <vt:i4>5</vt:i4>
      </vt:variant>
      <vt:variant>
        <vt:lpwstr/>
      </vt:variant>
      <vt:variant>
        <vt:lpwstr>_Toc434329134</vt:lpwstr>
      </vt:variant>
      <vt:variant>
        <vt:i4>1900595</vt:i4>
      </vt:variant>
      <vt:variant>
        <vt:i4>2</vt:i4>
      </vt:variant>
      <vt:variant>
        <vt:i4>0</vt:i4>
      </vt:variant>
      <vt:variant>
        <vt:i4>5</vt:i4>
      </vt:variant>
      <vt:variant>
        <vt:lpwstr/>
      </vt:variant>
      <vt:variant>
        <vt:lpwstr>_Toc434329133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Report 2016</dc:title>
  <dc:creator/>
  <cp:lastModifiedBy>DIGIT/A3</cp:lastModifiedBy>
  <cp:revision>22</cp:revision>
  <cp:lastPrinted>2016-10-24T07:24:00Z</cp:lastPrinted>
  <dcterms:created xsi:type="dcterms:W3CDTF">2016-10-25T15:04:00Z</dcterms:created>
  <dcterms:modified xsi:type="dcterms:W3CDTF">2016-11-07T08:18:00Z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y fmtid="{D5CDD505-2E9C-101B-9397-08002B2CF9AE}" pid="6" name="ContentTypeId">
    <vt:lpwstr>0x010100CE2A576DC293414C8AF10C7482A56B8D</vt:lpwstr>
  </property>
  <property fmtid="{D5CDD505-2E9C-101B-9397-08002B2CF9AE}" pid="7" name="IsMyDocuments">
    <vt:bool>true</vt:bool>
  </property>
</Properties>
</file>