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D3954ED37D0B43DCB1FF89F0E8524542" style="width:450.75pt;height:388.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2"/>
          <w:cols w:space="720"/>
          <w:docGrid w:linePitch="360"/>
        </w:sectPr>
      </w:pPr>
    </w:p>
    <w:p>
      <w:pPr>
        <w:jc w:val="both"/>
        <w:rPr>
          <w:rFonts w:ascii="Times New Roman Bold" w:hAnsi="Times New Roman Bold" w:cs="Times New Roman"/>
          <w:b/>
          <w:smallCaps/>
          <w:noProof/>
          <w:sz w:val="24"/>
          <w:szCs w:val="24"/>
        </w:rPr>
      </w:pPr>
      <w:bookmarkStart w:id="1" w:name="_GoBack"/>
      <w:bookmarkEnd w:id="1"/>
      <w:r>
        <w:rPr>
          <w:rFonts w:ascii="Times New Roman Bold" w:hAnsi="Times New Roman Bold"/>
          <w:b/>
          <w:smallCaps/>
          <w:noProof/>
          <w:sz w:val="24"/>
        </w:rPr>
        <w:lastRenderedPageBreak/>
        <w:t>I.</w:t>
      </w:r>
      <w:r>
        <w:rPr>
          <w:noProof/>
        </w:rPr>
        <w:tab/>
      </w:r>
      <w:r>
        <w:rPr>
          <w:rFonts w:ascii="Times New Roman Bold" w:hAnsi="Times New Roman Bold"/>
          <w:b/>
          <w:smallCaps/>
          <w:noProof/>
          <w:sz w:val="24"/>
        </w:rPr>
        <w:t>Европа се намира в повратна точка</w:t>
      </w:r>
    </w:p>
    <w:p>
      <w:pPr>
        <w:jc w:val="both"/>
        <w:rPr>
          <w:rFonts w:ascii="Times New Roman" w:hAnsi="Times New Roman" w:cs="Times New Roman"/>
          <w:noProof/>
          <w:sz w:val="24"/>
          <w:szCs w:val="24"/>
        </w:rPr>
      </w:pPr>
      <w:r>
        <w:rPr>
          <w:rFonts w:ascii="Times New Roman" w:hAnsi="Times New Roman"/>
          <w:noProof/>
          <w:sz w:val="24"/>
        </w:rPr>
        <w:t>Европейците знаят и виждат в ежедневието си последиците от неизчезващите предизвикателства в нашия живот. Все още крехкото икономическо възстановяване, ползите от което все още не достигат всички в нашите общества, особено по отношение на създаването на работни места за младите хора и намаляването на неравенството. Миграционните потоци, които подлагат на изпитание външните ни граници и продължават да бъдат предизвикателство за капацитета на Съюза да проявява солидарност. Засилената терористична заплаха. Непрестанната нестабилност у нашите източни и южни съседи. Към това трябва да добавим сега и несигурността, породена от референдума в Обединеното кралство.</w:t>
      </w:r>
    </w:p>
    <w:p>
      <w:pPr>
        <w:jc w:val="both"/>
        <w:rPr>
          <w:rFonts w:ascii="Times New Roman" w:hAnsi="Times New Roman" w:cs="Times New Roman"/>
          <w:noProof/>
          <w:sz w:val="24"/>
          <w:szCs w:val="24"/>
        </w:rPr>
      </w:pPr>
      <w:r>
        <w:rPr>
          <w:rFonts w:ascii="Times New Roman" w:hAnsi="Times New Roman"/>
          <w:noProof/>
          <w:sz w:val="24"/>
        </w:rPr>
        <w:t>Вслушвайки се в гласа на европейците, се оформи нашето разбиране, че те търсят отговор на тези предизвикателства и защита срещу тези заплахи. Те търсят средствата, които да им дадат силата да изградят устойчиво бъдеще за себе си и за своите семейства. Те също така имат нужда от перспектива: да бъдат уверени, че управлението на местно, регионално, национално и европейско равнище може заедно да отговори на очакванията на днешните и утрешните поколения.</w:t>
      </w:r>
    </w:p>
    <w:p>
      <w:pPr>
        <w:jc w:val="both"/>
        <w:rPr>
          <w:rFonts w:ascii="Times New Roman" w:hAnsi="Times New Roman" w:cs="Times New Roman"/>
          <w:b/>
          <w:i/>
          <w:noProof/>
          <w:sz w:val="24"/>
          <w:szCs w:val="24"/>
        </w:rPr>
      </w:pPr>
      <w:r>
        <w:rPr>
          <w:rFonts w:ascii="Times New Roman" w:hAnsi="Times New Roman"/>
          <w:b/>
          <w:i/>
          <w:noProof/>
          <w:sz w:val="24"/>
        </w:rPr>
        <w:t>Комисия, която се съсредоточава върху важните въпроси...</w:t>
      </w:r>
    </w:p>
    <w:p>
      <w:pPr>
        <w:jc w:val="both"/>
        <w:rPr>
          <w:rFonts w:ascii="Times New Roman" w:hAnsi="Times New Roman" w:cs="Times New Roman"/>
          <w:noProof/>
          <w:sz w:val="24"/>
          <w:szCs w:val="24"/>
        </w:rPr>
      </w:pPr>
      <w:r>
        <w:rPr>
          <w:rFonts w:ascii="Times New Roman" w:hAnsi="Times New Roman"/>
          <w:noProof/>
          <w:sz w:val="24"/>
        </w:rPr>
        <w:t>Още в началото на мандата си настоящата Комисия определи своите приоритети, така че да се съсредоточи върху големите теми. Тези, при които ефективните европейски действия могат да имат конкретно въздействие при справянето с предизвикателствата, пред които са изправени европейските граждани, нашите държави членки и Съюзът като цяло. През последната година постигнахме значителен напредък в изпълнението на стратегиите, които очертахме в Плана за инвестиции за Европа, Цифровия единен пазар, Енергийния съюз, Европейската програма за сигурност, Европейската програма за миграцията, Съюза на капиталовите пазари, Плана за действие за справедливо и ефикасно корпоративно данъчно облагане, новата Търговска стратегия, Стъпките към завършването на икономическия и паричен съюз, Стратегията за единния пазар и Плана за действие за кръговата икономика.</w:t>
      </w:r>
    </w:p>
    <w:p>
      <w:pPr>
        <w:jc w:val="both"/>
        <w:rPr>
          <w:rFonts w:ascii="Times New Roman" w:hAnsi="Times New Roman" w:cs="Times New Roman"/>
          <w:noProof/>
          <w:sz w:val="24"/>
          <w:szCs w:val="24"/>
        </w:rPr>
      </w:pPr>
      <w:r>
        <w:rPr>
          <w:rFonts w:ascii="Times New Roman" w:hAnsi="Times New Roman"/>
          <w:noProof/>
          <w:sz w:val="24"/>
        </w:rPr>
        <w:t>Като се съсредоточихме върху големите теми и споделихме тези приоритети с Европейския парламент и Съвета, постигнахме осезаеми и бързи резултати в ключови области. В рамките на едва година Европейският фонд за стратегически инвестиции започна да действа в 27 държави членки и доведе до 138 милиарда евро инвестиции, включително ново финансиране за близо 300 000 малки и средни предприятия. Постигнахме съществен напредък по отношение на възстановяването на контрола върху незаконните миграционни потоци и предотвратяването на смъртта на хора в Егейско море и в Средиземно море. Европейската гранична и брегова охрана вече работи за засилване на контрола на външните ни граници само десет месеца след предложението на Комисията за нейното създаване. В същото време Европа показа солидарност с 1 милион сирийци, които намериха подслон и закрила тук. През изминалите дванадесет месеца преместихме и презаселихме други 15 000 бежанци. През последните три месеца достигнахме средно приблизително 1 000 премествания на месец. През септември този брой нарасна до 1 200 премествания. Разликата между настоящите нужди от преместване и действителните премествания от Гърция сега спада, но споменатите усилия не трябва да отслабват през идните месеци, като преместването от Италия следва да бъде значително увеличено.</w:t>
      </w:r>
    </w:p>
    <w:p>
      <w:pPr>
        <w:jc w:val="both"/>
        <w:rPr>
          <w:rFonts w:ascii="Times New Roman" w:hAnsi="Times New Roman" w:cs="Times New Roman"/>
          <w:noProof/>
          <w:sz w:val="24"/>
          <w:szCs w:val="24"/>
        </w:rPr>
      </w:pPr>
      <w:r>
        <w:rPr>
          <w:rFonts w:ascii="Times New Roman" w:hAnsi="Times New Roman"/>
          <w:noProof/>
          <w:sz w:val="24"/>
        </w:rPr>
        <w:t>В настоящата Работна програма се посочват ключовите инициативи</w:t>
      </w:r>
      <w:r>
        <w:rPr>
          <w:rStyle w:val="FootnoteReference"/>
          <w:rFonts w:ascii="Times New Roman" w:hAnsi="Times New Roman"/>
          <w:noProof/>
          <w:sz w:val="24"/>
        </w:rPr>
        <w:footnoteReference w:id="1"/>
      </w:r>
      <w:r>
        <w:rPr>
          <w:rFonts w:ascii="Times New Roman" w:hAnsi="Times New Roman"/>
          <w:noProof/>
          <w:sz w:val="24"/>
        </w:rPr>
        <w:t>, които Комисията се ангажира да представи до края на 2017 г. Тези конкретни предложения са начинът, по който нашата работа ще допринесе най-видимо за процеса на обновление в навечерието на 60</w:t>
      </w:r>
      <w:r>
        <w:rPr>
          <w:rFonts w:ascii="Times New Roman" w:hAnsi="Times New Roman"/>
          <w:noProof/>
          <w:sz w:val="24"/>
          <w:vertAlign w:val="superscript"/>
        </w:rPr>
        <w:t>-та</w:t>
      </w:r>
      <w:r>
        <w:rPr>
          <w:rFonts w:ascii="Times New Roman" w:hAnsi="Times New Roman"/>
          <w:noProof/>
          <w:sz w:val="24"/>
        </w:rPr>
        <w:t xml:space="preserve"> годишнина на Договорите от Рим през март 2017 г. Ние също така ще си сътрудничим с Европейския парламент и със Съвета, за да гарантираме бързото приемане на тези и на други ключови предложения, направени от нас през изминалите години, така че да могат да имат осезаемо въздействие на място.</w:t>
      </w:r>
    </w:p>
    <w:p>
      <w:pPr>
        <w:jc w:val="both"/>
        <w:rPr>
          <w:rFonts w:ascii="Times New Roman" w:hAnsi="Times New Roman" w:cs="Times New Roman"/>
          <w:b/>
          <w:i/>
          <w:noProof/>
          <w:sz w:val="24"/>
          <w:szCs w:val="24"/>
        </w:rPr>
      </w:pPr>
      <w:r>
        <w:rPr>
          <w:rFonts w:ascii="Times New Roman" w:hAnsi="Times New Roman"/>
          <w:b/>
          <w:i/>
          <w:noProof/>
          <w:sz w:val="24"/>
        </w:rPr>
        <w:t>[...] и Комисия, която се съсредоточава върху подобряване на начина на работата си</w:t>
      </w:r>
    </w:p>
    <w:p>
      <w:pPr>
        <w:jc w:val="both"/>
        <w:rPr>
          <w:rFonts w:ascii="Times New Roman" w:hAnsi="Times New Roman" w:cs="Times New Roman"/>
          <w:noProof/>
          <w:sz w:val="24"/>
          <w:szCs w:val="24"/>
        </w:rPr>
      </w:pPr>
      <w:r>
        <w:rPr>
          <w:rFonts w:ascii="Times New Roman" w:hAnsi="Times New Roman"/>
          <w:noProof/>
          <w:sz w:val="24"/>
        </w:rPr>
        <w:t>Съвместното определяне на приоритети обаче е само един от начините, по които подобряването на съвместната ни работа на европейско равнище може да убеди европейските граждани, че нашите управленчески структури са действително в тяхна служба. Това е така, понеже по-добрият начин на работа е толкова важен за доверието на гражданите, колкото е и постигането на по-добри резултати.</w:t>
      </w:r>
    </w:p>
    <w:p>
      <w:pPr>
        <w:jc w:val="both"/>
        <w:rPr>
          <w:rFonts w:ascii="Times New Roman" w:hAnsi="Times New Roman" w:cs="Times New Roman"/>
          <w:noProof/>
          <w:sz w:val="24"/>
          <w:szCs w:val="24"/>
        </w:rPr>
      </w:pPr>
      <w:r>
        <w:rPr>
          <w:rFonts w:ascii="Times New Roman" w:hAnsi="Times New Roman"/>
          <w:noProof/>
          <w:sz w:val="24"/>
        </w:rPr>
        <w:t>Ето защо през следващите месеци ще обърнем специално внимание на оперативния аспект на нашата работа: да гарантираме, че действащото европейско законодателство се прилага и изпълнява съответно, а също и че продължава да е подходящо за постигане на набелязаните цели; да предоставяме структурна подкрепа, например в Гърция; да насърчаваме вкарването в действие на Европейския фонд за стратегически инвестиции и да преодоляваме бариерите пред инвестициите; и да си сътрудничим с държавите членки, социалните партньори и гражданското общество с цел създаване на благоприятна среда за постигането на целите на политиките на Съюза, включително чрез ефективно използване на бюджетните средства, с които разполагаме. Тази година ще задълбочим усилията си по отношение на правоприлагането, понеже и най-добрият закон е безполезен, ако не постига реални резултати на място.</w:t>
      </w:r>
    </w:p>
    <w:p>
      <w:pPr>
        <w:jc w:val="both"/>
        <w:rPr>
          <w:rFonts w:ascii="Times New Roman" w:hAnsi="Times New Roman" w:cs="Times New Roman"/>
          <w:noProof/>
          <w:sz w:val="24"/>
          <w:szCs w:val="24"/>
        </w:rPr>
      </w:pPr>
      <w:r>
        <w:rPr>
          <w:rFonts w:ascii="Times New Roman" w:hAnsi="Times New Roman"/>
          <w:noProof/>
          <w:sz w:val="24"/>
        </w:rPr>
        <w:t>Също така ще продължим да прилагаме принципите за по-добро регулиране в цялата ни работа, така че да подлагаме неотменно на оценка ефективността на нашите действия и тяхната съобразност за постигането на поставените от нас амбициозни цели на политиките. Много от ключовите инициативи, които ще представим през следващата година, включват предложения вследствие на преглед за пригодност и резултатност на регулаторната рамка (REFIT), които ще актуализират и подобрят действащото законодателство, така че то да продължи да постига ефективно своите цели без излишна тежест.</w:t>
      </w:r>
    </w:p>
    <w:p>
      <w:pPr>
        <w:jc w:val="both"/>
        <w:rPr>
          <w:rFonts w:ascii="Times New Roman" w:hAnsi="Times New Roman" w:cs="Times New Roman"/>
          <w:noProof/>
          <w:sz w:val="24"/>
          <w:szCs w:val="24"/>
        </w:rPr>
      </w:pPr>
      <w:r>
        <w:rPr>
          <w:rFonts w:ascii="Times New Roman" w:hAnsi="Times New Roman"/>
          <w:noProof/>
          <w:sz w:val="24"/>
        </w:rPr>
        <w:t>Освен ключовите инициативи предлагаме поредица други прегледи по REFIT на настоящи нормативни актове</w:t>
      </w:r>
      <w:r>
        <w:rPr>
          <w:rStyle w:val="FootnoteReference"/>
          <w:rFonts w:ascii="Times New Roman" w:hAnsi="Times New Roman"/>
          <w:noProof/>
          <w:sz w:val="24"/>
        </w:rPr>
        <w:footnoteReference w:id="2"/>
      </w:r>
      <w:r>
        <w:rPr>
          <w:rFonts w:ascii="Times New Roman" w:hAnsi="Times New Roman"/>
          <w:noProof/>
          <w:sz w:val="24"/>
        </w:rPr>
        <w:t>, като за в бъдеще ще се стремим да постигаме неизменно целите по REFIT, когато действащото право подлежи на преразглеждане. При определянето на приоритетите ни за следващите месеци обърнахме особено внимание на 22-те становища на платформата REFIT. Вече работим или планираме да работим във всички области, обхванати от становищата</w:t>
      </w:r>
      <w:r>
        <w:rPr>
          <w:rStyle w:val="FootnoteReference"/>
          <w:rFonts w:ascii="Times New Roman" w:hAnsi="Times New Roman"/>
          <w:noProof/>
          <w:sz w:val="24"/>
        </w:rPr>
        <w:footnoteReference w:id="3"/>
      </w:r>
      <w:r>
        <w:rPr>
          <w:rFonts w:ascii="Times New Roman" w:hAnsi="Times New Roman"/>
          <w:noProof/>
          <w:sz w:val="24"/>
        </w:rPr>
        <w:t>. Успоредно с настоящата Работна програма се публикува анализ, в който подробно са описани действията впоследствие на становищата на платформата REFIT и текущите усилия да се направи оценка и преглед на действащи нормативни актове, като същевременно предлагаме отмяната на редица законодателни актове, които са остарели</w:t>
      </w:r>
      <w:r>
        <w:rPr>
          <w:rStyle w:val="FootnoteReference"/>
          <w:rFonts w:ascii="Times New Roman" w:hAnsi="Times New Roman"/>
          <w:noProof/>
          <w:sz w:val="24"/>
        </w:rPr>
        <w:footnoteReference w:id="4"/>
      </w:r>
      <w:r>
        <w:rPr>
          <w:rFonts w:ascii="Times New Roman" w:hAnsi="Times New Roman"/>
          <w:noProof/>
          <w:sz w:val="24"/>
        </w:rPr>
        <w:t>. Предлагаме също да бъдат оттеглени редица все още неприети предложения, които са технически остарели или вече не изпълняват предназначението си, за да позволим на съзаконодателите да се съсредоточат върху предложенията, които са наистина от значение</w:t>
      </w:r>
      <w:r>
        <w:rPr>
          <w:rStyle w:val="FootnoteReference"/>
          <w:rFonts w:ascii="Times New Roman" w:hAnsi="Times New Roman"/>
          <w:noProof/>
          <w:sz w:val="24"/>
        </w:rPr>
        <w:footnoteReference w:id="5"/>
      </w:r>
      <w:r>
        <w:rPr>
          <w:rFonts w:ascii="Times New Roman" w:hAnsi="Times New Roman"/>
          <w:noProof/>
          <w:sz w:val="24"/>
        </w:rPr>
        <w:t>.</w:t>
      </w:r>
    </w:p>
    <w:p>
      <w:pPr>
        <w:jc w:val="both"/>
        <w:rPr>
          <w:rFonts w:ascii="Times New Roman" w:hAnsi="Times New Roman" w:cs="Times New Roman"/>
          <w:noProof/>
          <w:sz w:val="24"/>
          <w:szCs w:val="24"/>
        </w:rPr>
      </w:pPr>
      <w:r>
        <w:rPr>
          <w:rFonts w:ascii="Times New Roman" w:hAnsi="Times New Roman"/>
          <w:noProof/>
          <w:sz w:val="24"/>
        </w:rPr>
        <w:t>Ще продължим също така да внедряваме другите промени, които направихме в начина си на работа. През последните две години Комисията увеличи значително своята отвореност и отчетност пред гражданите</w:t>
      </w:r>
      <w:r>
        <w:rPr>
          <w:rStyle w:val="FootnoteReference"/>
          <w:rFonts w:ascii="Times New Roman" w:hAnsi="Times New Roman"/>
          <w:noProof/>
          <w:sz w:val="24"/>
        </w:rPr>
        <w:footnoteReference w:id="6"/>
      </w:r>
      <w:r>
        <w:rPr>
          <w:rFonts w:ascii="Times New Roman" w:hAnsi="Times New Roman"/>
          <w:noProof/>
          <w:sz w:val="24"/>
        </w:rPr>
        <w:t>, както и подобри качеството на своята работа и предложения. Сега търсим мнението на обществеността по множество въпроси, включително относно проектите на делегирани актове и актове за изпълнение. От наша страна информацията относно представителите на интереси, които се опитват да влияят на нашите политически решения, е публична и приканихме Европейския парламент и Съвета като съзаконодатели да се присъединят към нас за ново междуинституционално споразумение относно задължителен регистър за прозрачност</w:t>
      </w:r>
      <w:r>
        <w:rPr>
          <w:rStyle w:val="FootnoteReference"/>
          <w:rFonts w:ascii="Times New Roman" w:hAnsi="Times New Roman"/>
          <w:noProof/>
          <w:sz w:val="24"/>
        </w:rPr>
        <w:footnoteReference w:id="7"/>
      </w:r>
      <w:r>
        <w:rPr>
          <w:rFonts w:ascii="Times New Roman" w:hAnsi="Times New Roman"/>
          <w:noProof/>
          <w:sz w:val="24"/>
        </w:rPr>
        <w:t>, така че да има отчетност пред гражданите относно лобирането на всички етапи на европейското законотворчество.</w:t>
      </w:r>
    </w:p>
    <w:p>
      <w:pPr>
        <w:jc w:val="both"/>
        <w:rPr>
          <w:rFonts w:ascii="Times New Roman" w:hAnsi="Times New Roman" w:cs="Times New Roman"/>
          <w:noProof/>
          <w:sz w:val="24"/>
          <w:szCs w:val="24"/>
        </w:rPr>
      </w:pPr>
    </w:p>
    <w:p>
      <w:pPr>
        <w:jc w:val="both"/>
        <w:rPr>
          <w:rFonts w:ascii="Times New Roman Bold" w:hAnsi="Times New Roman Bold" w:cs="Times New Roman"/>
          <w:b/>
          <w:smallCaps/>
          <w:noProof/>
          <w:sz w:val="24"/>
          <w:szCs w:val="24"/>
        </w:rPr>
      </w:pPr>
      <w:r>
        <w:rPr>
          <w:rFonts w:ascii="Times New Roman Bold" w:hAnsi="Times New Roman Bold"/>
          <w:b/>
          <w:smallCaps/>
          <w:noProof/>
          <w:sz w:val="24"/>
        </w:rPr>
        <w:t>II.</w:t>
      </w:r>
      <w:r>
        <w:rPr>
          <w:noProof/>
        </w:rPr>
        <w:tab/>
      </w:r>
      <w:r>
        <w:rPr>
          <w:rFonts w:ascii="Times New Roman Bold" w:hAnsi="Times New Roman Bold"/>
          <w:b/>
          <w:smallCaps/>
          <w:noProof/>
          <w:sz w:val="24"/>
        </w:rPr>
        <w:t>Изпълнение на 10-те приоритета</w:t>
      </w:r>
    </w:p>
    <w:p>
      <w:pPr>
        <w:tabs>
          <w:tab w:val="left" w:pos="284"/>
        </w:tabs>
        <w:spacing w:after="240"/>
        <w:jc w:val="both"/>
        <w:rPr>
          <w:rFonts w:ascii="Times New Roman" w:hAnsi="Times New Roman" w:cs="Times New Roman"/>
          <w:noProof/>
          <w:sz w:val="24"/>
          <w:szCs w:val="24"/>
        </w:rPr>
      </w:pPr>
      <w:r>
        <w:rPr>
          <w:rFonts w:ascii="Times New Roman" w:hAnsi="Times New Roman"/>
          <w:noProof/>
          <w:sz w:val="24"/>
        </w:rPr>
        <w:t>През следващата година ръководни в работата на Комисията ще бъдат 10-те приоритета, очертани в Политическите насоки</w:t>
      </w:r>
      <w:r>
        <w:rPr>
          <w:rStyle w:val="FootnoteReference"/>
          <w:rFonts w:ascii="Times New Roman" w:hAnsi="Times New Roman"/>
          <w:noProof/>
          <w:sz w:val="24"/>
        </w:rPr>
        <w:footnoteReference w:id="8"/>
      </w:r>
      <w:r>
        <w:rPr>
          <w:rFonts w:ascii="Times New Roman" w:hAnsi="Times New Roman"/>
          <w:noProof/>
          <w:sz w:val="24"/>
        </w:rPr>
        <w:t xml:space="preserve"> — представени в началото на мандата ни след обсъждания с Европейския парламент и вдъхновени от Стратегическата програма за Съюза в период на промени на Европейския съвет — съставляващи целенасочена и положителна програма, водеща до конкретни резултати по отношение на закрилата, предоставянето на права и защитата на гражданите</w:t>
      </w:r>
      <w:r>
        <w:rPr>
          <w:rStyle w:val="FootnoteReference"/>
          <w:rFonts w:ascii="Times New Roman" w:hAnsi="Times New Roman"/>
          <w:noProof/>
          <w:sz w:val="24"/>
        </w:rPr>
        <w:footnoteReference w:id="9"/>
      </w:r>
      <w:r>
        <w:rPr>
          <w:rFonts w:ascii="Times New Roman" w:hAnsi="Times New Roman"/>
          <w:noProof/>
          <w:sz w:val="24"/>
        </w:rPr>
        <w:t>.</w:t>
      </w:r>
    </w:p>
    <w:p>
      <w:pPr>
        <w:tabs>
          <w:tab w:val="left" w:pos="284"/>
        </w:tabs>
        <w:spacing w:after="240"/>
        <w:jc w:val="both"/>
        <w:rPr>
          <w:rFonts w:ascii="Times New Roman" w:hAnsi="Times New Roman" w:cs="Times New Roman"/>
          <w:b/>
          <w:noProof/>
          <w:sz w:val="24"/>
          <w:szCs w:val="24"/>
        </w:rPr>
      </w:pPr>
      <w:r>
        <w:rPr>
          <w:rFonts w:ascii="Times New Roman" w:hAnsi="Times New Roman"/>
          <w:b/>
          <w:noProof/>
          <w:sz w:val="24"/>
        </w:rPr>
        <w:t>1.</w:t>
      </w:r>
      <w:r>
        <w:rPr>
          <w:noProof/>
        </w:rPr>
        <w:tab/>
      </w:r>
      <w:r>
        <w:rPr>
          <w:rFonts w:ascii="Times New Roman" w:hAnsi="Times New Roman"/>
          <w:b/>
          <w:noProof/>
          <w:sz w:val="24"/>
        </w:rPr>
        <w:t>Нови стимули за работните места, растежа и инвестициите</w:t>
      </w:r>
    </w:p>
    <w:p>
      <w:pPr>
        <w:tabs>
          <w:tab w:val="left" w:pos="284"/>
        </w:tabs>
        <w:spacing w:after="240"/>
        <w:jc w:val="both"/>
        <w:rPr>
          <w:rFonts w:ascii="Times New Roman" w:hAnsi="Times New Roman" w:cs="Times New Roman"/>
          <w:noProof/>
          <w:sz w:val="24"/>
          <w:szCs w:val="24"/>
        </w:rPr>
      </w:pPr>
      <w:r>
        <w:rPr>
          <w:rFonts w:ascii="Times New Roman" w:hAnsi="Times New Roman" w:cs="Times New Roman"/>
          <w:i/>
          <w:noProof/>
          <w:sz w:val="24"/>
          <w:szCs w:val="24"/>
        </w:rPr>
        <w:t>Европа, която запазва начина ни на живот и предоставя повече възможности на младежите ни.</w:t>
      </w:r>
      <w:r>
        <w:rPr>
          <w:rFonts w:ascii="Times New Roman" w:hAnsi="Times New Roman" w:cs="Times New Roman"/>
          <w:noProof/>
          <w:sz w:val="24"/>
        </w:rPr>
        <w:t xml:space="preserve"> През последните три години бяха създадени около осем милиона работни места, но безработицата продължава да е на неприемливо високо равнище в много държави членки, особено сред младите хора. Наш приоритет трябва да бъде подпомагането на държавите</w:t>
      </w:r>
      <w:r>
        <w:rPr>
          <w:rFonts w:ascii="Times New Roman" w:hAnsi="Times New Roman"/>
          <w:noProof/>
          <w:sz w:val="24"/>
        </w:rPr>
        <w:t xml:space="preserve"> членки да създадат възможно най-добрите условия за нашите млади хора, за да могат да придобият уменията, от които се нуждаят, и за да бъдат активни на пазара на труда и в обществото.</w:t>
      </w:r>
    </w:p>
    <w:p>
      <w:pPr>
        <w:pStyle w:val="Text2"/>
        <w:spacing w:before="120" w:after="200" w:line="276" w:lineRule="auto"/>
        <w:ind w:left="0"/>
        <w:rPr>
          <w:rFonts w:eastAsiaTheme="minorHAnsi"/>
          <w:noProof/>
          <w:szCs w:val="24"/>
        </w:rPr>
      </w:pPr>
      <w:r>
        <w:rPr>
          <w:noProof/>
        </w:rPr>
        <w:t>Нашата нова Инициатива за младежта има за цел на всеки млад човек да бъдат гарантирани реални перспективи за образование, обучение и заетост. При реализирането на Програмата за нови умения за Европа ще дадем предимство на младежта. Ще бъдат направени предложения, насочени към модернизирането на образованието, подобряването на качеството на чиракуването и допълнителното развитие на мобилността на чираците. Също така и по отношение на проследяването на резултатите на младите хора на пазара на труда, след като са завършили своето академично или професионално обучение. Освен това укрепваме „Гаранция за младежта“ като инструмент за инвестиране в младите хора, в техните умения и в първите им стъпки в професионалното развитие</w:t>
      </w:r>
      <w:r>
        <w:rPr>
          <w:rStyle w:val="FootnoteReference"/>
          <w:noProof/>
        </w:rPr>
        <w:footnoteReference w:id="10"/>
      </w:r>
      <w:r>
        <w:rPr>
          <w:noProof/>
        </w:rPr>
        <w:t>, а също така и Инициативата за младежка заетост</w:t>
      </w:r>
      <w:r>
        <w:rPr>
          <w:rStyle w:val="FootnoteReference"/>
          <w:noProof/>
        </w:rPr>
        <w:footnoteReference w:id="11"/>
      </w:r>
      <w:r>
        <w:rPr>
          <w:noProof/>
        </w:rPr>
        <w:t>. Това ще подкрепи действията на държавите членки, като бъдат обхванати регионите и младите хора в най-голяма нужда.</w:t>
      </w:r>
    </w:p>
    <w:p>
      <w:pPr>
        <w:pStyle w:val="Text2"/>
        <w:spacing w:before="120" w:after="200" w:line="276" w:lineRule="auto"/>
        <w:ind w:left="0"/>
        <w:rPr>
          <w:rFonts w:eastAsiaTheme="minorHAnsi"/>
          <w:noProof/>
          <w:szCs w:val="24"/>
        </w:rPr>
      </w:pPr>
      <w:r>
        <w:rPr>
          <w:noProof/>
        </w:rPr>
        <w:t>До края на 2016 г. ще бъде дадено начало на Европейския корпус за солидарност, който ще даде възможност на младите хора до 30–годишна възраст да допринесат активно за обществото в дух на солидарност, като успоредно с това придобият нови умения, включително езикови, и опит.</w:t>
      </w:r>
    </w:p>
    <w:p>
      <w:pPr>
        <w:tabs>
          <w:tab w:val="left" w:pos="284"/>
        </w:tabs>
        <w:spacing w:after="240"/>
        <w:jc w:val="both"/>
        <w:rPr>
          <w:rFonts w:ascii="Times New Roman" w:hAnsi="Times New Roman" w:cs="Times New Roman"/>
          <w:noProof/>
          <w:sz w:val="24"/>
          <w:szCs w:val="24"/>
        </w:rPr>
      </w:pPr>
      <w:r>
        <w:rPr>
          <w:rFonts w:ascii="Times New Roman" w:hAnsi="Times New Roman"/>
          <w:noProof/>
          <w:sz w:val="24"/>
        </w:rPr>
        <w:t>В нашите икономики предприятията създават работни места посредством иновации и правилно насочени инвестиции. Въз основа на първоначалния успех на Плана за инвестиции за Европа</w:t>
      </w:r>
      <w:r>
        <w:rPr>
          <w:rStyle w:val="FootnoteReference"/>
          <w:rFonts w:ascii="Times New Roman" w:hAnsi="Times New Roman"/>
          <w:noProof/>
          <w:sz w:val="24"/>
        </w:rPr>
        <w:footnoteReference w:id="12"/>
      </w:r>
      <w:r>
        <w:rPr>
          <w:rFonts w:ascii="Times New Roman" w:hAnsi="Times New Roman"/>
          <w:noProof/>
          <w:sz w:val="24"/>
        </w:rPr>
        <w:t xml:space="preserve"> Комисията се ангажира да удвои както продължителността, така и финансовия капацитет на Европейския фонд за стратегически инвестиции (ЕФСИ). Първоначалният фонд беше одобрен от съзаконодателя за рекордно краткия срок от четири месеца и половина, като Комисията разчита на Европейския парламент и Съвета, че ще гарантират също толкова бързото постигане на споразумение за неговото продължаване и укрепване, като по този начин бъдат засилени устойчивите инвестиции. Вдъхновена от успеха на ЕФСИ Комисията представи и План за външни инвестиции за Африка и държавите, обхванати от политиката на ЕС за съседство, като се цели справянето с някои от първопричините за миграцията и насърчаване на работните места и устойчивия растеж в тези региони</w:t>
      </w:r>
      <w:r>
        <w:rPr>
          <w:rStyle w:val="FootnoteReference"/>
          <w:rFonts w:ascii="Times New Roman" w:hAnsi="Times New Roman"/>
          <w:noProof/>
          <w:sz w:val="24"/>
        </w:rPr>
        <w:footnoteReference w:id="13"/>
      </w:r>
      <w:r>
        <w:rPr>
          <w:rFonts w:ascii="Times New Roman" w:hAnsi="Times New Roman"/>
          <w:noProof/>
          <w:sz w:val="24"/>
        </w:rPr>
        <w:t>.</w:t>
      </w:r>
    </w:p>
    <w:p>
      <w:pPr>
        <w:tabs>
          <w:tab w:val="left" w:pos="284"/>
        </w:tabs>
        <w:spacing w:after="240"/>
        <w:jc w:val="both"/>
        <w:rPr>
          <w:rFonts w:ascii="Times New Roman" w:hAnsi="Times New Roman" w:cs="Times New Roman"/>
          <w:noProof/>
          <w:sz w:val="24"/>
          <w:szCs w:val="24"/>
        </w:rPr>
      </w:pPr>
      <w:r>
        <w:rPr>
          <w:rFonts w:ascii="Times New Roman" w:hAnsi="Times New Roman"/>
          <w:noProof/>
          <w:sz w:val="24"/>
        </w:rPr>
        <w:t>Ще продължим да работим за създаването на подходящ климат за иновации в Европа, така че да се подпомогне създаването на нови производства и работни места, да се води борба със обществените и свързаните с околната среда предизвикателства и да се подобри животът на хората. Като превръщаме иновациите в елемент на всички политики на Съюза и като насочваме ефективно както нашите фондове за научни изследвания и развойна дейност, така и структурните и инвестиционните фондове, ние се стремим да направим Европа лидер в новите технологии и стопански методи, в това число чрез интелигентна специализация.</w:t>
      </w:r>
    </w:p>
    <w:p>
      <w:pPr>
        <w:tabs>
          <w:tab w:val="left" w:pos="284"/>
        </w:tabs>
        <w:spacing w:after="240"/>
        <w:jc w:val="both"/>
        <w:rPr>
          <w:rFonts w:ascii="Times New Roman" w:hAnsi="Times New Roman" w:cs="Times New Roman"/>
          <w:noProof/>
          <w:sz w:val="24"/>
          <w:szCs w:val="24"/>
        </w:rPr>
      </w:pPr>
      <w:r>
        <w:rPr>
          <w:rFonts w:ascii="Times New Roman" w:hAnsi="Times New Roman"/>
          <w:noProof/>
          <w:sz w:val="24"/>
        </w:rPr>
        <w:t xml:space="preserve">Комисията ще продължи да работи за постигането на Целите за устойчиво развитие. Кръговата икономика предлага голям потенциал за иновации, растеж и работни места. Комисията ще предприеме по-нататъшни действия за реализирането на Плана за действие за кръговата икономика чрез подобряване на рентабилността, качеството и внедряването на повторната употреба и рециклирането на пластмаса в ЕС и чрез намаляване на изпускането на пластмаси в околната среда. Ще внесем също така законодателно предложение относно минималните изисквания за качеството на повторно използваната вода, както и предложение за преразглеждане на Директивата относно питейната вода вследствие на оценката по REFIT и европейската гражданска инициатива „Право на вода“ (Right2Water). Ще разработим рамка за наблюдение, за да се гарантира неотклонното осъществяване на нашите амбиции по отношение на кръговата икономика, като се постигат резултати, ползите от които за околната среда и за нашия икономически растеж се допълват взаимно. </w:t>
      </w:r>
    </w:p>
    <w:p>
      <w:pPr>
        <w:tabs>
          <w:tab w:val="left" w:pos="284"/>
        </w:tabs>
        <w:spacing w:after="240"/>
        <w:jc w:val="both"/>
        <w:rPr>
          <w:rFonts w:ascii="Times New Roman" w:hAnsi="Times New Roman" w:cs="Times New Roman"/>
          <w:noProof/>
          <w:sz w:val="24"/>
          <w:szCs w:val="24"/>
        </w:rPr>
      </w:pPr>
      <w:r>
        <w:rPr>
          <w:rFonts w:ascii="Times New Roman" w:hAnsi="Times New Roman"/>
          <w:noProof/>
          <w:sz w:val="24"/>
        </w:rPr>
        <w:t>Европейският семестър за 2017 г. ще продължи да съсредоточава вниманието върху необходимите мерки, които държавите членки следва да предприемат, за да се осигурят инвестиции, стабилни публични финанси и структурни реформи. В следващата си препоръка относно икономическата политика на еврозоната Комисията също така ще насърчи положителна фискална позиция за еврозоната в подкрепа на паричната политика на Европейската централна банка. Въз основа на анализа, който се съдържа в докладите по държави, които трябва да бъдат приети през февруари, Комисията ще изготви допълнително специфични за всяка държава препоръки, които ще бъдат предложени на Съвета през май.</w:t>
      </w:r>
    </w:p>
    <w:p>
      <w:pPr>
        <w:tabs>
          <w:tab w:val="left" w:pos="284"/>
        </w:tabs>
        <w:spacing w:after="240"/>
        <w:jc w:val="both"/>
        <w:rPr>
          <w:rFonts w:ascii="Times New Roman" w:hAnsi="Times New Roman" w:cs="Times New Roman"/>
          <w:noProof/>
          <w:sz w:val="24"/>
          <w:szCs w:val="24"/>
        </w:rPr>
      </w:pPr>
      <w:r>
        <w:rPr>
          <w:rFonts w:ascii="Times New Roman" w:hAnsi="Times New Roman"/>
          <w:noProof/>
          <w:sz w:val="24"/>
        </w:rPr>
        <w:t>Ще продължим да работим с Европейския парламент и Съвета по нашето предложение за преразглеждане на Многогодишната финансова рамка (2014—2020 г.)</w:t>
      </w:r>
      <w:r>
        <w:rPr>
          <w:rStyle w:val="FootnoteReference"/>
          <w:rFonts w:ascii="Times New Roman" w:hAnsi="Times New Roman"/>
          <w:noProof/>
          <w:sz w:val="24"/>
        </w:rPr>
        <w:footnoteReference w:id="14"/>
      </w:r>
      <w:r>
        <w:rPr>
          <w:rFonts w:ascii="Times New Roman" w:hAnsi="Times New Roman"/>
          <w:noProof/>
          <w:sz w:val="24"/>
        </w:rPr>
        <w:t>. Ние се стремим към преработен бюджет, засилващ подкрепата за приоритетите на Съюза и по-пригоден за бързо реагиране на непредвидени обстоятелства, с опростени правила за бенефициерите и по-отчетлив акцент върху резултатите. Това ще бъде последвано от всеобхватно предложение за бъдещата рамка след 2020 г., включително относно собствените ресурси. Посоченото предложение ще се ръководи от инициативата „Бюджет на ЕС, ориентиран към резултатите“ и ще отразява бъдещите предизвикателства и нуждите на Съюза в периода след 2020 г. въз основа на оценка на съществуващите разходни политики и инструменти.</w:t>
      </w:r>
    </w:p>
    <w:p>
      <w:pPr>
        <w:tabs>
          <w:tab w:val="left" w:pos="284"/>
        </w:tabs>
        <w:spacing w:after="240"/>
        <w:jc w:val="both"/>
        <w:rPr>
          <w:rFonts w:ascii="Times New Roman" w:hAnsi="Times New Roman" w:cs="Times New Roman"/>
          <w:noProof/>
        </w:rPr>
      </w:pPr>
      <w:r>
        <w:rPr>
          <w:rFonts w:ascii="Times New Roman" w:hAnsi="Times New Roman"/>
          <w:noProof/>
          <w:sz w:val="24"/>
        </w:rPr>
        <w:t>Комисията ще продължи работата и ще се консултира на широка основа относно опростяването и модернизирането на Общата селскостопанска политика с цел да се увеличи максимално нейният принос към десетте приоритета на Комисията и към Целите за устойчиво развитие. Ще бъде наблегнато върху специфични политически приоритети за бъдещето, като се вземе предвид становището на платформата REFIT и без да се засяга предложението на Комисията за преразглеждане на многогодишната финансова рамка. Що се отнася до позицията на селскостопанските производители във веригата за доставка на храни, в контекста на резултатите от текущата работа на работната група за селскостопанските пазари и на форума на високо равнище по въпросите на веригата за доставка на храни Комисията ще обмисли по-нататъшни действия според необходимостта.</w:t>
      </w:r>
    </w:p>
    <w:p>
      <w:pPr>
        <w:keepNext/>
        <w:tabs>
          <w:tab w:val="left" w:pos="284"/>
        </w:tabs>
        <w:spacing w:after="240"/>
        <w:jc w:val="both"/>
        <w:rPr>
          <w:rFonts w:ascii="Times New Roman" w:hAnsi="Times New Roman"/>
          <w:b/>
          <w:noProof/>
          <w:sz w:val="24"/>
          <w:szCs w:val="24"/>
        </w:rPr>
      </w:pPr>
      <w:r>
        <w:rPr>
          <w:rFonts w:ascii="Times New Roman" w:hAnsi="Times New Roman"/>
          <w:b/>
          <w:noProof/>
          <w:sz w:val="24"/>
        </w:rPr>
        <w:t xml:space="preserve">2. </w:t>
      </w:r>
      <w:r>
        <w:rPr>
          <w:noProof/>
        </w:rPr>
        <w:tab/>
      </w:r>
      <w:r>
        <w:rPr>
          <w:rFonts w:ascii="Times New Roman" w:hAnsi="Times New Roman"/>
          <w:b/>
          <w:noProof/>
          <w:sz w:val="24"/>
        </w:rPr>
        <w:t>Свързан цифров единен пазар</w:t>
      </w:r>
    </w:p>
    <w:p>
      <w:pPr>
        <w:tabs>
          <w:tab w:val="left" w:pos="284"/>
        </w:tabs>
        <w:spacing w:after="240"/>
        <w:jc w:val="both"/>
        <w:rPr>
          <w:rFonts w:ascii="Times New Roman" w:hAnsi="Times New Roman"/>
          <w:noProof/>
          <w:sz w:val="24"/>
          <w:szCs w:val="24"/>
        </w:rPr>
      </w:pPr>
      <w:r>
        <w:rPr>
          <w:rFonts w:ascii="Times New Roman" w:hAnsi="Times New Roman"/>
          <w:i/>
          <w:noProof/>
          <w:sz w:val="24"/>
        </w:rPr>
        <w:t>Европа, която предоставя права на гражданите и предприятията.</w:t>
      </w:r>
      <w:r>
        <w:rPr>
          <w:rFonts w:ascii="Times New Roman" w:hAnsi="Times New Roman"/>
          <w:noProof/>
          <w:sz w:val="24"/>
        </w:rPr>
        <w:t xml:space="preserve"> Проникването на цифровите технологии и цифровите комуникации във всички аспекти на живота създава нови възможности за творчество, предприемачество и заетост, но прави и по-забележима нуждата от доверие и киберсигурност. Разгръщането на целия допълнителен потенциал за растеж на свързания цифров единен пазар в резултат на окончателното изпълнение на стратегията ще продължи да заема важно място в дневния ред през 2017 г. Както беше обявено в миналогодишната Работна програма, през следващите няколко месеца ще представим останалите предложения, като например пакет по REFIT относно данъка върху добавената стойност (ДДС), обхващащ предложения относно електронната търговия, електронните публикации и електронните книги, както и инициативи за развитието на икономиката, основана на данни, включително отстраняването на неоправданите пречки пред свободния поток на данни в Европа.</w:t>
      </w:r>
    </w:p>
    <w:p>
      <w:pPr>
        <w:tabs>
          <w:tab w:val="left" w:pos="284"/>
        </w:tabs>
        <w:spacing w:after="240"/>
        <w:jc w:val="both"/>
        <w:rPr>
          <w:rFonts w:ascii="Times New Roman" w:hAnsi="Times New Roman"/>
          <w:noProof/>
          <w:sz w:val="24"/>
          <w:szCs w:val="24"/>
        </w:rPr>
      </w:pPr>
      <w:r>
        <w:rPr>
          <w:rFonts w:ascii="Times New Roman" w:hAnsi="Times New Roman"/>
          <w:noProof/>
          <w:sz w:val="24"/>
        </w:rPr>
        <w:t>Ще отделим особено внимание на работата в тясно сътрудничество със съзаконодателите, за да се постигне бърз напредък по предложенията, които вече са представени. Те включват цифровите договори</w:t>
      </w:r>
      <w:r>
        <w:rPr>
          <w:rStyle w:val="FootnoteReference"/>
          <w:rFonts w:ascii="Times New Roman" w:hAnsi="Times New Roman"/>
          <w:noProof/>
          <w:sz w:val="24"/>
        </w:rPr>
        <w:footnoteReference w:id="15"/>
      </w:r>
      <w:r>
        <w:rPr>
          <w:rFonts w:ascii="Times New Roman" w:hAnsi="Times New Roman"/>
          <w:noProof/>
          <w:sz w:val="24"/>
        </w:rPr>
        <w:t>, авторското право</w:t>
      </w:r>
      <w:r>
        <w:rPr>
          <w:rStyle w:val="FootnoteReference"/>
          <w:rFonts w:ascii="Times New Roman" w:hAnsi="Times New Roman"/>
          <w:noProof/>
          <w:sz w:val="24"/>
        </w:rPr>
        <w:footnoteReference w:id="16"/>
      </w:r>
      <w:r>
        <w:rPr>
          <w:rFonts w:ascii="Times New Roman" w:hAnsi="Times New Roman"/>
          <w:noProof/>
          <w:sz w:val="24"/>
        </w:rPr>
        <w:t>, блокирането на географски принцип</w:t>
      </w:r>
      <w:r>
        <w:rPr>
          <w:rStyle w:val="FootnoteReference"/>
          <w:rFonts w:ascii="Times New Roman" w:hAnsi="Times New Roman"/>
          <w:noProof/>
          <w:sz w:val="24"/>
        </w:rPr>
        <w:footnoteReference w:id="17"/>
      </w:r>
      <w:r>
        <w:rPr>
          <w:rFonts w:ascii="Times New Roman" w:hAnsi="Times New Roman"/>
          <w:noProof/>
          <w:sz w:val="24"/>
        </w:rPr>
        <w:t>, преносимостта</w:t>
      </w:r>
      <w:r>
        <w:rPr>
          <w:rStyle w:val="FootnoteReference"/>
          <w:rFonts w:ascii="Times New Roman" w:hAnsi="Times New Roman"/>
          <w:noProof/>
          <w:sz w:val="24"/>
        </w:rPr>
        <w:footnoteReference w:id="18"/>
      </w:r>
      <w:r>
        <w:rPr>
          <w:rFonts w:ascii="Times New Roman" w:hAnsi="Times New Roman"/>
          <w:noProof/>
          <w:sz w:val="24"/>
        </w:rPr>
        <w:t>, доставката на колетни пратки</w:t>
      </w:r>
      <w:r>
        <w:rPr>
          <w:rStyle w:val="FootnoteReference"/>
          <w:rFonts w:ascii="Times New Roman" w:hAnsi="Times New Roman"/>
          <w:noProof/>
          <w:sz w:val="24"/>
        </w:rPr>
        <w:footnoteReference w:id="19"/>
      </w:r>
      <w:r>
        <w:rPr>
          <w:rFonts w:ascii="Times New Roman" w:hAnsi="Times New Roman"/>
          <w:noProof/>
          <w:sz w:val="24"/>
        </w:rPr>
        <w:t>, аудио-визуалните медийни услуги</w:t>
      </w:r>
      <w:r>
        <w:rPr>
          <w:rStyle w:val="FootnoteReference"/>
          <w:rFonts w:ascii="Times New Roman" w:hAnsi="Times New Roman"/>
          <w:noProof/>
          <w:sz w:val="24"/>
        </w:rPr>
        <w:footnoteReference w:id="20"/>
      </w:r>
      <w:r>
        <w:rPr>
          <w:rFonts w:ascii="Times New Roman" w:hAnsi="Times New Roman"/>
          <w:noProof/>
          <w:sz w:val="24"/>
        </w:rPr>
        <w:t>, далекосъобщенията</w:t>
      </w:r>
      <w:r>
        <w:rPr>
          <w:rStyle w:val="FootnoteReference"/>
          <w:rFonts w:ascii="Times New Roman" w:hAnsi="Times New Roman"/>
          <w:noProof/>
          <w:sz w:val="24"/>
        </w:rPr>
        <w:footnoteReference w:id="21"/>
      </w:r>
      <w:r>
        <w:rPr>
          <w:rFonts w:ascii="Times New Roman" w:hAnsi="Times New Roman"/>
          <w:noProof/>
          <w:sz w:val="24"/>
        </w:rPr>
        <w:t>, използването на радиочестотната лента 700 MHz за мобилни услуги</w:t>
      </w:r>
      <w:r>
        <w:rPr>
          <w:rStyle w:val="FootnoteReference"/>
          <w:rFonts w:ascii="Times New Roman" w:hAnsi="Times New Roman"/>
          <w:noProof/>
          <w:sz w:val="24"/>
        </w:rPr>
        <w:footnoteReference w:id="22"/>
      </w:r>
      <w:r>
        <w:rPr>
          <w:rFonts w:ascii="Times New Roman" w:hAnsi="Times New Roman"/>
          <w:noProof/>
          <w:sz w:val="24"/>
        </w:rPr>
        <w:t xml:space="preserve"> и нашето неотдавнашно предложение за WiFi4EU (инициативата „Wi-Fi за Европа“)</w:t>
      </w:r>
      <w:r>
        <w:rPr>
          <w:rStyle w:val="FootnoteReference"/>
          <w:rFonts w:ascii="Times New Roman" w:hAnsi="Times New Roman"/>
          <w:noProof/>
          <w:sz w:val="24"/>
        </w:rPr>
        <w:footnoteReference w:id="23"/>
      </w:r>
      <w:r>
        <w:rPr>
          <w:rFonts w:ascii="Times New Roman" w:hAnsi="Times New Roman"/>
          <w:noProof/>
          <w:sz w:val="24"/>
        </w:rPr>
        <w:t>. Свързаността е от ключово значение и Комисията ще изпълни своето обещание да постигне премахване на таксите за роуминг на мобилните услуги до средата на 2017 г. Ще направим преглед на напредъка към окончателното изграждане на Цифровия единен пазар и ще набележим къде са потребни още усилия на съзаконодателите, както и всички евентуално необходими допълнителни предложения.</w:t>
      </w:r>
    </w:p>
    <w:p>
      <w:pPr>
        <w:tabs>
          <w:tab w:val="left" w:pos="284"/>
        </w:tabs>
        <w:spacing w:after="240"/>
        <w:jc w:val="both"/>
        <w:rPr>
          <w:rFonts w:ascii="Times New Roman" w:hAnsi="Times New Roman" w:cs="Times New Roman"/>
          <w:b/>
          <w:noProof/>
          <w:sz w:val="24"/>
          <w:szCs w:val="24"/>
        </w:rPr>
      </w:pPr>
      <w:r>
        <w:rPr>
          <w:rFonts w:ascii="Times New Roman" w:hAnsi="Times New Roman"/>
          <w:b/>
          <w:noProof/>
          <w:sz w:val="24"/>
        </w:rPr>
        <w:t xml:space="preserve">3. </w:t>
      </w:r>
      <w:r>
        <w:rPr>
          <w:noProof/>
        </w:rPr>
        <w:tab/>
      </w:r>
      <w:r>
        <w:rPr>
          <w:rFonts w:ascii="Times New Roman" w:hAnsi="Times New Roman"/>
          <w:b/>
          <w:noProof/>
          <w:sz w:val="24"/>
        </w:rPr>
        <w:t>Устойчив енергиен съюз с ориентирана към бъдещето политика по въпросите на изменението на климата</w:t>
      </w:r>
    </w:p>
    <w:p>
      <w:pPr>
        <w:tabs>
          <w:tab w:val="left" w:pos="284"/>
        </w:tabs>
        <w:spacing w:after="240"/>
        <w:jc w:val="both"/>
        <w:rPr>
          <w:rFonts w:ascii="Times New Roman" w:hAnsi="Times New Roman" w:cs="Times New Roman"/>
          <w:noProof/>
          <w:sz w:val="24"/>
          <w:szCs w:val="24"/>
        </w:rPr>
      </w:pPr>
      <w:r>
        <w:rPr>
          <w:rFonts w:ascii="Times New Roman" w:hAnsi="Times New Roman"/>
          <w:i/>
          <w:noProof/>
          <w:sz w:val="24"/>
        </w:rPr>
        <w:t xml:space="preserve">Европа, която поема отговорност за изпълнението на направените обещания. </w:t>
      </w:r>
      <w:r>
        <w:rPr>
          <w:rFonts w:ascii="Times New Roman" w:hAnsi="Times New Roman"/>
          <w:noProof/>
          <w:sz w:val="24"/>
        </w:rPr>
        <w:t>Бързото ратифициране на Парижкото споразумение показа, че държавите членки могат да намерят общ език, когато е ясно, че съвместните действия на Съюза имат по-голямо въздействие, отколкото обикновения сбор на съставните му части. Освен това то потвърди водещата роля на ЕС в световен мащаб в областта на изменението на климата. Сега вече е необходимо изпълнение на нашите ангажименти, за да стане действителност модернизирането на нашата икономика, като същевременно се гарантира социално справедлив преход. Прилагането на Парижкото споразумение и на международното споразумение относно емисиите от въздухоплавателните средства (Международната организация за гражданско въздухоплаване) е приоритет в тази област.</w:t>
      </w:r>
    </w:p>
    <w:p>
      <w:pPr>
        <w:tabs>
          <w:tab w:val="left" w:pos="284"/>
        </w:tabs>
        <w:spacing w:after="240"/>
        <w:jc w:val="both"/>
        <w:rPr>
          <w:rFonts w:ascii="Times New Roman" w:hAnsi="Times New Roman" w:cs="Times New Roman"/>
          <w:b/>
          <w:noProof/>
          <w:sz w:val="24"/>
          <w:szCs w:val="24"/>
        </w:rPr>
      </w:pPr>
      <w:r>
        <w:rPr>
          <w:rFonts w:ascii="Times New Roman" w:hAnsi="Times New Roman"/>
          <w:noProof/>
          <w:sz w:val="24"/>
        </w:rPr>
        <w:t>Както вече бе обявено, ще продължим да работим за изпълнението на нашата Стратегия за Енергийния съюз: до края на годината ще представим цялостен пакет, насочен към управление на модернизирането на икономиката посредством поставянето на първо място на енергийната ефективност, непрестанното преследване на целта да бъдем световен лидер в областта на възобновяемите енергийни източници и осигуряването на „справедлива сделка“ за потребителите. Пакетът ще обхваща законодателно действие в областта на енергийната ефективност, възобновяемите енергийни източници, включително устойчивата биоенергия, структурата на пазара на електроенергия и правилата за управление на Енергийния съюз. Инициатива за ускоряване на иновациите в областта на чистата енергия ще оказва подкрепа на научните изследвания и навлизането на пазара на технологичните иновации, необходими за енергийната ефективност и възобновяемата енергия, за да се отговори на целите за декарбонизация, поставени от Парижкото споразумение и нашите цели за 2030 г. Всички законодателни предложения за Енергийния съюз, представени от Комисията през 2015 г. и 2016 г., трябва да бъдат разглеждани като приоритет от Европейския парламент и Съвета. Те включват горепосочения пакет, пакета за сигурността на доставките на газ</w:t>
      </w:r>
      <w:r>
        <w:rPr>
          <w:rStyle w:val="FootnoteReference"/>
          <w:rFonts w:ascii="Times New Roman" w:hAnsi="Times New Roman"/>
          <w:noProof/>
          <w:sz w:val="24"/>
        </w:rPr>
        <w:footnoteReference w:id="24"/>
      </w:r>
      <w:r>
        <w:rPr>
          <w:rFonts w:ascii="Times New Roman" w:hAnsi="Times New Roman"/>
          <w:noProof/>
          <w:sz w:val="24"/>
        </w:rPr>
        <w:t>, схемата на ЕС за търговия с емисии</w:t>
      </w:r>
      <w:r>
        <w:rPr>
          <w:rStyle w:val="FootnoteReference"/>
          <w:rFonts w:ascii="Times New Roman" w:hAnsi="Times New Roman"/>
          <w:noProof/>
          <w:sz w:val="24"/>
        </w:rPr>
        <w:footnoteReference w:id="25"/>
      </w:r>
      <w:r>
        <w:rPr>
          <w:rFonts w:ascii="Times New Roman" w:hAnsi="Times New Roman"/>
          <w:noProof/>
          <w:sz w:val="24"/>
        </w:rPr>
        <w:t xml:space="preserve"> и свързаните с нея правила за поделяне на усилията</w:t>
      </w:r>
      <w:r>
        <w:rPr>
          <w:rStyle w:val="FootnoteReference"/>
          <w:rFonts w:ascii="Times New Roman" w:hAnsi="Times New Roman"/>
          <w:noProof/>
          <w:sz w:val="24"/>
        </w:rPr>
        <w:footnoteReference w:id="26"/>
      </w:r>
      <w:r>
        <w:rPr>
          <w:rFonts w:ascii="Times New Roman" w:hAnsi="Times New Roman"/>
          <w:noProof/>
          <w:sz w:val="24"/>
        </w:rPr>
        <w:t xml:space="preserve"> и за земеползването и горското стопанство</w:t>
      </w:r>
      <w:r>
        <w:rPr>
          <w:rStyle w:val="FootnoteReference"/>
          <w:rFonts w:ascii="Times New Roman" w:hAnsi="Times New Roman"/>
          <w:noProof/>
          <w:sz w:val="24"/>
        </w:rPr>
        <w:footnoteReference w:id="27"/>
      </w:r>
      <w:r>
        <w:rPr>
          <w:rFonts w:ascii="Times New Roman" w:hAnsi="Times New Roman"/>
          <w:noProof/>
          <w:sz w:val="24"/>
        </w:rPr>
        <w:t>.</w:t>
      </w:r>
    </w:p>
    <w:p>
      <w:pPr>
        <w:tabs>
          <w:tab w:val="left" w:pos="284"/>
        </w:tabs>
        <w:spacing w:after="240"/>
        <w:jc w:val="both"/>
        <w:rPr>
          <w:rFonts w:ascii="Times New Roman" w:hAnsi="Times New Roman" w:cs="Times New Roman"/>
          <w:noProof/>
          <w:sz w:val="24"/>
          <w:szCs w:val="24"/>
        </w:rPr>
      </w:pPr>
      <w:r>
        <w:rPr>
          <w:rFonts w:ascii="Times New Roman" w:hAnsi="Times New Roman"/>
          <w:noProof/>
          <w:sz w:val="24"/>
        </w:rPr>
        <w:t>Ще предприемем също така последващи действия във връзка с нашата Стратегия за мобилност с ниски емисии, представена през юли. Целта ще бъде да се повиши ефективността на транспорта, като се отговори на нуждите от мобилност на хора и стоки и се насърчава намаляването на емисиите, включително постепенното преминаване към превозни средства с нулеви емисии, което също ще повиши конкурентоспособността на промишлеността. За тази цел, като първа стъпка, ще представим преразглеждане по REFIT на регламентите за автомобили и леки търговски превозни средства, като се представят стратегии за създаването на стандарти за нулеви и ниски емисии за периода след 2020 г., а също и на Директивата за чистите превозни средства с цел подобряване на стимулите и правилата за възлагане на обществени поръчки. Като прилагаме принципите „потребителят плаща“ и „замърсителят плаща“, възнамеряваме да предложим подобрения за тези държави членки, които решат да използват пътни такси, включително за оперативната съвместимост на електронните системи за пътно таксуване.</w:t>
      </w:r>
    </w:p>
    <w:p>
      <w:pPr>
        <w:keepNext/>
        <w:tabs>
          <w:tab w:val="left" w:pos="284"/>
        </w:tabs>
        <w:spacing w:after="240"/>
        <w:jc w:val="both"/>
        <w:rPr>
          <w:rFonts w:ascii="Times New Roman" w:hAnsi="Times New Roman" w:cs="Times New Roman"/>
          <w:b/>
          <w:noProof/>
          <w:sz w:val="24"/>
          <w:szCs w:val="24"/>
        </w:rPr>
      </w:pPr>
      <w:r>
        <w:rPr>
          <w:rFonts w:ascii="Times New Roman" w:hAnsi="Times New Roman"/>
          <w:b/>
          <w:noProof/>
          <w:sz w:val="24"/>
        </w:rPr>
        <w:t xml:space="preserve">4. </w:t>
      </w:r>
      <w:r>
        <w:rPr>
          <w:noProof/>
        </w:rPr>
        <w:tab/>
      </w:r>
      <w:r>
        <w:rPr>
          <w:rFonts w:ascii="Times New Roman" w:hAnsi="Times New Roman"/>
          <w:b/>
          <w:noProof/>
          <w:sz w:val="24"/>
        </w:rPr>
        <w:t>По-задълбочен и по-справедлив вътрешен пазар със засилена промишлена база</w:t>
      </w:r>
    </w:p>
    <w:p>
      <w:pPr>
        <w:jc w:val="both"/>
        <w:rPr>
          <w:rFonts w:ascii="Times New Roman" w:hAnsi="Times New Roman" w:cs="Times New Roman"/>
          <w:noProof/>
          <w:sz w:val="24"/>
          <w:szCs w:val="24"/>
        </w:rPr>
      </w:pPr>
      <w:r>
        <w:rPr>
          <w:rFonts w:ascii="Times New Roman" w:hAnsi="Times New Roman" w:cs="Times New Roman"/>
          <w:i/>
          <w:noProof/>
          <w:sz w:val="24"/>
          <w:szCs w:val="24"/>
        </w:rPr>
        <w:t xml:space="preserve">Европа, която има значителен принос за създаването на работни места и растеж и се застъпва за промишлеността си. </w:t>
      </w:r>
      <w:r>
        <w:rPr>
          <w:rFonts w:ascii="Times New Roman" w:hAnsi="Times New Roman" w:cs="Times New Roman"/>
          <w:noProof/>
          <w:sz w:val="24"/>
          <w:szCs w:val="24"/>
        </w:rPr>
        <w:t>Свободното движение на стоки, хора, услуги и капитали е в основата на икономическата мощ на Европа. Ние разполагаме с най-големия единен</w:t>
      </w:r>
      <w:r>
        <w:rPr>
          <w:rFonts w:ascii="Times New Roman" w:hAnsi="Times New Roman"/>
          <w:noProof/>
          <w:sz w:val="24"/>
        </w:rPr>
        <w:t xml:space="preserve"> пазар в света и реформите, посочени в Стратегията за единния пазар, целят разгръщането на пълния му потенциал. В синергия с нашите други стратегии това ще създаде необходимите условия за устойчивата конкурентоспособност на европейската икономика и ще окаже подкрепа за новаторството, цифровизацията и трансформирането на промишлеността.</w:t>
      </w:r>
    </w:p>
    <w:p>
      <w:pPr>
        <w:jc w:val="both"/>
        <w:rPr>
          <w:rFonts w:ascii="Times New Roman" w:hAnsi="Times New Roman" w:cs="Times New Roman"/>
          <w:noProof/>
          <w:sz w:val="24"/>
          <w:szCs w:val="24"/>
        </w:rPr>
      </w:pPr>
      <w:r>
        <w:rPr>
          <w:rFonts w:ascii="Times New Roman" w:hAnsi="Times New Roman"/>
          <w:noProof/>
          <w:sz w:val="24"/>
        </w:rPr>
        <w:t>Вече бе обявено, че са предвидени бъдещи действия, подпомагащи развитието на МСП и стартиращите предприятия, пакет от мерки относно правата върху интелектуалната собственост и пакет от мерки в областта на услугите, целящ преодоляването на пречките на пазара на услуги. Ще представим инициатива в областта на дружественото право, за да бъде улеснено използването на цифровите технологии както през целия жизнен цикъл на дружествата, така и при презгранични сливания и разделяния.</w:t>
      </w:r>
    </w:p>
    <w:p>
      <w:pPr>
        <w:jc w:val="both"/>
        <w:rPr>
          <w:rFonts w:ascii="Times New Roman" w:hAnsi="Times New Roman" w:cs="Times New Roman"/>
          <w:noProof/>
          <w:sz w:val="24"/>
          <w:szCs w:val="24"/>
        </w:rPr>
      </w:pPr>
      <w:r>
        <w:rPr>
          <w:rFonts w:ascii="Times New Roman" w:hAnsi="Times New Roman"/>
          <w:noProof/>
          <w:sz w:val="24"/>
        </w:rPr>
        <w:t>През следващата година Комисията ще действа за укрепването на единния пазар на стоки, а именно чрез улесняване на взаимното признаване и чрез справяне с нарастващия брой на несъответстващи на стандартите продукти на пазара на ЕС посредством преразглеждане по REFIT на съответното законодателство. Това ще позволи на предприемачите да предлагат по-лесно своите услуги през граница, като същевременно се осигурят стимули за по-стриктното спазване на регулаторните изисквания и се възстановят равните условия на конкуренция в полза на предприятията и гражданите. Ще представим също така инициатива за координиране на оценките на здравните технологии.</w:t>
      </w:r>
    </w:p>
    <w:p>
      <w:pPr>
        <w:jc w:val="both"/>
        <w:rPr>
          <w:rFonts w:ascii="Times New Roman" w:hAnsi="Times New Roman" w:cs="Times New Roman"/>
          <w:noProof/>
          <w:sz w:val="24"/>
          <w:szCs w:val="24"/>
        </w:rPr>
      </w:pPr>
      <w:r>
        <w:rPr>
          <w:rFonts w:ascii="Times New Roman" w:hAnsi="Times New Roman"/>
          <w:noProof/>
          <w:sz w:val="24"/>
        </w:rPr>
        <w:t>Въз основа на Стратегията за мобилност с ниски емисии Комисията ще работи интегрирано по отношение на мобилността, свързаността и бъдещето на автомобилната промишленост, която трябва да отговори на структурните предизвикателства и да възстанови доверието в поетия от нея ангажимент и способността ѝ за справяне с емисиите от леки автомобили. Ще продължим работата по регулаторната среда, изграждането на екосистема, ресурсната ефективност и стандартизацията, за да се улесни пускането на пазара на все по-ефективни автономни и свързани превозни средства.</w:t>
      </w:r>
    </w:p>
    <w:p>
      <w:pPr>
        <w:jc w:val="both"/>
        <w:rPr>
          <w:rFonts w:ascii="Times New Roman" w:hAnsi="Times New Roman" w:cs="Times New Roman"/>
          <w:noProof/>
          <w:sz w:val="24"/>
          <w:szCs w:val="24"/>
        </w:rPr>
      </w:pPr>
      <w:r>
        <w:rPr>
          <w:rFonts w:ascii="Times New Roman" w:hAnsi="Times New Roman"/>
          <w:noProof/>
          <w:sz w:val="24"/>
        </w:rPr>
        <w:t>Що се отнася до космическата промишленост, като продължение на Европейския план за действие в областта на отбраната и Космическата стратегия за Европа Комисията ще представи през 2017 г. инициатива за осигуряването на надеждни, сигурни и разходно ефективни сателитни съобщителни услуги за публичните органи (GOVSATCOM — правителствени сателитни комуникации), както и мерки, способстващи за навлизането на пазара на космически услуги и данни.</w:t>
      </w:r>
    </w:p>
    <w:p>
      <w:pPr>
        <w:jc w:val="both"/>
        <w:rPr>
          <w:rFonts w:ascii="Times New Roman" w:hAnsi="Times New Roman" w:cs="Times New Roman"/>
          <w:noProof/>
          <w:sz w:val="24"/>
          <w:szCs w:val="24"/>
        </w:rPr>
      </w:pPr>
      <w:r>
        <w:rPr>
          <w:rFonts w:ascii="Times New Roman" w:hAnsi="Times New Roman"/>
          <w:noProof/>
          <w:sz w:val="24"/>
        </w:rPr>
        <w:t>Прилагането на правилата на единния пазар е от съществено значение, за да се гарантира техният ефект на място. През 2017 г. Комисията ще представи като част от по-широкото внимание, отделяно на правоприлагането, предложения за актуализирането и рационализирането на инструменти за разрешаване на проблеми, включително мрежата SOLVIT, както и за повишаването на осведомеността на гражданите и дружествата относно техните права. Това ще включва Инструмента за информация за единния пазар и Единния цифров портал, с които на предприятията да бъде оказвана подкрепа и да бъдат подпомагани да развиват трансгранична дейност в рамките на единния пазар, като се вземе предвид становището на платформата REFIT</w:t>
      </w:r>
      <w:r>
        <w:rPr>
          <w:noProof/>
        </w:rPr>
        <w:t>.</w:t>
      </w:r>
      <w:r>
        <w:rPr>
          <w:rFonts w:ascii="Times New Roman" w:hAnsi="Times New Roman"/>
          <w:noProof/>
          <w:sz w:val="24"/>
        </w:rPr>
        <w:t xml:space="preserve"> Ще бъдат внесени предложения за допълнителни правомощия на националните органи за защита на конкуренцията, така че да бъдат по-ефективни в прилагането на правилата, гарантиращи конкурентна среда в рамките на единния пазар.</w:t>
      </w:r>
    </w:p>
    <w:p>
      <w:pPr>
        <w:jc w:val="both"/>
        <w:rPr>
          <w:rFonts w:ascii="Times New Roman" w:hAnsi="Times New Roman" w:cs="Times New Roman"/>
          <w:noProof/>
          <w:sz w:val="24"/>
          <w:szCs w:val="24"/>
        </w:rPr>
      </w:pPr>
      <w:r>
        <w:rPr>
          <w:rFonts w:ascii="Times New Roman" w:hAnsi="Times New Roman"/>
          <w:noProof/>
          <w:sz w:val="24"/>
        </w:rPr>
        <w:t>В съответствие с призива на Европейския съвет за бърз напредък по отношение на гарантирането на по-лесен достъп до финансиране за бизнеса и подпомагането на инвестициите в реалната икономика Комисията ще представи средносрочен преглед на Плана за действие за Съюз на капиталовите пазари, като посочи оставащите пречки и евентуално необходимите допълнителни мерки. Ще предложим следното: прост, ефикасен и конкурентоспособен европейски продукт за лично пенсионно осигуряване, насочен към намаляване на бариерите пред предоставянето на трансгранични услуги и увеличаване на конкуренцията между пенсионните институции; преразглеждане по REFIT на Регламента за европейската пазарна инфраструктура (EMIR); стратегия за устойчиво финансиране; мерки за улесняване на предприятията в областта на инфраструктурата; и план за действие за финансовите услуги на дребно с цел премахване на националните бариери, които пречат на потребителите да получат най-добрите стойност, избор и цени и да се възползват от нови финансови технологии. Освен това Комисията ще извърши последващи действия във връзка с призива за събирането на сведения относно общото въздействие на финансовото законодателство, като вземе също така предвид становището на платформата REFIT относно изискванията за докладване. Комисията ще представи и останалите предложения, които вече са обявени, включително законодателство относно преструктурирането на предприятия и „втория шанс“ на предприятията, за да се гарантира, че предприятията, които търпят неуспех, биват ликвидирани по справедлив и ефективен начин, а предприемачите имат право на ново начало.</w:t>
      </w:r>
    </w:p>
    <w:p>
      <w:pPr>
        <w:jc w:val="both"/>
        <w:rPr>
          <w:rFonts w:ascii="Times New Roman" w:hAnsi="Times New Roman" w:cs="Times New Roman"/>
          <w:noProof/>
          <w:sz w:val="24"/>
          <w:szCs w:val="24"/>
        </w:rPr>
      </w:pPr>
      <w:r>
        <w:rPr>
          <w:rFonts w:ascii="Times New Roman" w:hAnsi="Times New Roman"/>
          <w:noProof/>
          <w:sz w:val="24"/>
        </w:rPr>
        <w:t>Стабилната данъчна среда трябва да бъде проста и ефикасна за дружествата, които извършват трансгранична дейност, като същевременно се гарантира, че тези дружества справедливо и ефективно допринасят за данъците на мястото, където действително реализират печалбите си. Успоредно с настоящата Работна програма Комисията лансира отново общата консолидирана основа за облагане с корпоративен данък, като първа стъпка в това отношение е задължителната обща основа за данъчно облагане</w:t>
      </w:r>
      <w:r>
        <w:rPr>
          <w:rStyle w:val="FootnoteReference"/>
          <w:rFonts w:ascii="Times New Roman" w:hAnsi="Times New Roman"/>
          <w:noProof/>
          <w:sz w:val="24"/>
        </w:rPr>
        <w:footnoteReference w:id="28"/>
      </w:r>
      <w:r>
        <w:rPr>
          <w:rFonts w:ascii="Times New Roman" w:hAnsi="Times New Roman"/>
          <w:noProof/>
          <w:sz w:val="24"/>
        </w:rPr>
        <w:t>. Освен това Комисията представя допълнителни мерки за борба с данъчните измами и укриването на данъци, включително в трети държави</w:t>
      </w:r>
      <w:r>
        <w:rPr>
          <w:rStyle w:val="FootnoteReference"/>
          <w:rFonts w:ascii="Times New Roman" w:hAnsi="Times New Roman"/>
          <w:noProof/>
          <w:sz w:val="24"/>
        </w:rPr>
        <w:footnoteReference w:id="29"/>
      </w:r>
      <w:r>
        <w:rPr>
          <w:rFonts w:ascii="Times New Roman" w:hAnsi="Times New Roman"/>
          <w:noProof/>
          <w:sz w:val="24"/>
        </w:rPr>
        <w:t xml:space="preserve">. Като се вземат предвид текущите консултации, допълнителните мерки в областта на данъчната прозрачност през следващата година биха могли да включват предложение за увеличаване на надзора на тези, които поощряват или правят възможни схеми за агресивно данъчно планиране. Комисията ще работи с държавите членки за съставянето, като основен елемент на Външната стратегия за ефективно данъчно облагане, на окончателен списък на ЕС на юрисдикциите на трети държави, които не спазват международните стандарти за добро управление и прилагане на съответните международни споразумения относно най-добрите практики за борба с намаляването на данъчната основа и прехвърлянето на печалби. </w:t>
      </w:r>
    </w:p>
    <w:p>
      <w:pPr>
        <w:jc w:val="both"/>
        <w:rPr>
          <w:rFonts w:ascii="Times New Roman" w:hAnsi="Times New Roman" w:cs="Times New Roman"/>
          <w:noProof/>
          <w:sz w:val="24"/>
          <w:szCs w:val="24"/>
        </w:rPr>
      </w:pPr>
      <w:r>
        <w:rPr>
          <w:rFonts w:ascii="Times New Roman" w:hAnsi="Times New Roman"/>
          <w:noProof/>
          <w:sz w:val="24"/>
        </w:rPr>
        <w:t>Всяка година трансграничните измами с ДДС в държавите членки костват на данъкоплатците приблизително 50 милиарда евро. В същото време е налице значителна административна тежест за малките предприятия за привеждане в съответствие с изискванията за ДДС, като техническите иновации поставят нови предизвикателства за ефективното събиране на данъците. Ето защо, като вземе предвид становищата на платформата REFIT, Комисията ще предложи мерки за изпълнение на Плана за действие относно ДДС с цел опростяване на ДДС за малките предприятия и поставяне на основите на модерен, по-ефикасен, ориентиран към бизнеса и защитен срещу измами окончателен режим на ДДС в цяла Европа. По-ефективният и пропорционален подход към ставките на ДДС е ключов елемент на тази реформа.</w:t>
      </w:r>
    </w:p>
    <w:p>
      <w:pPr>
        <w:keepNext/>
        <w:tabs>
          <w:tab w:val="left" w:pos="284"/>
        </w:tabs>
        <w:spacing w:after="240"/>
        <w:jc w:val="both"/>
        <w:rPr>
          <w:rFonts w:ascii="Times New Roman" w:hAnsi="Times New Roman" w:cs="Times New Roman"/>
          <w:b/>
          <w:noProof/>
          <w:sz w:val="24"/>
          <w:szCs w:val="24"/>
        </w:rPr>
      </w:pPr>
      <w:r>
        <w:rPr>
          <w:rFonts w:ascii="Times New Roman" w:hAnsi="Times New Roman"/>
          <w:b/>
          <w:noProof/>
          <w:sz w:val="24"/>
        </w:rPr>
        <w:t>5.</w:t>
      </w:r>
      <w:r>
        <w:rPr>
          <w:noProof/>
        </w:rPr>
        <w:tab/>
      </w:r>
      <w:r>
        <w:rPr>
          <w:rFonts w:ascii="Times New Roman" w:hAnsi="Times New Roman"/>
          <w:b/>
          <w:noProof/>
          <w:sz w:val="24"/>
        </w:rPr>
        <w:t>По-задълбочен и по-справедлив икономически и паричен съюз</w:t>
      </w:r>
    </w:p>
    <w:p>
      <w:pPr>
        <w:spacing w:after="120"/>
        <w:jc w:val="both"/>
        <w:rPr>
          <w:rFonts w:ascii="Times New Roman" w:hAnsi="Times New Roman" w:cs="Times New Roman"/>
          <w:noProof/>
          <w:sz w:val="24"/>
          <w:szCs w:val="24"/>
        </w:rPr>
      </w:pPr>
      <w:r>
        <w:rPr>
          <w:rFonts w:ascii="Times New Roman" w:hAnsi="Times New Roman"/>
          <w:i/>
          <w:noProof/>
          <w:sz w:val="24"/>
        </w:rPr>
        <w:t>Европа, която защитава нашите икономики и гарантира справедливи конкурентни условия за работниците и предприятията.</w:t>
      </w:r>
      <w:r>
        <w:rPr>
          <w:rFonts w:ascii="Times New Roman" w:hAnsi="Times New Roman"/>
          <w:noProof/>
          <w:sz w:val="24"/>
        </w:rPr>
        <w:t xml:space="preserve"> Като утвърдена световна валута еврото носи огромни, често невидими икономически ползи. Тази година държавите от еврозоната спестиха 50 милиарда евро от лихвените плащания по дълга си благодарение на ниските лихвени проценти и паричната политика на Европейската централна банка. Комисията подкрепя стремежа и пътните карти, представени в доклада на 5-имата председатели, относно завършването на изграждането на Икономическия и паричен съюз (ИПС).</w:t>
      </w:r>
    </w:p>
    <w:p>
      <w:pPr>
        <w:spacing w:after="120"/>
        <w:jc w:val="both"/>
        <w:rPr>
          <w:rFonts w:ascii="Times New Roman" w:eastAsia="Calibri" w:hAnsi="Times New Roman" w:cs="Times New Roman"/>
          <w:noProof/>
          <w:sz w:val="24"/>
          <w:szCs w:val="24"/>
        </w:rPr>
      </w:pPr>
      <w:r>
        <w:rPr>
          <w:rFonts w:ascii="Times New Roman" w:hAnsi="Times New Roman"/>
          <w:noProof/>
          <w:sz w:val="24"/>
        </w:rPr>
        <w:t>В Бялата книга за бъдещето на Европа, определяща мерките относно реформирането на ЕС, състоящ се от 27 държави членки, 60 години след подписването на Римските договори, ще бъде включено също така бъдещето на ИПС, свързано с подготовката на втория етап от задълбочаването на ИПС в новия политически и демократичен контекст, включително ориентирано към стабилност преразглеждане на Пакта за стабилност и растеж и последващите действия във връзка с член 16 от Договора за стабилност, координация и управление в Икономическия и паричен съюз (включване на същността на посочения договор в правната уредба на Европейския съюз). Ще направим и преглед на Европейската система за финансов надзор (ЕСФН) с цел засилване на ефективността и ефикасността на надзора на макро- и микропруденциално равнище. Приемането на предложението за единно представителство на еврозоната в Международния валутен фонд</w:t>
      </w:r>
      <w:r>
        <w:rPr>
          <w:rStyle w:val="FootnoteReference"/>
          <w:rFonts w:ascii="Times New Roman" w:hAnsi="Times New Roman"/>
          <w:noProof/>
          <w:sz w:val="24"/>
        </w:rPr>
        <w:footnoteReference w:id="30"/>
      </w:r>
      <w:r>
        <w:rPr>
          <w:rFonts w:ascii="Times New Roman" w:hAnsi="Times New Roman"/>
          <w:noProof/>
          <w:sz w:val="24"/>
        </w:rPr>
        <w:t xml:space="preserve"> следва да се ускори.</w:t>
      </w:r>
    </w:p>
    <w:p>
      <w:pPr>
        <w:jc w:val="both"/>
        <w:rPr>
          <w:rFonts w:ascii="Times New Roman" w:hAnsi="Times New Roman" w:cs="Times New Roman"/>
          <w:noProof/>
          <w:sz w:val="24"/>
          <w:szCs w:val="24"/>
        </w:rPr>
      </w:pPr>
      <w:r>
        <w:rPr>
          <w:rFonts w:ascii="Times New Roman" w:hAnsi="Times New Roman"/>
          <w:noProof/>
          <w:sz w:val="24"/>
        </w:rPr>
        <w:t>Завършването на Банковия съюз, и в този контекст постигането на споразумение относно предложението за обща европейска схема за гарантиране на депозитите</w:t>
      </w:r>
      <w:r>
        <w:rPr>
          <w:rStyle w:val="FootnoteReference"/>
          <w:rFonts w:ascii="Times New Roman" w:hAnsi="Times New Roman"/>
          <w:noProof/>
          <w:sz w:val="24"/>
        </w:rPr>
        <w:footnoteReference w:id="31"/>
      </w:r>
      <w:r>
        <w:rPr>
          <w:rFonts w:ascii="Times New Roman" w:hAnsi="Times New Roman"/>
          <w:noProof/>
          <w:sz w:val="24"/>
        </w:rPr>
        <w:t>, остава приоритет. Комисията също така, като отчита последните съображения, изтъкнати на международно равнище, ще преразгледа части от банковото законодателство и ще предложи целеви изменения на регламента и директивата за капиталовите изисквания, както и на Директивата за възстановяване и преструктуриране на банките, с цел да се повиши устойчивостта на банките, като същевременно се опростят правилата за банките с не толкова комплексен бизнес модел, насърчават се инвестициите, особено в МСП, и се укрепват съществуващите мерки за намаляване на рисковете, най-вече чрез прилагането на световните стандарти относно общия капацитет за поемане на загуби при банките със системно значение. Ускоряването на напредъка в реализирането на Съюза на капиталовите пазари е ключът към насърчаването на по-висока степен на споделяне на риска от частния сектор в ИПС. Приемането на внесените предложения относно секюритизацията</w:t>
      </w:r>
      <w:r>
        <w:rPr>
          <w:rStyle w:val="FootnoteReference"/>
          <w:rFonts w:ascii="Times New Roman" w:hAnsi="Times New Roman"/>
          <w:noProof/>
          <w:sz w:val="24"/>
        </w:rPr>
        <w:footnoteReference w:id="32"/>
      </w:r>
      <w:r>
        <w:rPr>
          <w:rFonts w:ascii="Times New Roman" w:hAnsi="Times New Roman"/>
          <w:noProof/>
          <w:sz w:val="24"/>
        </w:rPr>
        <w:t xml:space="preserve"> и проспектите</w:t>
      </w:r>
      <w:r>
        <w:rPr>
          <w:rStyle w:val="FootnoteReference"/>
          <w:rFonts w:ascii="Times New Roman" w:hAnsi="Times New Roman"/>
          <w:noProof/>
          <w:sz w:val="24"/>
        </w:rPr>
        <w:footnoteReference w:id="33"/>
      </w:r>
      <w:r>
        <w:rPr>
          <w:rFonts w:ascii="Times New Roman" w:hAnsi="Times New Roman"/>
          <w:noProof/>
          <w:sz w:val="24"/>
        </w:rPr>
        <w:t xml:space="preserve"> трябва да бъде ускорено.</w:t>
      </w:r>
    </w:p>
    <w:p>
      <w:pPr>
        <w:jc w:val="both"/>
        <w:rPr>
          <w:rFonts w:ascii="Times New Roman" w:hAnsi="Times New Roman" w:cs="Times New Roman"/>
          <w:noProof/>
          <w:sz w:val="24"/>
          <w:szCs w:val="24"/>
        </w:rPr>
      </w:pPr>
      <w:r>
        <w:rPr>
          <w:rFonts w:ascii="Times New Roman" w:hAnsi="Times New Roman"/>
          <w:noProof/>
          <w:sz w:val="24"/>
        </w:rPr>
        <w:t>Комисията се ангажира да насърчава социалното възходящо сближаване и да укрепва социалното измерение на европейската интеграция. Въз основа на сведенията, събрани в рамките на тазгодишната обществена консултация, ще предложим европейски стълб на социалните права, в който да бъдат посочени принципите за Съюз, основан на социална справедливост. Стълбът ще определи рамка от принципи за насърчаване на справедливите конкурентни условия в европейската социална пазарна икономика. Тя ще служи като ориентир за политиките за справедливи и динамични пазари на труда, на които всички имат възможност да реализират своите способности, както и за добре функциониращи и устойчиви социални системи, които отразяват днешните бързо променящи се условия. Това ще бъде придружено от инициативи, като например инициативи за справяне с предизвикателствата на равновесието между професионалния и личния живот, пред които са изправени работещите семейства.</w:t>
      </w:r>
    </w:p>
    <w:p>
      <w:pPr>
        <w:keepNext/>
        <w:tabs>
          <w:tab w:val="left" w:pos="284"/>
        </w:tabs>
        <w:spacing w:after="240"/>
        <w:jc w:val="both"/>
        <w:rPr>
          <w:rFonts w:ascii="Times New Roman" w:hAnsi="Times New Roman" w:cs="Times New Roman"/>
          <w:b/>
          <w:noProof/>
          <w:sz w:val="24"/>
          <w:szCs w:val="24"/>
        </w:rPr>
      </w:pPr>
      <w:r>
        <w:rPr>
          <w:rFonts w:ascii="Times New Roman" w:hAnsi="Times New Roman"/>
          <w:b/>
          <w:noProof/>
          <w:sz w:val="24"/>
        </w:rPr>
        <w:t>6.</w:t>
      </w:r>
      <w:r>
        <w:rPr>
          <w:noProof/>
        </w:rPr>
        <w:tab/>
      </w:r>
      <w:r>
        <w:rPr>
          <w:rFonts w:ascii="Times New Roman" w:hAnsi="Times New Roman"/>
          <w:b/>
          <w:noProof/>
          <w:sz w:val="24"/>
        </w:rPr>
        <w:t>Търговия: Разумно и балансирано споразумение за свободна търговия със САЩ</w:t>
      </w:r>
    </w:p>
    <w:p>
      <w:pPr>
        <w:autoSpaceDE w:val="0"/>
        <w:autoSpaceDN w:val="0"/>
        <w:jc w:val="both"/>
        <w:rPr>
          <w:rFonts w:ascii="Times New Roman" w:hAnsi="Times New Roman"/>
          <w:noProof/>
          <w:sz w:val="24"/>
          <w:szCs w:val="24"/>
        </w:rPr>
      </w:pPr>
      <w:r>
        <w:rPr>
          <w:rFonts w:ascii="Times New Roman" w:hAnsi="Times New Roman"/>
          <w:i/>
          <w:noProof/>
          <w:sz w:val="24"/>
        </w:rPr>
        <w:t>Европа, която е отворена и търгува с нашите партньори, като същевременно засилва защитните си инструменти.</w:t>
      </w:r>
      <w:r>
        <w:rPr>
          <w:rFonts w:ascii="Times New Roman" w:hAnsi="Times New Roman"/>
          <w:noProof/>
          <w:sz w:val="24"/>
        </w:rPr>
        <w:t xml:space="preserve"> В днешната глобална икономика търговията е от същностно значение за растежа, създаването на работни места и конкурентоспособността. Търговията означава работни места — с всеки износ в размер на 1 милиард евро се създават 14 000 допълнителни работни места в ЕС. Освен това повече от 30 милиона работни места, една седма от всички работни места в ЕС, вече зависят от износа към останалата част на света. Ето защо ЕС остава застъпник на отворената търговска система, основана на правила.</w:t>
      </w:r>
    </w:p>
    <w:p>
      <w:pPr>
        <w:jc w:val="both"/>
        <w:rPr>
          <w:rFonts w:ascii="Times New Roman" w:hAnsi="Times New Roman" w:cs="Times New Roman"/>
          <w:noProof/>
          <w:sz w:val="24"/>
          <w:szCs w:val="24"/>
        </w:rPr>
      </w:pPr>
      <w:r>
        <w:rPr>
          <w:rFonts w:ascii="Times New Roman" w:hAnsi="Times New Roman"/>
          <w:noProof/>
          <w:sz w:val="24"/>
        </w:rPr>
        <w:t>Комисията, като се опира на мрежата от успешни споразумения на Съюза за свободна търговия, ще продължи преговорите със САЩ, Япония, Меркосур, Мексико, Тунис и държавите от АСЕАН. Ще поискаме нови мандати за започването на преговори с Турция, Австралия, Нова Зеландия и Чили. Ще продължим да работим в рамките на СТО, включително по многостранни споразумения, както и за бързото ратифициране на всеобхватното икономическо и търговско споразумение (ВИТС) с Канада.</w:t>
      </w:r>
    </w:p>
    <w:p>
      <w:pPr>
        <w:tabs>
          <w:tab w:val="left" w:pos="284"/>
        </w:tabs>
        <w:spacing w:after="240"/>
        <w:jc w:val="both"/>
        <w:rPr>
          <w:rFonts w:ascii="Times New Roman" w:hAnsi="Times New Roman" w:cs="Times New Roman"/>
          <w:noProof/>
          <w:sz w:val="24"/>
          <w:szCs w:val="24"/>
        </w:rPr>
      </w:pPr>
      <w:r>
        <w:rPr>
          <w:rFonts w:ascii="Times New Roman" w:hAnsi="Times New Roman"/>
          <w:noProof/>
          <w:sz w:val="24"/>
        </w:rPr>
        <w:t>Също така сме решени да гарантираме, че търговията запазва справедливия си характер, чрез актуализиране и модернизиране на инструментите за търговска защита на Европа, за да бъде сигурно, че те са напълно устойчиви предвид новите икономически предизвикателства като свръхкапацитет в дадена промишленост, както и променящите се правни реалности, като например изтичането на действието на някои протоколи за присъединяване към СТО. Сега е наложително Съветът да намери решение по отношение на застоя по нашето предложение от 2013 г. за модернизиране на инструментите за търговска защита, включително реформа на правилото за по-ниското мито</w:t>
      </w:r>
      <w:r>
        <w:rPr>
          <w:rStyle w:val="FootnoteReference"/>
          <w:rFonts w:ascii="Times New Roman" w:hAnsi="Times New Roman"/>
          <w:noProof/>
          <w:sz w:val="24"/>
        </w:rPr>
        <w:footnoteReference w:id="34"/>
      </w:r>
      <w:r>
        <w:rPr>
          <w:rFonts w:ascii="Times New Roman" w:hAnsi="Times New Roman"/>
          <w:noProof/>
          <w:sz w:val="24"/>
        </w:rPr>
        <w:t xml:space="preserve">. На 21 октомври 2016 г. Европейският съвет призова за постигането до края на 2016 г. на спешно и балансирано споразумение по позицията на Съвета за цялостна модернизация на всички инструменти за търговска защита. </w:t>
      </w:r>
    </w:p>
    <w:p>
      <w:pPr>
        <w:tabs>
          <w:tab w:val="left" w:pos="284"/>
        </w:tabs>
        <w:spacing w:after="240"/>
        <w:jc w:val="both"/>
        <w:rPr>
          <w:rFonts w:ascii="Times New Roman" w:hAnsi="Times New Roman" w:cs="Times New Roman"/>
          <w:noProof/>
          <w:sz w:val="24"/>
          <w:szCs w:val="24"/>
        </w:rPr>
      </w:pPr>
      <w:r>
        <w:rPr>
          <w:rFonts w:ascii="Times New Roman" w:hAnsi="Times New Roman"/>
          <w:noProof/>
          <w:sz w:val="24"/>
        </w:rPr>
        <w:t>Като отчита общите ценности на ЕС и САЩ, както и стратегическото, политическото и икономическото значение на трансатлантическите отношения, Комисията е готова да сключи амбициозно, балансирано и високостандартно споразумение за партньорство в областта на търговията и инвестициите. Предвид предстоящите избори в САЩ и неминуемото забавяне на темпа на преговорите и двете страни ще положат усилия за консолидиране на постигнатия до момента напредък. Комисията е готова да сътрудничи с новата администрация на САЩ възможно най-скоро въз основа на предоставения ѝ мандат, който бе препотвърден от Европейския съвет на 21 октомври 2016 г.</w:t>
      </w:r>
      <w:r>
        <w:rPr>
          <w:rStyle w:val="FootnoteReference"/>
          <w:rFonts w:ascii="Times New Roman" w:hAnsi="Times New Roman"/>
          <w:noProof/>
          <w:sz w:val="24"/>
        </w:rPr>
        <w:footnoteReference w:id="35"/>
      </w:r>
    </w:p>
    <w:p>
      <w:pPr>
        <w:tabs>
          <w:tab w:val="left" w:pos="284"/>
        </w:tabs>
        <w:spacing w:after="240"/>
        <w:jc w:val="both"/>
        <w:rPr>
          <w:rFonts w:ascii="Times New Roman" w:hAnsi="Times New Roman" w:cs="Times New Roman"/>
          <w:noProof/>
          <w:sz w:val="24"/>
          <w:szCs w:val="24"/>
        </w:rPr>
      </w:pPr>
      <w:r>
        <w:rPr>
          <w:rFonts w:ascii="Times New Roman" w:hAnsi="Times New Roman"/>
          <w:noProof/>
          <w:sz w:val="24"/>
        </w:rPr>
        <w:t>Комисията също така ще играе водеща роля в реализирането на Глобалния форум по проблемите на свръхкапацитета в стоманодобива под егидата на Г-20.</w:t>
      </w:r>
    </w:p>
    <w:p>
      <w:pPr>
        <w:tabs>
          <w:tab w:val="left" w:pos="284"/>
        </w:tabs>
        <w:spacing w:after="240"/>
        <w:jc w:val="both"/>
        <w:rPr>
          <w:rFonts w:ascii="Times New Roman" w:hAnsi="Times New Roman" w:cs="Times New Roman"/>
          <w:b/>
          <w:noProof/>
          <w:sz w:val="24"/>
          <w:szCs w:val="24"/>
        </w:rPr>
      </w:pPr>
      <w:r>
        <w:rPr>
          <w:rFonts w:ascii="Times New Roman" w:hAnsi="Times New Roman"/>
          <w:b/>
          <w:noProof/>
          <w:sz w:val="24"/>
        </w:rPr>
        <w:t>7.</w:t>
      </w:r>
      <w:r>
        <w:rPr>
          <w:noProof/>
        </w:rPr>
        <w:tab/>
      </w:r>
      <w:r>
        <w:rPr>
          <w:rFonts w:ascii="Times New Roman" w:hAnsi="Times New Roman"/>
          <w:b/>
          <w:noProof/>
          <w:sz w:val="24"/>
        </w:rPr>
        <w:t>Пространство на правосъдие и основни права, изградено върху взаимно доверие</w:t>
      </w:r>
    </w:p>
    <w:p>
      <w:pPr>
        <w:tabs>
          <w:tab w:val="left" w:pos="284"/>
        </w:tabs>
        <w:spacing w:after="240"/>
        <w:jc w:val="both"/>
        <w:rPr>
          <w:rFonts w:ascii="Times New Roman" w:hAnsi="Times New Roman" w:cs="Times New Roman"/>
          <w:noProof/>
          <w:sz w:val="24"/>
          <w:szCs w:val="24"/>
        </w:rPr>
      </w:pPr>
      <w:r>
        <w:rPr>
          <w:rFonts w:ascii="Times New Roman" w:hAnsi="Times New Roman" w:cs="Times New Roman"/>
          <w:i/>
          <w:noProof/>
          <w:sz w:val="24"/>
          <w:szCs w:val="24"/>
        </w:rPr>
        <w:t>Европа, която защитава и пази нашите ценности на свобода, демокрация и върховенство на закона.</w:t>
      </w:r>
      <w:r>
        <w:rPr>
          <w:rFonts w:ascii="Times New Roman" w:hAnsi="Times New Roman" w:cs="Times New Roman"/>
          <w:noProof/>
          <w:sz w:val="24"/>
          <w:szCs w:val="24"/>
        </w:rPr>
        <w:t xml:space="preserve"> Сигурността по нашите граници, а също и в техните рамки, е основна и обща тревога, като се имат предвид настоящите заплахи, пред които е изправена Европа. Никога преди това терористичната заплаха не е била така широко усетена в Европа. Във връзка с Програмата за сигурност на ЕС възнамеряваме да предприемем</w:t>
      </w:r>
      <w:r>
        <w:rPr>
          <w:rFonts w:ascii="Times New Roman" w:hAnsi="Times New Roman"/>
          <w:noProof/>
          <w:sz w:val="24"/>
        </w:rPr>
        <w:t xml:space="preserve"> последващи действия, които да проправят пътя към Съюза на сигурност и да засилят контрола по нашите граници. Това ще включва Европейска система за информация за пътуванията (ETIAS), така че да има автоматизирана проверка на гражданите на трети държави, освободени от изискването за виза, които възнамеряват да пътуват до Шенгенското пространство. Тази система ще допълни системата за влизане и излизане на гражданите на трети държави, която Комисията вече предложи</w:t>
      </w:r>
      <w:r>
        <w:rPr>
          <w:rStyle w:val="FootnoteReference"/>
          <w:rFonts w:ascii="Times New Roman" w:hAnsi="Times New Roman"/>
          <w:noProof/>
          <w:sz w:val="24"/>
        </w:rPr>
        <w:footnoteReference w:id="36"/>
      </w:r>
      <w:r>
        <w:rPr>
          <w:rFonts w:ascii="Times New Roman" w:hAnsi="Times New Roman"/>
          <w:noProof/>
          <w:sz w:val="24"/>
        </w:rPr>
        <w:t xml:space="preserve"> и която, заедно с нашето предложение за системни проверки на гражданите на ЕС на външните граници на ЕС, следва да бъде бързо приета</w:t>
      </w:r>
      <w:r>
        <w:rPr>
          <w:rStyle w:val="FootnoteReference"/>
          <w:rFonts w:ascii="Times New Roman" w:hAnsi="Times New Roman"/>
          <w:noProof/>
          <w:sz w:val="24"/>
        </w:rPr>
        <w:footnoteReference w:id="37"/>
      </w:r>
      <w:r>
        <w:rPr>
          <w:rFonts w:ascii="Times New Roman" w:hAnsi="Times New Roman"/>
          <w:noProof/>
          <w:sz w:val="24"/>
        </w:rPr>
        <w:t>. Ще представим също така подобрения на Шенгенската информационна система и ще направим нашите действащи и бъдещи системи за правоприлагане и управление на границите в още по-висока степен оперативно съвместими, като се съобразяваме с изводите от текущата работа на групата на високо равнище по въпросите на информационните системи и оперативната съвместимост. Освен това ще представим инициатива за достъп до електронни доказателства, предвид тяхното нарастващо значение за гарантирането на ефективно наказателно разследване и преследване в борбата с тежката престъпност и тероризма.</w:t>
      </w:r>
    </w:p>
    <w:p>
      <w:pPr>
        <w:tabs>
          <w:tab w:val="left" w:pos="284"/>
        </w:tabs>
        <w:spacing w:after="240"/>
        <w:jc w:val="both"/>
        <w:rPr>
          <w:rFonts w:ascii="Times New Roman" w:hAnsi="Times New Roman" w:cs="Times New Roman"/>
          <w:noProof/>
          <w:sz w:val="24"/>
          <w:szCs w:val="24"/>
        </w:rPr>
      </w:pPr>
      <w:r>
        <w:rPr>
          <w:rFonts w:ascii="Times New Roman" w:hAnsi="Times New Roman"/>
          <w:noProof/>
          <w:sz w:val="24"/>
        </w:rPr>
        <w:t>През следващите месеци Комисията ще продължи с прилагането на Плана за действие на ЕС за борба с финансирането на тероризма, като направи предложения за хармонизирани санкции с цел възпиране на изпирането на пари, незаконното движение на парични средства в брой и незаконната търговия с предмети на културата, както и блокиране и конфискация на активите от престъпления. Работим също и за засилването на Европол, и по-специално на ресурсите на Европейски център за борба с тероризма. Ще докладваме ежемесечно за напредъка по отношение на Съюза на сигурност</w:t>
      </w:r>
      <w:r>
        <w:rPr>
          <w:rStyle w:val="FootnoteReference"/>
          <w:rFonts w:ascii="Times New Roman" w:hAnsi="Times New Roman"/>
          <w:noProof/>
          <w:sz w:val="24"/>
        </w:rPr>
        <w:footnoteReference w:id="38"/>
      </w:r>
      <w:r>
        <w:rPr>
          <w:rFonts w:ascii="Times New Roman" w:hAnsi="Times New Roman"/>
          <w:noProof/>
          <w:sz w:val="24"/>
        </w:rPr>
        <w:t xml:space="preserve"> и ще работим с Европейския парламент и Съвета за своевременно споразумение относно ключовите мерки за борба със злоупотребата с огнестрелни оръжия и за криминализиране на терористичното поведение, включително на пътуванията на чуждестранни бойци терористи.</w:t>
      </w:r>
    </w:p>
    <w:p>
      <w:pPr>
        <w:tabs>
          <w:tab w:val="left" w:pos="284"/>
        </w:tabs>
        <w:spacing w:after="240"/>
        <w:jc w:val="both"/>
        <w:rPr>
          <w:rFonts w:ascii="Times New Roman" w:hAnsi="Times New Roman" w:cs="Times New Roman"/>
          <w:noProof/>
          <w:sz w:val="24"/>
          <w:szCs w:val="24"/>
        </w:rPr>
      </w:pPr>
      <w:r>
        <w:rPr>
          <w:rFonts w:ascii="Times New Roman" w:hAnsi="Times New Roman"/>
          <w:noProof/>
          <w:sz w:val="24"/>
        </w:rPr>
        <w:t>Правото на сигурност не може никога да застрашава зачитането на други основни права, включително правото на защита на личните данни. Европейския регламент относно защитата на данните ще се прилага от 2018 г.</w:t>
      </w:r>
      <w:r>
        <w:rPr>
          <w:rStyle w:val="FootnoteReference"/>
          <w:rFonts w:ascii="Times New Roman" w:hAnsi="Times New Roman"/>
          <w:noProof/>
          <w:sz w:val="24"/>
        </w:rPr>
        <w:footnoteReference w:id="39"/>
      </w:r>
      <w:r>
        <w:rPr>
          <w:rFonts w:ascii="Times New Roman" w:hAnsi="Times New Roman"/>
          <w:noProof/>
          <w:sz w:val="24"/>
        </w:rPr>
        <w:t>, като Комисията ще гарантира, че европейските институции, органи, агенции и служби прилагат едно и също високо равнище на защита на личните данни. В същия дух Комисията ще проучи и нови решения относно адекватността на обмена на лични данни с трети държави, за да се осигурят високи стандарти при предаването на лични данни на трети държави. Ще представим преразглеждане по REFIT на Директивата за неприкосновеност на личния живот с цел тя да бъде актуализирана с оглед на последните технологични развития и като се вземе предвид становището на платформата REFIT. Също така ще оценим възможностите за хоризонтални или секторни действия на равнището на ЕС, целящи защита на лицата, подаващи сигнали за нередности, с които се изобличават незаконни действия.</w:t>
      </w:r>
    </w:p>
    <w:p>
      <w:pPr>
        <w:tabs>
          <w:tab w:val="left" w:pos="284"/>
        </w:tabs>
        <w:spacing w:after="240"/>
        <w:jc w:val="both"/>
        <w:rPr>
          <w:rFonts w:ascii="Times New Roman" w:hAnsi="Times New Roman" w:cs="Times New Roman"/>
          <w:b/>
          <w:noProof/>
          <w:sz w:val="24"/>
          <w:szCs w:val="24"/>
        </w:rPr>
      </w:pPr>
      <w:r>
        <w:rPr>
          <w:rFonts w:ascii="Times New Roman" w:hAnsi="Times New Roman"/>
          <w:noProof/>
          <w:sz w:val="24"/>
        </w:rPr>
        <w:t>Комисията ще продължи също така работата по присъединяването на Съюза към Европейската конвенция за правата на човека, като взема изцяло под внимание решенията на Съда на Европейския съюз. Тъй като независимите, ефективни правосъдни системи подпомагат икономическия растеж и отстояват основните права, ще продължим да работим заедно с Европейския парламент и държавите членки за насърчаването и защитата на принципите на правовата държава.</w:t>
      </w:r>
    </w:p>
    <w:p>
      <w:pPr>
        <w:tabs>
          <w:tab w:val="left" w:pos="284"/>
        </w:tabs>
        <w:spacing w:after="240"/>
        <w:jc w:val="both"/>
        <w:rPr>
          <w:rFonts w:ascii="Times New Roman" w:hAnsi="Times New Roman" w:cs="Times New Roman"/>
          <w:noProof/>
          <w:sz w:val="24"/>
          <w:szCs w:val="24"/>
        </w:rPr>
      </w:pPr>
      <w:r>
        <w:rPr>
          <w:rFonts w:ascii="Times New Roman" w:hAnsi="Times New Roman"/>
          <w:b/>
          <w:noProof/>
          <w:sz w:val="24"/>
        </w:rPr>
        <w:t>8.</w:t>
      </w:r>
      <w:r>
        <w:rPr>
          <w:noProof/>
        </w:rPr>
        <w:tab/>
      </w:r>
      <w:r>
        <w:rPr>
          <w:rFonts w:ascii="Times New Roman" w:hAnsi="Times New Roman"/>
          <w:b/>
          <w:noProof/>
          <w:sz w:val="24"/>
        </w:rPr>
        <w:t>Към нова политика за миграцията</w:t>
      </w:r>
    </w:p>
    <w:p>
      <w:pPr>
        <w:tabs>
          <w:tab w:val="left" w:pos="284"/>
        </w:tabs>
        <w:spacing w:after="240"/>
        <w:jc w:val="both"/>
        <w:rPr>
          <w:rFonts w:ascii="Times New Roman" w:hAnsi="Times New Roman" w:cs="Times New Roman"/>
          <w:noProof/>
          <w:sz w:val="24"/>
          <w:szCs w:val="24"/>
        </w:rPr>
      </w:pPr>
      <w:r>
        <w:rPr>
          <w:rFonts w:ascii="Times New Roman" w:hAnsi="Times New Roman"/>
          <w:i/>
          <w:noProof/>
          <w:sz w:val="24"/>
        </w:rPr>
        <w:t>Европа, която защитава нашите граници и провежда отговорна политика в областта на миграцията.</w:t>
      </w:r>
      <w:r>
        <w:rPr>
          <w:rFonts w:ascii="Times New Roman" w:hAnsi="Times New Roman"/>
          <w:noProof/>
          <w:sz w:val="24"/>
        </w:rPr>
        <w:t xml:space="preserve"> Управлението на миграционните потоци, като същевременно се гарантира, че тези, които търсят убежище, винаги намират сигурен подслон тук, продължава да бъде предизвикателство. През последната година Комисията ускори работата с Европейския парламент, Съвета и държавите членки по линия на Европейската програма за миграцията, за да се даде възможност за бърз координиран отговор на кризата с бежанците и да се начертае дългосрочна рамка, основана на солидарност и отговорност.</w:t>
      </w:r>
    </w:p>
    <w:p>
      <w:pPr>
        <w:tabs>
          <w:tab w:val="left" w:pos="284"/>
        </w:tabs>
        <w:spacing w:after="240"/>
        <w:jc w:val="both"/>
        <w:rPr>
          <w:rFonts w:ascii="Times New Roman" w:hAnsi="Times New Roman" w:cs="Times New Roman"/>
          <w:noProof/>
          <w:sz w:val="24"/>
          <w:szCs w:val="24"/>
        </w:rPr>
      </w:pPr>
      <w:r>
        <w:rPr>
          <w:rFonts w:ascii="Times New Roman" w:hAnsi="Times New Roman"/>
          <w:noProof/>
          <w:sz w:val="24"/>
        </w:rPr>
        <w:t>Решимостта на ЕС за справяне с въздействието на кризата доведе до безпрецедентен ежедневен ангажимент на място. Комисията, агенциите на ЕС и държавите членки работиха заедно за спасяването на живота на хората в открито море и за подкрепа на държавите членки на предната линия. Повече от 15 милиарда евро от бюджета на ЕС бяха предназначени за действията на ЕС в отговор на кризата в Сирия. Изявлението на ЕС и Турция се оказва решаваща стъпка за спирането на контрабандата на мигранти, за регулирането на миграционните потоци и за предотвратяването на загубата на човешки живот. През 2017 г. Комисията ще продължи да работи интензивно за оказването на пряка подкрепа на бежанците и за тяхната интеграция в приемните общности в Европа и в трети държави, за подобряването на управлението на миграцията в най-засегнатите гранични райони, за борба с контрабандата и трафика на мигранти, по-специално на непридружените ненавършили пълнолетие лица, както и за връщането на незаконните мигранти.</w:t>
      </w:r>
    </w:p>
    <w:p>
      <w:pPr>
        <w:tabs>
          <w:tab w:val="left" w:pos="284"/>
        </w:tabs>
        <w:spacing w:after="240"/>
        <w:jc w:val="both"/>
        <w:rPr>
          <w:rFonts w:ascii="Times New Roman" w:hAnsi="Times New Roman" w:cs="Times New Roman"/>
          <w:noProof/>
          <w:sz w:val="24"/>
          <w:szCs w:val="24"/>
        </w:rPr>
      </w:pPr>
      <w:r>
        <w:rPr>
          <w:rFonts w:ascii="Times New Roman" w:hAnsi="Times New Roman"/>
          <w:noProof/>
          <w:sz w:val="24"/>
        </w:rPr>
        <w:t>Пространството на свободно движение прави външните ни граници повече от всякога въпрос на обща отговорност. Бяха предприети стъпки за възвръщането на нормалното функциониране на Шенгенското пространство за свободно движение на хора. За по-малко от една година ЕС изгради постоянна система, за да се гарантира защитата на границите, както и за да се предотвратят и преодолеят слабостите при проверките на лицата, влизащи в ЕС, чрез действаща Европейска гранична и брегова охрана.</w:t>
      </w:r>
    </w:p>
    <w:p>
      <w:pPr>
        <w:tabs>
          <w:tab w:val="left" w:pos="284"/>
        </w:tabs>
        <w:spacing w:after="240"/>
        <w:jc w:val="both"/>
        <w:rPr>
          <w:rFonts w:ascii="Times New Roman" w:hAnsi="Times New Roman" w:cs="Times New Roman"/>
          <w:noProof/>
          <w:sz w:val="24"/>
          <w:szCs w:val="24"/>
        </w:rPr>
      </w:pPr>
      <w:r>
        <w:rPr>
          <w:rFonts w:ascii="Times New Roman" w:hAnsi="Times New Roman"/>
          <w:noProof/>
          <w:sz w:val="24"/>
        </w:rPr>
        <w:t>Постоянният капацитет за управление на миграцията по надежден и устойчив начин изисква наличност на пълен набор от инструменти за миграция. Всички необходими съставни елементи са представени за обсъждане на Европейския парламент и Съвета. Бързото приемане на ключови предложения, като например реформата на правилата от Дъблин за общата европейска система за убежище</w:t>
      </w:r>
      <w:r>
        <w:rPr>
          <w:rStyle w:val="FootnoteReference"/>
          <w:rFonts w:ascii="Times New Roman" w:hAnsi="Times New Roman"/>
          <w:noProof/>
          <w:sz w:val="24"/>
        </w:rPr>
        <w:footnoteReference w:id="40"/>
      </w:r>
      <w:r>
        <w:rPr>
          <w:rFonts w:ascii="Times New Roman" w:hAnsi="Times New Roman"/>
          <w:noProof/>
          <w:sz w:val="24"/>
        </w:rPr>
        <w:t>, преобразуването на Европейската служба за подкрепа в областта на убежището в пълноправна агенция на ЕС за убежището</w:t>
      </w:r>
      <w:r>
        <w:rPr>
          <w:rStyle w:val="FootnoteReference"/>
          <w:rFonts w:ascii="Times New Roman" w:hAnsi="Times New Roman"/>
          <w:noProof/>
          <w:sz w:val="24"/>
        </w:rPr>
        <w:footnoteReference w:id="41"/>
      </w:r>
      <w:r>
        <w:rPr>
          <w:rFonts w:ascii="Times New Roman" w:hAnsi="Times New Roman"/>
          <w:noProof/>
          <w:sz w:val="24"/>
        </w:rPr>
        <w:t>, укрепването на „Евродак“</w:t>
      </w:r>
      <w:r>
        <w:rPr>
          <w:rStyle w:val="FootnoteReference"/>
          <w:rFonts w:ascii="Times New Roman" w:hAnsi="Times New Roman"/>
          <w:noProof/>
          <w:sz w:val="24"/>
        </w:rPr>
        <w:footnoteReference w:id="42"/>
      </w:r>
      <w:r>
        <w:rPr>
          <w:rFonts w:ascii="Times New Roman" w:hAnsi="Times New Roman"/>
          <w:noProof/>
          <w:sz w:val="24"/>
        </w:rPr>
        <w:t>, новата рамка за презаселване</w:t>
      </w:r>
      <w:r>
        <w:rPr>
          <w:rStyle w:val="FootnoteReference"/>
          <w:rFonts w:ascii="Times New Roman" w:hAnsi="Times New Roman"/>
          <w:noProof/>
          <w:sz w:val="24"/>
        </w:rPr>
        <w:footnoteReference w:id="43"/>
      </w:r>
      <w:r>
        <w:rPr>
          <w:rFonts w:ascii="Times New Roman" w:hAnsi="Times New Roman"/>
          <w:noProof/>
          <w:sz w:val="24"/>
        </w:rPr>
        <w:t>, както и на мерки за съответно управлявана законна миграция</w:t>
      </w:r>
      <w:r>
        <w:rPr>
          <w:rStyle w:val="FootnoteReference"/>
          <w:rFonts w:ascii="Times New Roman" w:hAnsi="Times New Roman"/>
          <w:noProof/>
          <w:sz w:val="24"/>
        </w:rPr>
        <w:footnoteReference w:id="44"/>
      </w:r>
      <w:r>
        <w:rPr>
          <w:rFonts w:ascii="Times New Roman" w:hAnsi="Times New Roman"/>
          <w:noProof/>
          <w:sz w:val="24"/>
        </w:rPr>
        <w:t>, е от съществено значение за осигуряването на всеобхватния и съгласуван подход, от който Европейският съюз се нуждае, за да се справи с предизвикателството на миграцията.</w:t>
      </w:r>
    </w:p>
    <w:p>
      <w:pPr>
        <w:tabs>
          <w:tab w:val="left" w:pos="284"/>
        </w:tabs>
        <w:spacing w:after="240"/>
        <w:jc w:val="both"/>
        <w:rPr>
          <w:rFonts w:ascii="Times New Roman" w:hAnsi="Times New Roman" w:cs="Times New Roman"/>
          <w:noProof/>
          <w:sz w:val="24"/>
          <w:szCs w:val="24"/>
        </w:rPr>
      </w:pPr>
      <w:r>
        <w:rPr>
          <w:rFonts w:ascii="Times New Roman" w:hAnsi="Times New Roman"/>
          <w:noProof/>
          <w:sz w:val="24"/>
        </w:rPr>
        <w:t>Въз основа на първите резултати от последната рамка за партньорство с трети държави в рамките на Европейската програма за миграцията</w:t>
      </w:r>
      <w:r>
        <w:rPr>
          <w:rStyle w:val="FootnoteReference"/>
          <w:rFonts w:ascii="Times New Roman" w:hAnsi="Times New Roman"/>
          <w:noProof/>
          <w:sz w:val="24"/>
        </w:rPr>
        <w:footnoteReference w:id="45"/>
      </w:r>
      <w:r>
        <w:rPr>
          <w:rFonts w:ascii="Times New Roman" w:hAnsi="Times New Roman"/>
          <w:noProof/>
          <w:sz w:val="24"/>
        </w:rPr>
        <w:t>, трябва да продължи работата от страна на институциите на ЕС и държавите членки, така че въпросите, свързани с миграцията, да заемат централно място и да бъдат условие за качеството на отношенията с всички ключови партньорски държави на произход и на транзитно преминаване. Държавите на произход и на транзитно преминаване започнаха да участват в по-тясно сътрудничество за предотвратяването на незаконната миграция, а също и по отношение на връщането. Също така ще трябва да въведем ефективни правни възможности за миграция в Съюза било чрез законна миграция, или чрез презаселване.</w:t>
      </w:r>
    </w:p>
    <w:p>
      <w:pPr>
        <w:tabs>
          <w:tab w:val="left" w:pos="284"/>
        </w:tabs>
        <w:spacing w:after="240"/>
        <w:jc w:val="both"/>
        <w:rPr>
          <w:rFonts w:ascii="Times New Roman" w:hAnsi="Times New Roman" w:cs="Times New Roman"/>
          <w:noProof/>
          <w:sz w:val="24"/>
          <w:szCs w:val="24"/>
        </w:rPr>
      </w:pPr>
      <w:r>
        <w:rPr>
          <w:rFonts w:ascii="Times New Roman" w:hAnsi="Times New Roman"/>
          <w:noProof/>
          <w:sz w:val="24"/>
        </w:rPr>
        <w:t>Следващата година ще направим преценка на извършеното по различните направления на работата по стратегията, за да се осигури цялостен преглед на напредъка към по-ефективно и устойчиво управление на миграцията, и ще се набележат областите, в които са необходими допълнителни усилия.</w:t>
      </w:r>
    </w:p>
    <w:p>
      <w:pPr>
        <w:tabs>
          <w:tab w:val="left" w:pos="284"/>
        </w:tabs>
        <w:spacing w:after="240"/>
        <w:jc w:val="both"/>
        <w:rPr>
          <w:rFonts w:ascii="Times New Roman" w:hAnsi="Times New Roman" w:cs="Times New Roman"/>
          <w:noProof/>
          <w:sz w:val="24"/>
          <w:szCs w:val="24"/>
        </w:rPr>
      </w:pPr>
      <w:r>
        <w:rPr>
          <w:rFonts w:ascii="Times New Roman" w:hAnsi="Times New Roman"/>
          <w:b/>
          <w:noProof/>
          <w:sz w:val="24"/>
        </w:rPr>
        <w:t>9.</w:t>
      </w:r>
      <w:r>
        <w:rPr>
          <w:noProof/>
        </w:rPr>
        <w:tab/>
      </w:r>
      <w:r>
        <w:rPr>
          <w:rFonts w:ascii="Times New Roman" w:hAnsi="Times New Roman"/>
          <w:b/>
          <w:noProof/>
          <w:sz w:val="24"/>
        </w:rPr>
        <w:t xml:space="preserve"> По-силен участник на световната сцена</w:t>
      </w:r>
    </w:p>
    <w:p>
      <w:pPr>
        <w:tabs>
          <w:tab w:val="left" w:pos="284"/>
        </w:tabs>
        <w:spacing w:after="240"/>
        <w:jc w:val="both"/>
        <w:rPr>
          <w:rFonts w:ascii="Times New Roman" w:hAnsi="Times New Roman" w:cs="Times New Roman"/>
          <w:noProof/>
          <w:sz w:val="24"/>
          <w:szCs w:val="24"/>
        </w:rPr>
      </w:pPr>
      <w:r>
        <w:rPr>
          <w:rFonts w:ascii="Times New Roman" w:hAnsi="Times New Roman"/>
          <w:i/>
          <w:noProof/>
          <w:sz w:val="24"/>
        </w:rPr>
        <w:t>Европа, която закриля, защитава също така нашите интереси отвъд нашите граници.</w:t>
      </w:r>
      <w:r>
        <w:rPr>
          <w:rFonts w:ascii="Times New Roman" w:hAnsi="Times New Roman"/>
          <w:noProof/>
          <w:sz w:val="24"/>
        </w:rPr>
        <w:t xml:space="preserve"> Европа е „мека сила“ от световно значение. Чрез Глобалната стратегия и преразгледаната Европейска политика за съседство ЕС ще продължи да използва всички инструменти, с които разполага, за да оказва подкрепа на своите партньори за икономическо и политическо стабилизиране, реформи и изграждане на устойчивост. Чрез политиката си за разширяване Комисията ще продължи да създава със страните кандидатки споделена стабилност и просперитет.</w:t>
      </w:r>
    </w:p>
    <w:p>
      <w:pPr>
        <w:tabs>
          <w:tab w:val="left" w:pos="284"/>
        </w:tabs>
        <w:spacing w:after="240"/>
        <w:jc w:val="both"/>
        <w:rPr>
          <w:rFonts w:ascii="Times New Roman" w:hAnsi="Times New Roman" w:cs="Times New Roman"/>
          <w:noProof/>
          <w:sz w:val="24"/>
          <w:szCs w:val="24"/>
        </w:rPr>
      </w:pPr>
      <w:r>
        <w:rPr>
          <w:rFonts w:ascii="Times New Roman" w:hAnsi="Times New Roman"/>
          <w:noProof/>
          <w:sz w:val="24"/>
        </w:rPr>
        <w:t>Въпреки това, „меката сила“ не е достатъчна в условията на един все по-конфликтен свят. Поради това Комисията ще представи по-късно тази година Европейски план за действие в областта на отбраната, в който ще бъде разгледано как политиките и инструментите на ЕС могат да гарантират, че промишлената база и уменията ще бъдат в състояние да осигурят отбранителните способности, определени с оглед на настоящите и бъдещите предизвикателства в областта на сигурността. Впоследствие Комисията ще предложи създаването на Европейски фонд за отбрана, за да бъдат насърчавани научните изследвания и иновациите и за да се допринесе за укрепването на европейската отбранителна технологична и промишлена база, както и за да бъде допълнително поощрено развитието на ключови отбранителни способности. Редом с това ще бъдат предложени допълнителни мерки в областта на обществените поръчки за отбраната.</w:t>
      </w:r>
    </w:p>
    <w:p>
      <w:pPr>
        <w:tabs>
          <w:tab w:val="left" w:pos="284"/>
        </w:tabs>
        <w:spacing w:after="240"/>
        <w:jc w:val="both"/>
        <w:rPr>
          <w:rFonts w:ascii="Times New Roman" w:hAnsi="Times New Roman" w:cs="Times New Roman"/>
          <w:noProof/>
          <w:sz w:val="24"/>
          <w:szCs w:val="24"/>
        </w:rPr>
      </w:pPr>
      <w:r>
        <w:rPr>
          <w:rFonts w:ascii="Times New Roman" w:hAnsi="Times New Roman"/>
          <w:noProof/>
          <w:sz w:val="24"/>
        </w:rPr>
        <w:t>Внесеното от Комисията предложение за изменение на Инструмента, допринасящ за стабилността и мира, има за цел да бъдат отстранени пропуските в способността на Европейския съюз да подкрепя партньорските държави за предотвратяването и управлението на кризи, по-специално чрез изграждането на капацитет в подкрепа на сигурността и развитието. С оглед на непосредствените заплахи за стабилността и мира, и следователно за развитието в редица от ключовите партньорски държави, е важно бързото приемане на това предложение от Европейския парламент и Съвета.</w:t>
      </w:r>
    </w:p>
    <w:p>
      <w:pPr>
        <w:tabs>
          <w:tab w:val="left" w:pos="284"/>
        </w:tabs>
        <w:spacing w:after="240"/>
        <w:jc w:val="both"/>
        <w:rPr>
          <w:rFonts w:ascii="Times New Roman" w:hAnsi="Times New Roman" w:cs="Times New Roman"/>
          <w:noProof/>
          <w:sz w:val="24"/>
          <w:szCs w:val="24"/>
        </w:rPr>
      </w:pPr>
      <w:r>
        <w:rPr>
          <w:rFonts w:ascii="Times New Roman" w:hAnsi="Times New Roman"/>
          <w:noProof/>
          <w:sz w:val="24"/>
        </w:rPr>
        <w:t>Европейският съюз ще продължи да се стреми към разрешаването на текущите конфликти и кризи в съседните държави и отвъд тях, както и да допринася за непрестанните усилия на Организацията на обединените нации и други международни фактори в това отношение. Комисията и върховният представител ще приемат стратегия на ЕС за Сирия, в която ще бъдат посочени начините, по които Европа може да продължи да предоставя хуманитарна подкрепа и да допринася за политическия преход, стабилизиране и възстановяване, като целта е омиротворяването на сирийския народ и възраждането на плуралистично и толерантно гражданско общество в Сирия.</w:t>
      </w:r>
    </w:p>
    <w:p>
      <w:pPr>
        <w:tabs>
          <w:tab w:val="left" w:pos="284"/>
        </w:tabs>
        <w:spacing w:after="240"/>
        <w:jc w:val="both"/>
        <w:rPr>
          <w:rFonts w:ascii="Times New Roman" w:hAnsi="Times New Roman" w:cs="Times New Roman"/>
          <w:noProof/>
          <w:sz w:val="24"/>
          <w:szCs w:val="24"/>
        </w:rPr>
      </w:pPr>
      <w:r>
        <w:rPr>
          <w:rFonts w:ascii="Times New Roman" w:hAnsi="Times New Roman"/>
          <w:noProof/>
          <w:sz w:val="24"/>
        </w:rPr>
        <w:t xml:space="preserve">Африка ще продължи да бъде един от ключовите стратегически партньори на ЕС, като с последната бежанска криза още веднъж бе подчертано колко е важно да се инвестира в устойчиви и стабилни отношения с африканските страни, поддържани в дух на споделена отговорност. Рамковото партньорство и специфичните средства, предоставени от Извънредния доверителен фонд на ЕС за Африка и новия </w:t>
      </w:r>
      <w:r>
        <w:rPr>
          <w:rStyle w:val="Strong"/>
          <w:rFonts w:ascii="Times New Roman" w:hAnsi="Times New Roman"/>
          <w:b w:val="0"/>
          <w:noProof/>
          <w:sz w:val="24"/>
        </w:rPr>
        <w:t>Европейски план за външни инвестиции (ПВИ</w:t>
      </w:r>
      <w:r>
        <w:rPr>
          <w:rStyle w:val="Strong"/>
          <w:rFonts w:ascii="Times New Roman" w:hAnsi="Times New Roman"/>
          <w:noProof/>
          <w:sz w:val="24"/>
        </w:rPr>
        <w:t>)</w:t>
      </w:r>
      <w:r>
        <w:rPr>
          <w:rStyle w:val="FootnoteReference"/>
          <w:rFonts w:ascii="Times New Roman" w:hAnsi="Times New Roman"/>
          <w:noProof/>
          <w:sz w:val="24"/>
        </w:rPr>
        <w:footnoteReference w:id="46"/>
      </w:r>
      <w:r>
        <w:rPr>
          <w:rStyle w:val="Strong"/>
          <w:rFonts w:ascii="Times New Roman" w:hAnsi="Times New Roman"/>
          <w:noProof/>
          <w:sz w:val="24"/>
        </w:rPr>
        <w:t xml:space="preserve"> </w:t>
      </w:r>
      <w:r>
        <w:rPr>
          <w:rFonts w:ascii="Times New Roman" w:hAnsi="Times New Roman"/>
          <w:noProof/>
          <w:sz w:val="24"/>
        </w:rPr>
        <w:t>, отразяват ангажимента ни да работим в тясно сътрудничество с нашите партньори от Африка, като посрещаме съвместно глобалните предизвикателства, пред които сме изправени. С оглед на 5</w:t>
      </w:r>
      <w:r>
        <w:rPr>
          <w:rFonts w:ascii="Times New Roman" w:hAnsi="Times New Roman"/>
          <w:noProof/>
          <w:sz w:val="24"/>
          <w:vertAlign w:val="superscript"/>
        </w:rPr>
        <w:t>-ата</w:t>
      </w:r>
      <w:r>
        <w:rPr>
          <w:rFonts w:ascii="Times New Roman" w:hAnsi="Times New Roman"/>
          <w:noProof/>
          <w:sz w:val="24"/>
        </w:rPr>
        <w:t xml:space="preserve"> среща на върха между ЕС и Африка, която ще се проведе в края на 2017 г., ще предложим нов подход, с който следва да се определят стратегическите цели и приоритети в отношенията на Съюза с Африка. Той ще допринесе също за африканския стълб на рамката след Споразумението от Котону, който Комисията ще представи скоро, и следва също така да подчертае ключовото значение на нашите търговски отношения с африканските партньори.</w:t>
      </w:r>
    </w:p>
    <w:p>
      <w:pPr>
        <w:tabs>
          <w:tab w:val="left" w:pos="284"/>
        </w:tabs>
        <w:spacing w:after="240"/>
        <w:jc w:val="both"/>
        <w:rPr>
          <w:rFonts w:ascii="Times New Roman" w:hAnsi="Times New Roman" w:cs="Times New Roman"/>
          <w:noProof/>
          <w:sz w:val="24"/>
          <w:szCs w:val="24"/>
        </w:rPr>
      </w:pPr>
      <w:r>
        <w:rPr>
          <w:rFonts w:ascii="Times New Roman" w:hAnsi="Times New Roman"/>
          <w:noProof/>
          <w:sz w:val="24"/>
        </w:rPr>
        <w:t>Както вече бе обявено, Комисията също така ще предложи обновен Европейски консенсус за развитие, който има за цел привеждането на политиката ни за развитие в съответствие с Програмата на ООН за устойчиво развитие до 2030 г. и който гарантира, че Комисията допринася пълноценно за изпълнението на Целите за устойчиво развитие.</w:t>
      </w:r>
    </w:p>
    <w:p>
      <w:pPr>
        <w:tabs>
          <w:tab w:val="left" w:pos="284"/>
        </w:tabs>
        <w:spacing w:after="240"/>
        <w:jc w:val="both"/>
        <w:rPr>
          <w:rFonts w:ascii="Times New Roman" w:hAnsi="Times New Roman" w:cs="Times New Roman"/>
          <w:b/>
          <w:noProof/>
          <w:sz w:val="24"/>
          <w:szCs w:val="24"/>
        </w:rPr>
      </w:pPr>
      <w:r>
        <w:rPr>
          <w:rFonts w:ascii="Times New Roman" w:hAnsi="Times New Roman"/>
          <w:b/>
          <w:noProof/>
          <w:sz w:val="24"/>
        </w:rPr>
        <w:t>10. Съюз на демократичната промяна</w:t>
      </w:r>
    </w:p>
    <w:p>
      <w:pPr>
        <w:jc w:val="both"/>
        <w:rPr>
          <w:rFonts w:ascii="Times New Roman" w:hAnsi="Times New Roman" w:cs="Times New Roman"/>
          <w:noProof/>
          <w:sz w:val="24"/>
          <w:szCs w:val="24"/>
        </w:rPr>
      </w:pPr>
      <w:r>
        <w:rPr>
          <w:rFonts w:ascii="Times New Roman" w:hAnsi="Times New Roman"/>
          <w:i/>
          <w:noProof/>
          <w:sz w:val="24"/>
        </w:rPr>
        <w:t xml:space="preserve">Европа, която поема отговорност, вслушва се и постига резултати. </w:t>
      </w:r>
      <w:r>
        <w:rPr>
          <w:rFonts w:ascii="Times New Roman" w:hAnsi="Times New Roman"/>
          <w:noProof/>
          <w:sz w:val="24"/>
        </w:rPr>
        <w:t>Едва ли някога преди е било толкова наложително реализирането на Съюза на демократичната промяна — най-всеобхватният от 10-те приоритета, които Комисията си постави. В този критичен период бъдещето на нашия Съюз ще зависи от предоставянето на европейците на гаранции, че сме в състояние заедно да ги закриляме, да им предоставяме права и да ги защитаваме, както и да спомагаме за изграждането на положителна и устойчива перспектива за бъдещето им.</w:t>
      </w:r>
    </w:p>
    <w:p>
      <w:pPr>
        <w:jc w:val="both"/>
        <w:rPr>
          <w:rFonts w:ascii="Times New Roman" w:hAnsi="Times New Roman" w:cs="Times New Roman"/>
          <w:noProof/>
          <w:sz w:val="24"/>
          <w:szCs w:val="24"/>
        </w:rPr>
      </w:pPr>
      <w:r>
        <w:rPr>
          <w:rFonts w:ascii="Times New Roman" w:hAnsi="Times New Roman"/>
          <w:noProof/>
          <w:sz w:val="24"/>
        </w:rPr>
        <w:t>По-доброто регулиране, отчетност и прозрачност продължават да имат определящо значение за начина на функциониране на настоящата Комисията, като всички институции на ЕС трябва да се прилагат тези принципи последователно и ангажирано, ако искаме да спечелим отново доверието на нашите граждани. Комисията ще работи в тясно сътрудничество с Европейския парламент и Съвета, за да гарантира, че Междуинституционалното споразумение за по-добро законотворчество се изпълнява и прилага изцяло, и ще се включи в конструктивни преговори с двете институции относно нашето неотдавнашно предложение за задължителен регистър за прозрачност, обхващащ Европейския парламент, Съвета и Комисията. Комисията ще предложи също така изменения на рамковото споразумение с Европейския парламент, за да се гарантира, че членовете на Комисията могат да участват в изборите за Европейски парламент.</w:t>
      </w:r>
    </w:p>
    <w:p>
      <w:pPr>
        <w:jc w:val="both"/>
        <w:rPr>
          <w:rFonts w:ascii="Times New Roman" w:hAnsi="Times New Roman" w:cs="Times New Roman"/>
          <w:noProof/>
          <w:sz w:val="24"/>
          <w:szCs w:val="24"/>
        </w:rPr>
      </w:pPr>
      <w:r>
        <w:rPr>
          <w:rFonts w:ascii="Times New Roman" w:hAnsi="Times New Roman"/>
          <w:noProof/>
          <w:sz w:val="24"/>
        </w:rPr>
        <w:t>Комисията ще предложи законодателство за привеждане на действащите нормативни актове в съответствие с разпоредбите на Договора относно делегираните актове и актовете за изпълнение, като по този начин бъде постепенно премахната процедурата по регулиране с контрол. Също така ще направим оценка на демократичната легитимност на съществуващите процедури за приемане на делегирани актове и актове за изпълнение, както и ще разгледаме възможностите за промяна на съществуващите процедури за приемане на някои вторични законодателни актове.</w:t>
      </w:r>
    </w:p>
    <w:p>
      <w:pPr>
        <w:jc w:val="both"/>
        <w:rPr>
          <w:rFonts w:ascii="Times New Roman" w:hAnsi="Times New Roman" w:cs="Times New Roman"/>
          <w:noProof/>
          <w:sz w:val="24"/>
          <w:szCs w:val="24"/>
        </w:rPr>
      </w:pPr>
      <w:r>
        <w:rPr>
          <w:rFonts w:ascii="Times New Roman" w:hAnsi="Times New Roman"/>
          <w:noProof/>
          <w:sz w:val="24"/>
        </w:rPr>
        <w:t>За да гарантира, че правните инструменти на ЕС имат желаното въздействие, Комисията възнамерява да положи повече усилия относно прилагането, изпълнението и привеждането в действие на законодателството на ЕС. Това включва пакет от мерки за по-добро прилагане на правилата за единния пазар, а в областта на околната среда — предложение по REFIT за опростяване на докладването по въпросите на околната среда след неотдавнашната проверка за пригодност, както мерки за улесняване на достъпа до правосъдие и за подкрепа за спазването на екологичните норми в държавите членки.</w:t>
      </w:r>
    </w:p>
    <w:p>
      <w:pPr>
        <w:tabs>
          <w:tab w:val="left" w:pos="284"/>
        </w:tabs>
        <w:spacing w:after="240"/>
        <w:jc w:val="both"/>
        <w:rPr>
          <w:rFonts w:ascii="Times New Roman Bold" w:hAnsi="Times New Roman Bold" w:cs="Times New Roman"/>
          <w:b/>
          <w:smallCaps/>
          <w:noProof/>
          <w:sz w:val="24"/>
          <w:szCs w:val="24"/>
        </w:rPr>
      </w:pPr>
      <w:r>
        <w:rPr>
          <w:rFonts w:ascii="Times New Roman Bold" w:hAnsi="Times New Roman Bold"/>
          <w:b/>
          <w:smallCaps/>
          <w:noProof/>
          <w:sz w:val="24"/>
        </w:rPr>
        <w:t>III.</w:t>
      </w:r>
      <w:r>
        <w:rPr>
          <w:noProof/>
        </w:rPr>
        <w:tab/>
      </w:r>
      <w:r>
        <w:rPr>
          <w:rFonts w:ascii="Times New Roman Bold" w:hAnsi="Times New Roman Bold"/>
          <w:b/>
          <w:smallCaps/>
          <w:noProof/>
          <w:sz w:val="24"/>
        </w:rPr>
        <w:t>Ускоряване на изпълнението на 10-те приоритета от трите институции</w:t>
      </w:r>
    </w:p>
    <w:p>
      <w:pPr>
        <w:jc w:val="both"/>
        <w:rPr>
          <w:rFonts w:ascii="Times New Roman" w:hAnsi="Times New Roman" w:cs="Times New Roman"/>
          <w:noProof/>
          <w:sz w:val="24"/>
          <w:szCs w:val="24"/>
        </w:rPr>
      </w:pPr>
      <w:r>
        <w:rPr>
          <w:rFonts w:ascii="Times New Roman" w:hAnsi="Times New Roman"/>
          <w:noProof/>
          <w:sz w:val="24"/>
        </w:rPr>
        <w:t>Нашата програма, обявена от председателя в обръщението му за състоянието на Съюза от 14 септември 2016 г.</w:t>
      </w:r>
      <w:r>
        <w:rPr>
          <w:rStyle w:val="FootnoteReference"/>
          <w:rFonts w:ascii="Times New Roman" w:hAnsi="Times New Roman"/>
          <w:noProof/>
          <w:sz w:val="24"/>
        </w:rPr>
        <w:footnoteReference w:id="47"/>
      </w:r>
      <w:r>
        <w:rPr>
          <w:rFonts w:ascii="Times New Roman" w:hAnsi="Times New Roman"/>
          <w:noProof/>
          <w:sz w:val="24"/>
        </w:rPr>
        <w:t>, отразява не само заявените пред нас очаквания на гражданите спрямо дейността на ЕС, нашите диалози с пряко избраните членове на Европейския парламент</w:t>
      </w:r>
      <w:r>
        <w:rPr>
          <w:rStyle w:val="FootnoteReference"/>
          <w:rFonts w:ascii="Times New Roman" w:hAnsi="Times New Roman"/>
          <w:noProof/>
          <w:sz w:val="24"/>
        </w:rPr>
        <w:footnoteReference w:id="48"/>
      </w:r>
      <w:r>
        <w:rPr>
          <w:rFonts w:ascii="Times New Roman" w:hAnsi="Times New Roman"/>
          <w:noProof/>
          <w:sz w:val="24"/>
        </w:rPr>
        <w:t xml:space="preserve"> и със Съвета, в който са представени всички национални правителства</w:t>
      </w:r>
      <w:r>
        <w:rPr>
          <w:rStyle w:val="FootnoteReference"/>
          <w:rFonts w:ascii="Times New Roman" w:hAnsi="Times New Roman"/>
          <w:noProof/>
          <w:sz w:val="24"/>
        </w:rPr>
        <w:footnoteReference w:id="49"/>
      </w:r>
      <w:r>
        <w:rPr>
          <w:rFonts w:ascii="Times New Roman" w:hAnsi="Times New Roman"/>
          <w:noProof/>
          <w:sz w:val="24"/>
        </w:rPr>
        <w:t>, както и становищата на Европейския икономически и социален комитет</w:t>
      </w:r>
      <w:r>
        <w:rPr>
          <w:rStyle w:val="FootnoteReference"/>
          <w:rFonts w:ascii="Times New Roman" w:hAnsi="Times New Roman"/>
          <w:noProof/>
          <w:sz w:val="24"/>
        </w:rPr>
        <w:footnoteReference w:id="50"/>
      </w:r>
      <w:r>
        <w:rPr>
          <w:rFonts w:ascii="Times New Roman" w:hAnsi="Times New Roman"/>
          <w:noProof/>
          <w:sz w:val="24"/>
        </w:rPr>
        <w:t xml:space="preserve"> и Комитета на регионите</w:t>
      </w:r>
      <w:r>
        <w:rPr>
          <w:rStyle w:val="FootnoteReference"/>
          <w:rFonts w:ascii="Times New Roman" w:hAnsi="Times New Roman"/>
          <w:noProof/>
          <w:sz w:val="24"/>
        </w:rPr>
        <w:footnoteReference w:id="51"/>
      </w:r>
      <w:r>
        <w:rPr>
          <w:rFonts w:ascii="Times New Roman" w:hAnsi="Times New Roman"/>
          <w:noProof/>
          <w:sz w:val="24"/>
        </w:rPr>
        <w:t>, но също така е в пълно съответствие с приоритетите, установени от 27-те държавни и правителствени глави в Братислава</w:t>
      </w:r>
      <w:r>
        <w:rPr>
          <w:rStyle w:val="FootnoteReference"/>
          <w:rFonts w:ascii="Times New Roman" w:hAnsi="Times New Roman"/>
          <w:noProof/>
          <w:sz w:val="24"/>
        </w:rPr>
        <w:footnoteReference w:id="52"/>
      </w:r>
      <w:r>
        <w:rPr>
          <w:rFonts w:ascii="Times New Roman" w:hAnsi="Times New Roman"/>
          <w:noProof/>
          <w:sz w:val="24"/>
        </w:rPr>
        <w:t>.</w:t>
      </w:r>
    </w:p>
    <w:p>
      <w:pPr>
        <w:jc w:val="both"/>
        <w:rPr>
          <w:rFonts w:ascii="Times New Roman" w:hAnsi="Times New Roman" w:cs="Times New Roman"/>
          <w:noProof/>
          <w:sz w:val="24"/>
          <w:szCs w:val="24"/>
        </w:rPr>
      </w:pPr>
      <w:r>
        <w:rPr>
          <w:rFonts w:ascii="Times New Roman" w:hAnsi="Times New Roman"/>
          <w:noProof/>
          <w:sz w:val="24"/>
        </w:rPr>
        <w:t>През следващата година настоящата Комисия ще се съсредоточи върху постигането на резултати, но не можем да се справим сами. Нашият конструктивен диалог с Европейския парламент и със Съвета преди представянето на настоящата Работна програма изгради споделено разбиране за бъдещите приоритети в съответствие с новото Междуинституционално споразумение за по-добро законотворчество</w:t>
      </w:r>
      <w:r>
        <w:rPr>
          <w:rStyle w:val="FootnoteReference"/>
          <w:rFonts w:ascii="Times New Roman" w:hAnsi="Times New Roman"/>
          <w:noProof/>
          <w:sz w:val="24"/>
        </w:rPr>
        <w:footnoteReference w:id="53"/>
      </w:r>
      <w:r>
        <w:rPr>
          <w:rFonts w:ascii="Times New Roman" w:hAnsi="Times New Roman"/>
          <w:noProof/>
          <w:sz w:val="24"/>
        </w:rPr>
        <w:t>. Комисията гледа на това споразумение като на съвместен ангажимент за съсредоточаване върху големите и спешни въпроси, като същевременно се поддържа стремеж към опростени, основани на факти, предвидими и пропорционални нормативни актове, които осигуряват постигането на максимални ползи за гражданите и предприятията.</w:t>
      </w:r>
    </w:p>
    <w:p>
      <w:pPr>
        <w:jc w:val="both"/>
        <w:rPr>
          <w:rFonts w:ascii="Times New Roman" w:hAnsi="Times New Roman" w:cs="Times New Roman"/>
          <w:noProof/>
          <w:sz w:val="24"/>
          <w:szCs w:val="24"/>
        </w:rPr>
      </w:pPr>
      <w:r>
        <w:rPr>
          <w:rFonts w:ascii="Times New Roman" w:hAnsi="Times New Roman"/>
          <w:noProof/>
          <w:sz w:val="24"/>
        </w:rPr>
        <w:t>Поради това очакваме да работим през следващите седмици с Европейския парламент и със Съвета за одобряването на съвместна декларация на тримата председатели, в която ще бъдат очертани общите приоритети и цели за 2017 г. и ще бъдат определени предложения, на които трябва да бъде отдадено предимство в законодателния процес. Това е нов споделен ангажимент съгласно Междуинституционалното споразумение</w:t>
      </w:r>
      <w:r>
        <w:rPr>
          <w:rStyle w:val="FootnoteReference"/>
          <w:rFonts w:ascii="Times New Roman" w:hAnsi="Times New Roman"/>
          <w:noProof/>
          <w:sz w:val="24"/>
        </w:rPr>
        <w:footnoteReference w:id="54"/>
      </w:r>
      <w:r>
        <w:rPr>
          <w:rFonts w:ascii="Times New Roman" w:hAnsi="Times New Roman"/>
          <w:noProof/>
          <w:sz w:val="24"/>
        </w:rPr>
        <w:t>. Настоящата Работна програма представлява основа за това общо становище и изтъква внесените предложения</w:t>
      </w:r>
      <w:r>
        <w:rPr>
          <w:rStyle w:val="FootnoteReference"/>
          <w:rFonts w:ascii="Times New Roman" w:hAnsi="Times New Roman"/>
          <w:noProof/>
          <w:sz w:val="24"/>
        </w:rPr>
        <w:footnoteReference w:id="55"/>
      </w:r>
      <w:r>
        <w:rPr>
          <w:rFonts w:ascii="Times New Roman" w:hAnsi="Times New Roman"/>
          <w:noProof/>
          <w:sz w:val="24"/>
        </w:rPr>
        <w:t>, по отношение на които Комисията е на мнение, че напредъкът е от най-голямо значение, за да може Съюзът да превърне предложенията в действия и да постигне резултати там, където е най-необходимо.</w:t>
      </w:r>
    </w:p>
    <w:sectPr>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1984779"/>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autoSpaceDE w:val="0"/>
        <w:autoSpaceDN w:val="0"/>
        <w:adjustRightInd w:val="0"/>
        <w:spacing w:after="0" w:line="240" w:lineRule="auto"/>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Приложение I.</w:t>
      </w:r>
    </w:p>
  </w:footnote>
  <w:footnote w:id="2">
    <w:p>
      <w:pPr>
        <w:autoSpaceDE w:val="0"/>
        <w:autoSpaceDN w:val="0"/>
        <w:adjustRightInd w:val="0"/>
        <w:spacing w:after="0" w:line="240" w:lineRule="auto"/>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Приложение II.</w:t>
      </w:r>
    </w:p>
  </w:footnote>
  <w:footnote w:id="3">
    <w:p>
      <w:pPr>
        <w:autoSpaceDE w:val="0"/>
        <w:autoSpaceDN w:val="0"/>
        <w:adjustRightInd w:val="0"/>
        <w:spacing w:after="0" w:line="240" w:lineRule="auto"/>
        <w:jc w:val="both"/>
        <w:rPr>
          <w:rFonts w:ascii="Times New Roman" w:hAnsi="Times New Roman" w:cs="Times New Roman"/>
          <w:sz w:val="20"/>
          <w:szCs w:val="20"/>
        </w:rPr>
      </w:pPr>
      <w:r>
        <w:rPr>
          <w:rStyle w:val="FootnoteReference"/>
          <w:rFonts w:ascii="Times New Roman" w:hAnsi="Times New Roman"/>
          <w:sz w:val="20"/>
        </w:rPr>
        <w:footnoteRef/>
      </w:r>
      <w:r>
        <w:rPr>
          <w:rStyle w:val="FootnoteReference"/>
          <w:rFonts w:ascii="Times New Roman" w:hAnsi="Times New Roman"/>
          <w:sz w:val="20"/>
        </w:rPr>
        <w:t xml:space="preserve"> </w:t>
      </w:r>
      <w:r>
        <w:rPr>
          <w:rFonts w:ascii="Times New Roman" w:hAnsi="Times New Roman"/>
          <w:sz w:val="20"/>
        </w:rPr>
        <w:t>С изключение на стандартната декларация за ДДС, относно която предходно предложение на Комисията трябваше да бъде оттеглено тази година поради липса на подкрепа от страна на Съвета в законодателната процедура. Примерите в тазгодишната Работна програма за предприети от Комисията последващи действия включват: предложенията за изменение на законодателството на ЕС за правото на неприкосновеност на личния живот в електронните комуникации и за ДДС (вж. приложение I), както и предложението за акт за изпълнение съгласно Директивата относно отпадъците от електрическо и електронно оборудване (ОЕЕО) (вж. приложение II).</w:t>
      </w:r>
    </w:p>
  </w:footnote>
  <w:footnote w:id="4">
    <w:p>
      <w:pPr>
        <w:autoSpaceDE w:val="0"/>
        <w:autoSpaceDN w:val="0"/>
        <w:adjustRightInd w:val="0"/>
        <w:spacing w:after="0" w:line="240" w:lineRule="auto"/>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Приложение V.</w:t>
      </w:r>
    </w:p>
  </w:footnote>
  <w:footnote w:id="5">
    <w:p>
      <w:pPr>
        <w:autoSpaceDE w:val="0"/>
        <w:autoSpaceDN w:val="0"/>
        <w:adjustRightInd w:val="0"/>
        <w:spacing w:after="0" w:line="240" w:lineRule="auto"/>
        <w:jc w:val="both"/>
        <w:rPr>
          <w:rFonts w:ascii="Times New Roman" w:hAnsi="Times New Roman" w:cs="Times New Roman"/>
          <w:sz w:val="20"/>
          <w:szCs w:val="20"/>
        </w:rPr>
      </w:pPr>
      <w:r>
        <w:rPr>
          <w:rStyle w:val="FootnoteReference"/>
          <w:rFonts w:ascii="Times New Roman" w:hAnsi="Times New Roman"/>
          <w:sz w:val="20"/>
        </w:rPr>
        <w:footnoteRef/>
      </w:r>
      <w:r>
        <w:rPr>
          <w:rStyle w:val="FootnoteReference"/>
          <w:rFonts w:ascii="Times New Roman" w:hAnsi="Times New Roman"/>
          <w:sz w:val="20"/>
        </w:rPr>
        <w:t xml:space="preserve"> </w:t>
      </w:r>
      <w:r>
        <w:rPr>
          <w:rFonts w:ascii="Times New Roman" w:hAnsi="Times New Roman"/>
          <w:sz w:val="20"/>
        </w:rPr>
        <w:t>Приложение IV.</w:t>
      </w:r>
    </w:p>
  </w:footnote>
  <w:footnote w:id="6">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Решение на Комисията от 25.11.2014 г. за публикуване на информация относно проведените срещи между членове на Комисията и организации или самостоятелно заети физически лица (C(2014)9051 final) и Решение на Комисията от 25.11.2014 г. за публикуване на информация относно проведените срещи между генерални директори на Комисията и организации или самостоятелно заети физически лица (C(2014)9048 final).</w:t>
      </w:r>
    </w:p>
  </w:footnote>
  <w:footnote w:id="7">
    <w:p>
      <w:pPr>
        <w:pStyle w:val="FootnoteText"/>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COM(2016) 627 final.</w:t>
      </w:r>
    </w:p>
  </w:footnote>
  <w:footnote w:id="8">
    <w:p>
      <w:pPr>
        <w:pStyle w:val="FootnoteText"/>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http://ec.europa.eu/priorities/docs/pg_bg.pdf</w:t>
      </w:r>
    </w:p>
  </w:footnote>
  <w:footnote w:id="9">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 този контекст Комисията ще съсредоточи дейностите си в областта на комуникацията през 2017 г. върху приоритетите на Комисията въз основа на действията за институционална комуникация през 2017—2018 г. по линия на многогодишната финансова рамка за периода 2014—2020 г. (С(2016) 6838 от 25.10.2016 г.).  </w:t>
      </w:r>
    </w:p>
  </w:footnote>
  <w:footnote w:id="10">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COM(2016) 646 final.</w:t>
      </w:r>
    </w:p>
  </w:footnote>
  <w:footnote w:id="11">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С цел да бъде подкрепено изпълнението на място неотдавна предложихме увеличаване на съществуващото финансиране на Инициативата за младежка заетост с допълнителни 2 милиарда евро за периода 2017—2020 г.</w:t>
      </w:r>
    </w:p>
  </w:footnote>
  <w:footnote w:id="12">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Както бе споменато по-горе, в рамките на едва година Европейският фонд за стратегически инвестиции започна да действа в 27 държави членки и доведе до 138 милиарда евро инвестиции, включително ново финансиране за близо 300 000 малки и средни предприятия.</w:t>
      </w:r>
    </w:p>
  </w:footnote>
  <w:footnote w:id="13">
    <w:p>
      <w:pPr>
        <w:pStyle w:val="FootnoteText"/>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COM(2016)581 final.</w:t>
      </w:r>
    </w:p>
  </w:footnote>
  <w:footnote w:id="14">
    <w:p>
      <w:pPr>
        <w:pStyle w:val="FootnoteText"/>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COM(2016)603 final.</w:t>
      </w:r>
    </w:p>
  </w:footnote>
  <w:footnote w:id="15">
    <w:p>
      <w:pPr>
        <w:pStyle w:val="FootnoteText"/>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COM(2015)634 final, COM(2015)635/2 final. </w:t>
      </w:r>
    </w:p>
  </w:footnote>
  <w:footnote w:id="16">
    <w:p>
      <w:pPr>
        <w:pStyle w:val="FootnoteText"/>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COM(2016)593 final, COM(2016)594 final, COM(2016)595 final, COM(2016)596 final.</w:t>
      </w:r>
    </w:p>
  </w:footnote>
  <w:footnote w:id="17">
    <w:p>
      <w:pPr>
        <w:pStyle w:val="FootnoteText"/>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COM(2016)289 final.</w:t>
      </w:r>
    </w:p>
  </w:footnote>
  <w:footnote w:id="18">
    <w:p>
      <w:pPr>
        <w:pStyle w:val="FootnoteText"/>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COM(2015)627 final.</w:t>
      </w:r>
    </w:p>
  </w:footnote>
  <w:footnote w:id="19">
    <w:p>
      <w:pPr>
        <w:pStyle w:val="FootnoteText"/>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COM(2016)285 final.</w:t>
      </w:r>
    </w:p>
  </w:footnote>
  <w:footnote w:id="20">
    <w:p>
      <w:pPr>
        <w:pStyle w:val="FootnoteText"/>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COM(2016)287 final.</w:t>
      </w:r>
    </w:p>
  </w:footnote>
  <w:footnote w:id="21">
    <w:p>
      <w:pPr>
        <w:pStyle w:val="FootnoteText"/>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COM(2016)590 final, COM(2016)591final. </w:t>
      </w:r>
    </w:p>
  </w:footnote>
  <w:footnote w:id="22">
    <w:p>
      <w:pPr>
        <w:pStyle w:val="FootnoteText"/>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COM(2016)43 final.</w:t>
      </w:r>
    </w:p>
  </w:footnote>
  <w:footnote w:id="23">
    <w:p>
      <w:pPr>
        <w:pStyle w:val="FootnoteText"/>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COM(2016)589 final.</w:t>
      </w:r>
    </w:p>
  </w:footnote>
  <w:footnote w:id="24">
    <w:p>
      <w:pPr>
        <w:pStyle w:val="FootnoteText"/>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COM(2016)52 final и COM(2016)53 final/2.</w:t>
      </w:r>
    </w:p>
  </w:footnote>
  <w:footnote w:id="25">
    <w:p>
      <w:pPr>
        <w:pStyle w:val="FootnoteText"/>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COM(2015)337 final/2.</w:t>
      </w:r>
    </w:p>
  </w:footnote>
  <w:footnote w:id="26">
    <w:p>
      <w:pPr>
        <w:pStyle w:val="FootnoteText"/>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COM(2016)482 final/2.</w:t>
      </w:r>
    </w:p>
  </w:footnote>
  <w:footnote w:id="27">
    <w:p>
      <w:pPr>
        <w:pStyle w:val="FootnoteText"/>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COM(2016)479 final.</w:t>
      </w:r>
    </w:p>
  </w:footnote>
  <w:footnote w:id="28">
    <w:p>
      <w:pPr>
        <w:pStyle w:val="FootnoteText"/>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COM(2016) 683 и COM(2016) 685.  </w:t>
      </w:r>
    </w:p>
  </w:footnote>
  <w:footnote w:id="29">
    <w:p>
      <w:pPr>
        <w:pStyle w:val="FootnoteText"/>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COM(2016) 686 и COM(2016) 687. </w:t>
      </w:r>
    </w:p>
  </w:footnote>
  <w:footnote w:id="30">
    <w:p>
      <w:pPr>
        <w:pStyle w:val="FootnoteText"/>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COM(2015)603 final.</w:t>
      </w:r>
    </w:p>
  </w:footnote>
  <w:footnote w:id="31">
    <w:p>
      <w:pPr>
        <w:pStyle w:val="FootnoteText"/>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COM(2015)586 final/2.</w:t>
      </w:r>
    </w:p>
  </w:footnote>
  <w:footnote w:id="32">
    <w:p>
      <w:pPr>
        <w:pStyle w:val="FootnoteText"/>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COM(2015)472 final/2.</w:t>
      </w:r>
    </w:p>
  </w:footnote>
  <w:footnote w:id="33">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COM(2015)583 final.</w:t>
      </w:r>
    </w:p>
  </w:footnote>
  <w:footnote w:id="34">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COM(2013)192 final.</w:t>
      </w:r>
    </w:p>
  </w:footnote>
  <w:footnote w:id="35">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Заключения на Европейския съвет – Брюксел, 20—21/10/2016 г., точка 14: </w:t>
      </w:r>
      <w:r>
        <w:rPr>
          <w:rFonts w:ascii="Times New Roman" w:hAnsi="Times New Roman"/>
          <w:i/>
        </w:rPr>
        <w:t>Той също така приканва Комисията да продължи преговорите с властите на САЩ, за да може да се представи амбициозно, балансирано и всеобхватно споразумение за свободна търговия.</w:t>
      </w:r>
    </w:p>
  </w:footnote>
  <w:footnote w:id="36">
    <w:p>
      <w:pPr>
        <w:pStyle w:val="FootnoteText"/>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COM(2016) 194 final и COM(2016) 196 final.</w:t>
      </w:r>
    </w:p>
  </w:footnote>
  <w:footnote w:id="37">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COM(2015)670 final.</w:t>
      </w:r>
    </w:p>
  </w:footnote>
  <w:footnote w:id="38">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Първият доклад на Комисията за напредъка към ефективен и действителен Съюз на сигурност бе приет на 12 октомври 2016 г. — COM(2016)670 final.</w:t>
      </w:r>
    </w:p>
  </w:footnote>
  <w:footnote w:id="39">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 (Общ регламент относно защитата на данните), (ОВ L 119, 4.5.2016 г.).</w:t>
      </w:r>
    </w:p>
  </w:footnote>
  <w:footnote w:id="40">
    <w:p>
      <w:pPr>
        <w:pStyle w:val="FootnoteText"/>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COM(2016)270 final/2.</w:t>
      </w:r>
    </w:p>
  </w:footnote>
  <w:footnote w:id="41">
    <w:p>
      <w:pPr>
        <w:pStyle w:val="FootnoteText"/>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COM(2016)271 final.</w:t>
      </w:r>
    </w:p>
  </w:footnote>
  <w:footnote w:id="42">
    <w:p>
      <w:pPr>
        <w:pStyle w:val="FootnoteText"/>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COM(2016)272 final/2.</w:t>
      </w:r>
    </w:p>
  </w:footnote>
  <w:footnote w:id="43">
    <w:p>
      <w:pPr>
        <w:pStyle w:val="FootnoteText"/>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COM(2016)468 final.</w:t>
      </w:r>
    </w:p>
  </w:footnote>
  <w:footnote w:id="44">
    <w:p>
      <w:pPr>
        <w:pStyle w:val="FootnoteText"/>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COM(2016)378 final.</w:t>
      </w:r>
    </w:p>
  </w:footnote>
  <w:footnote w:id="45">
    <w:p>
      <w:pPr>
        <w:pStyle w:val="FootnoteText"/>
        <w:rPr>
          <w:rFonts w:ascii="Times New Roman" w:hAnsi="Times New Roman" w:cs="Times New Roman"/>
          <w:bCs/>
          <w:lang w:val="pt-PT"/>
        </w:rPr>
      </w:pPr>
      <w:r>
        <w:rPr>
          <w:rStyle w:val="FootnoteReference"/>
          <w:rFonts w:ascii="Times New Roman" w:hAnsi="Times New Roman"/>
        </w:rPr>
        <w:footnoteRef/>
      </w:r>
      <w:r>
        <w:rPr>
          <w:rFonts w:ascii="Times New Roman" w:hAnsi="Times New Roman"/>
        </w:rPr>
        <w:t xml:space="preserve"> COM(2016) 385 final.</w:t>
      </w:r>
    </w:p>
  </w:footnote>
  <w:footnote w:id="46">
    <w:p>
      <w:pPr>
        <w:pStyle w:val="FootnoteText"/>
        <w:rPr>
          <w:rFonts w:ascii="Times New Roman" w:hAnsi="Times New Roman" w:cs="Times New Roman"/>
          <w:lang w:val="pt-PT"/>
        </w:rPr>
      </w:pPr>
      <w:r>
        <w:rPr>
          <w:rStyle w:val="FootnoteReference"/>
          <w:rFonts w:ascii="Times New Roman" w:hAnsi="Times New Roman"/>
        </w:rPr>
        <w:footnoteRef/>
      </w:r>
      <w:r>
        <w:rPr>
          <w:rStyle w:val="FootnoteReference"/>
          <w:rFonts w:ascii="Times New Roman" w:hAnsi="Times New Roman"/>
        </w:rPr>
        <w:t xml:space="preserve"> </w:t>
      </w:r>
      <w:r>
        <w:rPr>
          <w:rFonts w:ascii="Times New Roman" w:hAnsi="Times New Roman"/>
        </w:rPr>
        <w:t>COM(2016)581 final.</w:t>
      </w:r>
    </w:p>
  </w:footnote>
  <w:footnote w:id="47">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1" w:history="1">
        <w:r>
          <w:rPr>
            <w:rStyle w:val="Hyperlink"/>
            <w:rFonts w:ascii="Times New Roman" w:hAnsi="Times New Roman" w:cs="Times New Roman"/>
            <w:lang w:val="pt-PT"/>
          </w:rPr>
          <w:t>http://ec.europa.eu/priorities/state-union-2016_bg</w:t>
        </w:r>
      </w:hyperlink>
      <w:r>
        <w:rPr>
          <w:rStyle w:val="Hyperlink"/>
          <w:rFonts w:ascii="Times New Roman" w:hAnsi="Times New Roman" w:cs="Times New Roman"/>
          <w:lang w:val="pt-PT"/>
        </w:rPr>
        <w:t>.</w:t>
      </w:r>
      <w:r>
        <w:rPr>
          <w:rStyle w:val="Hyperlink"/>
          <w:rFonts w:ascii="Times New Roman" w:hAnsi="Times New Roman" w:cs="Times New Roman"/>
          <w:u w:val="none"/>
          <w:lang w:val="pt-PT"/>
        </w:rPr>
        <w:t xml:space="preserve"> </w:t>
      </w:r>
      <w:r>
        <w:rPr>
          <w:rFonts w:ascii="Times New Roman" w:hAnsi="Times New Roman"/>
        </w:rPr>
        <w:t xml:space="preserve">Вж. също Писмото за намеренията, подписано от председателя и първия заместник-председател и адресирано до председателите на Европейския парламент и на Съвета. На тази основа първият заместник-председател проведе дискусии със Съвета по общи въпроси на 20 септември, а Комисията се срещна със Съвета на председателите на комисии на 3 и 4 октомври. </w:t>
      </w:r>
    </w:p>
  </w:footnote>
  <w:footnote w:id="48">
    <w:p>
      <w:pPr>
        <w:autoSpaceDE w:val="0"/>
        <w:autoSpaceDN w:val="0"/>
        <w:adjustRightInd w:val="0"/>
        <w:spacing w:after="0" w:line="240" w:lineRule="auto"/>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hyperlink r:id="rId2">
        <w:r>
          <w:rPr>
            <w:rStyle w:val="Hyperlink"/>
            <w:rFonts w:ascii="Times New Roman" w:hAnsi="Times New Roman"/>
            <w:sz w:val="20"/>
          </w:rPr>
          <w:t>http://www.europarl.europa.eu/sides/getDoc.do?pubRef=-//EP//TEXT+TA+P8-TA-2016-0312+0+DOC+XML+V0//BG</w:t>
        </w:r>
      </w:hyperlink>
    </w:p>
  </w:footnote>
  <w:footnote w:id="49">
    <w:p>
      <w:pPr>
        <w:autoSpaceDE w:val="0"/>
        <w:autoSpaceDN w:val="0"/>
        <w:adjustRightInd w:val="0"/>
        <w:spacing w:after="0" w:line="240" w:lineRule="auto"/>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Писмо от 4 октомври от председателя на Съвета по общи въпроси до председателя и първия заместник-председател на Комисията. </w:t>
      </w:r>
    </w:p>
  </w:footnote>
  <w:footnote w:id="50">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3">
        <w:r>
          <w:rPr>
            <w:rStyle w:val="Hyperlink"/>
            <w:rFonts w:ascii="Times New Roman" w:hAnsi="Times New Roman"/>
          </w:rPr>
          <w:t>http://www.eesc.europa.eu/resources/docs/eesc_contribution-to-ec--2017-workprogramme_en.pdf</w:t>
        </w:r>
      </w:hyperlink>
    </w:p>
  </w:footnote>
  <w:footnote w:id="51">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4">
        <w:r>
          <w:rPr>
            <w:rStyle w:val="Hyperlink"/>
            <w:rFonts w:ascii="Times New Roman" w:hAnsi="Times New Roman"/>
          </w:rPr>
          <w:t>https://toad.cor.europa.eu/corwipdetail.aspx?folderpath=RESOL-VI%2f010&amp;id=24254</w:t>
        </w:r>
      </w:hyperlink>
      <w:r>
        <w:rPr>
          <w:rFonts w:ascii="Times New Roman" w:hAnsi="Times New Roman"/>
        </w:rPr>
        <w:t xml:space="preserve"> </w:t>
      </w:r>
    </w:p>
  </w:footnote>
  <w:footnote w:id="52">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5">
        <w:r>
          <w:rPr>
            <w:rStyle w:val="Hyperlink"/>
            <w:rFonts w:ascii="Times New Roman" w:hAnsi="Times New Roman"/>
          </w:rPr>
          <w:t>http://www.consilium.europa.eu/bg/press/press-releases/2016/09/16-bratislava-declaration-and-roadmap</w:t>
        </w:r>
      </w:hyperlink>
    </w:p>
  </w:footnote>
  <w:footnote w:id="53">
    <w:p>
      <w:pPr>
        <w:autoSpaceDE w:val="0"/>
        <w:autoSpaceDN w:val="0"/>
        <w:adjustRightInd w:val="0"/>
        <w:spacing w:after="0" w:line="240" w:lineRule="auto"/>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hyperlink r:id="rId6">
        <w:r>
          <w:rPr>
            <w:rStyle w:val="Hyperlink"/>
            <w:rFonts w:ascii="Times New Roman" w:hAnsi="Times New Roman"/>
            <w:sz w:val="20"/>
          </w:rPr>
          <w:t>http://eur-lex.europa.eu/legal-content/BG/TXT/PDF/?uri=OJ:L:2016:123:FULL&amp;from=BG</w:t>
        </w:r>
      </w:hyperlink>
    </w:p>
  </w:footnote>
  <w:footnote w:id="54">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Точка 7 от Междуинституционалното споразумение за по-добро законотворчество.</w:t>
      </w:r>
    </w:p>
  </w:footnote>
  <w:footnote w:id="55">
    <w:p>
      <w:pPr>
        <w:autoSpaceDE w:val="0"/>
        <w:autoSpaceDN w:val="0"/>
        <w:adjustRightInd w:val="0"/>
        <w:spacing w:after="0" w:line="240" w:lineRule="auto"/>
        <w:rPr>
          <w:rFonts w:ascii="Times New Roman" w:hAnsi="Times New Roman" w:cs="Times New Roman"/>
          <w:sz w:val="20"/>
          <w:szCs w:val="20"/>
        </w:rPr>
      </w:pPr>
      <w:r>
        <w:rPr>
          <w:rStyle w:val="FootnoteReference"/>
          <w:rFonts w:ascii="Times New Roman" w:hAnsi="Times New Roman"/>
          <w:sz w:val="20"/>
        </w:rPr>
        <w:footnoteRef/>
      </w:r>
      <w:r>
        <w:rPr>
          <w:rStyle w:val="FootnoteReference"/>
          <w:rFonts w:ascii="Times New Roman" w:hAnsi="Times New Roman"/>
          <w:sz w:val="20"/>
        </w:rPr>
        <w:t xml:space="preserve"> </w:t>
      </w:r>
      <w:r>
        <w:rPr>
          <w:rFonts w:ascii="Times New Roman" w:hAnsi="Times New Roman"/>
          <w:sz w:val="20"/>
        </w:rPr>
        <w:t>Приложение III.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D3954ED37D0B43DCB1FF89F0E8524542"/>
    <w:docVar w:name="LW_CROSSREFERENCE" w:val="{SWD(2016) 400 final}"/>
    <w:docVar w:name="LW_DocType" w:val="NORMAL"/>
    <w:docVar w:name="LW_EMISSION" w:val="25.10.2016"/>
    <w:docVar w:name="LW_EMISSION_ISODATE" w:val="2016-10-25"/>
    <w:docVar w:name="LW_EMISSION_LOCATION" w:val="STR"/>
    <w:docVar w:name="LW_EMISSION_PREFIX" w:val="Страсбург, "/>
    <w:docVar w:name="LW_EMISSION_SUFFIX" w:val=" \u1075?."/>
    <w:docVar w:name="LW_ID_DOCTYPE_NONLW" w:val="CP-014"/>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6) 710"/>
    <w:docVar w:name="LW_REF.INTERNE" w:val="&lt;UNUSED&gt;"/>
    <w:docVar w:name="LW_SOUS.TITRE.OBJ.CP" w:val="&lt;UNUSED&gt;"/>
    <w:docVar w:name="LW_SUPERTITRE" w:val="&lt;UNUSED&gt;"/>
    <w:docVar w:name="LW_TITRE.OBJ.CP" w:val="_x000b_\u1056?\u1072?\u1073?\u1086?\u1090?\u1085?\u1072? \u1087?\u1088?\u1086?\u1075?\u1088?\u1072?\u1084?\u1072? \u1085?\u1072? \u1050?\u1086?\u1084?\u1080?\u1089?\u1080?\u1103?\u1090?\u1072? \u1079?\u1072? 2017 \u1075?._x000b__x000b_\u1045?\u1074?\u1088?\u1086?\u1087?\u1072? \u1085?\u1072? \u1088?\u1077?\u1079?\u1091?\u1083?\u1090?\u1072?\u1090?\u1080?\u1090?\u1077?: \u1079?\u1072?\u1082?\u1088?\u1080?\u1083?\u1072?, \u1087?\u1088?\u1077?\u1076?\u1086?\u1089?\u1090?\u1072?\u1074?\u1103?\u1085?\u1077? \u1085?\u1072? \u1087?\u1086?\u1074?\u1077?\u1095?\u1077? \u1087?\u1088?\u1072?\u1074?\u1072? \u1080? \u1079?\u1072?\u1097?\u1080?\u1090?\u1072? \u1085?\u1072? \u1075?\u1088?\u1072?\u1078?\u1076?\u1072?\u1085?\u1080?\u1090?\u1077?"/>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 w:type="character" w:styleId="Hyperlink">
    <w:name w:val="Hyperlink"/>
    <w:basedOn w:val="DefaultParagraphFont"/>
    <w:uiPriority w:val="99"/>
    <w:unhideWhenUsed/>
    <w:rPr>
      <w:color w:val="0000FF" w:themeColor="hyperlink"/>
      <w:u w:val="single"/>
    </w:rPr>
  </w:style>
  <w:style w:type="character" w:customStyle="1" w:styleId="tgc">
    <w:name w:val="_tgc"/>
    <w:basedOn w:val="DefaultParagraphFont"/>
  </w:style>
  <w:style w:type="character" w:styleId="Strong">
    <w:name w:val="Strong"/>
    <w:basedOn w:val="DefaultParagraphFont"/>
    <w:uiPriority w:val="22"/>
    <w:qFormat/>
    <w:rPr>
      <w:b/>
      <w:bCs/>
    </w:rPr>
  </w:style>
  <w:style w:type="paragraph" w:customStyle="1" w:styleId="Text2">
    <w:name w:val="Text 2"/>
    <w:basedOn w:val="Normal"/>
    <w:pPr>
      <w:tabs>
        <w:tab w:val="left" w:pos="2302"/>
      </w:tabs>
      <w:spacing w:after="240" w:line="240" w:lineRule="auto"/>
      <w:ind w:left="1202"/>
      <w:jc w:val="both"/>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 w:type="character" w:styleId="Hyperlink">
    <w:name w:val="Hyperlink"/>
    <w:basedOn w:val="DefaultParagraphFont"/>
    <w:uiPriority w:val="99"/>
    <w:unhideWhenUsed/>
    <w:rPr>
      <w:color w:val="0000FF" w:themeColor="hyperlink"/>
      <w:u w:val="single"/>
    </w:rPr>
  </w:style>
  <w:style w:type="character" w:customStyle="1" w:styleId="tgc">
    <w:name w:val="_tgc"/>
    <w:basedOn w:val="DefaultParagraphFont"/>
  </w:style>
  <w:style w:type="character" w:styleId="Strong">
    <w:name w:val="Strong"/>
    <w:basedOn w:val="DefaultParagraphFont"/>
    <w:uiPriority w:val="22"/>
    <w:qFormat/>
    <w:rPr>
      <w:b/>
      <w:bCs/>
    </w:rPr>
  </w:style>
  <w:style w:type="paragraph" w:customStyle="1" w:styleId="Text2">
    <w:name w:val="Text 2"/>
    <w:basedOn w:val="Normal"/>
    <w:pPr>
      <w:tabs>
        <w:tab w:val="left" w:pos="2302"/>
      </w:tabs>
      <w:spacing w:after="240" w:line="240" w:lineRule="auto"/>
      <w:ind w:left="1202"/>
      <w:jc w:val="both"/>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76283">
      <w:bodyDiv w:val="1"/>
      <w:marLeft w:val="0"/>
      <w:marRight w:val="0"/>
      <w:marTop w:val="0"/>
      <w:marBottom w:val="0"/>
      <w:divBdr>
        <w:top w:val="none" w:sz="0" w:space="0" w:color="auto"/>
        <w:left w:val="none" w:sz="0" w:space="0" w:color="auto"/>
        <w:bottom w:val="none" w:sz="0" w:space="0" w:color="auto"/>
        <w:right w:val="none" w:sz="0" w:space="0" w:color="auto"/>
      </w:divBdr>
    </w:div>
    <w:div w:id="1578974671">
      <w:bodyDiv w:val="1"/>
      <w:marLeft w:val="0"/>
      <w:marRight w:val="0"/>
      <w:marTop w:val="0"/>
      <w:marBottom w:val="0"/>
      <w:divBdr>
        <w:top w:val="none" w:sz="0" w:space="0" w:color="auto"/>
        <w:left w:val="none" w:sz="0" w:space="0" w:color="auto"/>
        <w:bottom w:val="none" w:sz="0" w:space="0" w:color="auto"/>
        <w:right w:val="none" w:sz="0" w:space="0" w:color="auto"/>
      </w:divBdr>
    </w:div>
    <w:div w:id="166674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eesc.europa.eu/resources/docs/eesc_contribution-to-ec--2017-workprogramme_en.pdf" TargetMode="External"/><Relationship Id="rId2" Type="http://schemas.openxmlformats.org/officeDocument/2006/relationships/hyperlink" Target="http://www.europarl.europa.eu/sides/getDoc.do?pubRef=-//EP//TEXT+TA+P8-TA-2016-0312+0+DOC+XML+V0//BG" TargetMode="External"/><Relationship Id="rId1" Type="http://schemas.openxmlformats.org/officeDocument/2006/relationships/hyperlink" Target="http://ec.europa.eu/priorities/state-union-2016_bg" TargetMode="External"/><Relationship Id="rId6" Type="http://schemas.openxmlformats.org/officeDocument/2006/relationships/hyperlink" Target="http://eur-lex.europa.eu/legal-content/BG/TXT/PDF/?uri=OJ:L:2016:123:FULL&amp;from=BG" TargetMode="External"/><Relationship Id="rId5" Type="http://schemas.openxmlformats.org/officeDocument/2006/relationships/hyperlink" Target="http://www.consilium.europa.eu/bg/press/press-releases/2016/09/16-bratislava-declaration-and-roadmap" TargetMode="External"/><Relationship Id="rId4" Type="http://schemas.openxmlformats.org/officeDocument/2006/relationships/hyperlink" Target="https://toad.cor.europa.eu/corwipdetail.aspx?folderpath=RESOL-VI%2f010&amp;id=242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6C4E0-EE60-4BD2-AFCD-8400A7FF7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20</Pages>
  <Words>7134</Words>
  <Characters>42664</Characters>
  <Application>Microsoft Office Word</Application>
  <DocSecurity>0</DocSecurity>
  <Lines>677</Lines>
  <Paragraphs>94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25</cp:revision>
  <cp:lastPrinted>2016-11-04T12:54:00Z</cp:lastPrinted>
  <dcterms:created xsi:type="dcterms:W3CDTF">2016-10-25T06:07:00Z</dcterms:created>
  <dcterms:modified xsi:type="dcterms:W3CDTF">2016-11-07T08:57:00Z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