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CD51DEDB716E413BB11E23D093BE8B06" style="width:451pt;height:461.2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480"/>
        <w:jc w:val="center"/>
        <w:outlineLvl w:val="0"/>
        <w:rPr>
          <w:rFonts w:ascii="Times New Roman" w:hAnsi="Times New Roman"/>
          <w:b/>
          <w:i/>
          <w:noProof/>
          <w:sz w:val="20"/>
          <w:szCs w:val="20"/>
          <w:highlight w:val="yellow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I: Нови инициативи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11"/>
        <w:gridCol w:w="3541"/>
        <w:gridCol w:w="10068"/>
      </w:tblGrid>
      <w:tr>
        <w:trPr>
          <w:cantSplit/>
          <w:tblHeader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№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3565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Описание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2"/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Нови стимули за работните места, растежа и инвестициите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Инициатива за младежта</w:t>
            </w:r>
          </w:p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Инициативата включва предложение за създаването на Европейски корпус за солидарност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(</w:t>
            </w:r>
            <w:r>
              <w:rPr>
                <w:rFonts w:ascii="Times New Roman" w:hAnsi="Times New Roman"/>
                <w:noProof/>
                <w:sz w:val="20"/>
              </w:rPr>
              <w:t>законодателна/незаконодателна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) и приоритетни мерки за изпълнението на свързаните с младежта аспекти на Програмата за умения, в това число рамка за качеството на чиракуването и предложение за повишаване на мобилността на чиракуващите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(законодателна);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модернизиране на училищното и висшето образование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както и предложение за подобряване на проследяването на резултатите на завършилите висше образование, както и на младите хора, завършили професионален курс на образование и обучение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(законодателна/незаконодателна);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Плана за действие за кръговата икономика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Това включва стратегия относно използването, повторната употреба и рециклирането на пластмасите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мерки по отношение на водите: предложение за регламент относно минималните изисквания за качество на повторно използваната вода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член 192 от ДФЕС;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Преглед по REFIT на Директивата за питейната вода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член 192, параграф 1 от ДФЕС;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инициатива за разрешаване на правните, техническите или практическите затруднения в допирните точки между законодателните актове, свързани с химикалите, продуктите и отпадъците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рамка за мониторинг на кръговата икономика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(незаконодателна); трето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Финансова рамка за периода след 2020 г.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Всеобхватно предложение за следващата многогодишна финансова рамка, включително относно собствените ресурси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(законодателна/незаконодателна); член 312 от ДЕС).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Свързан цифров единен пазар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Изпълнение на Стратегията за Цифровия единен пазар   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Средносрочен преглед на изпълнението на Стратегията за Цифровия единен пазар</w:t>
            </w:r>
            <w:r>
              <w:rPr>
                <w:rFonts w:ascii="Times New Roman" w:hAnsi="Times New Roman"/>
                <w:b/>
                <w:noProof/>
                <w:sz w:val="20"/>
                <w:highlight w:val="yellow"/>
              </w:rPr>
              <w:t xml:space="preserve">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keepNext/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Устойчив енергиен съюз с ориентирана към бъдещето политика по въпросите на изменението на климата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Стратегията за Енергиен съюз: пътуване и увеличена мобилност с ниски емисии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Прегледи по REFIT на няколко ключови законодателни акта, изтъкнати в плана за действие относно мобилността с ниски емисии: стратегии за периода след 2020 г. за леки автомобили/микробуси и камиони, автобуси и туристически (междуградски) автобуси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(законодателна, включително оценка на въздействието;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Директивата за чистите превозни средства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член 192 от ДФЕС;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 директивите за „Евровинетка“ и за европейската услуга за електронно събиране на такса за изминато разстояние (EETS)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член 91 от ДФЕС;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 Тази инициатива включва прилагането на международното споразумение относно емисиите от въздухоплавателни средства (ICAO)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(законодателна, включително оценка на въздействието; член 192 от ДФЕС;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.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вътрешен пазар със засилена промишлена база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Стратегията за единния пазар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Резултатите ще включват преглед по REFIT на законодателството относно стоките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въздействието); членове 43, 114 и 207 от ДФЕС;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инициатива за дружественото право за улесняване на използването на цифровите технологии през целия жизнен цикъл на дружествата, както и за презграничните сливания и разделяния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(законодателна, включително оценка на въздействието; трето—четвърто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инициатива за координирани оценки на здравните технологии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въздействието; четвърто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и мерки за по-добро прилагане на правилата на единния пазар в рамките на по-широк пакет от мерки за прилагане, включително предложения за Единен цифров портал </w:t>
            </w:r>
            <w:r>
              <w:rPr>
                <w:rFonts w:ascii="Times New Roman" w:hAnsi="Times New Roman"/>
                <w:noProof/>
                <w:sz w:val="20"/>
              </w:rPr>
              <w:t xml:space="preserve">(законодателна/незаконодателна, включително оценка на въздействието; член 114 от ДФЕС; първо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и за инструмент за информация за единния пазар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(законодателна, включително оценка на въздействието; първо тримесечие/2017 г.), </w:t>
            </w:r>
            <w:r>
              <w:rPr>
                <w:rFonts w:ascii="Times New Roman" w:hAnsi="Times New Roman"/>
                <w:b/>
                <w:noProof/>
                <w:sz w:val="20"/>
              </w:rPr>
              <w:t>модернизиране на SOLVIT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и предоставянето на правомощия на националните органи за защита на конкуренцията, за да бъдат по-ефективни правоприлагащи органи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въздействието; второ тримесечие/2017 г.).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По-справедливо данъчно облагане на предприятията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Инициативата включва изпълнението на плана за действие относно ДДС чрез предложения по REFIT за окончателен режим на ДДС и за ставките на ДДС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(законодателна, включително оценка на въздействието; член 113 от ДФЕС; трето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, по-добро административно сътрудничество и пакет за опростяване с цел намаляване на административната тежест за предприятията и данъчните администрации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(законодателна, включително оценка на въздействието; член 113 от ДФЕС; четвърто тримесечие/2017 г.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); предложение за списък на ЕС на юрисдикциите на трети държави, които не спазват стандартите за добро управление в областта на данъчното облагане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трето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 прилагане в законодателството на ЕС на международното споразумение относно преодоляване на намаляването на данъчната основа и прехвърлянето на печалби (Base Erosion and Profit Shifting — BEPS)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Космическата стратегия за Европа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Законодателни предложения за правителствени спътникови комуникационни услуги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член 189 от ДФЕС; четвърто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и мерки за улесняване на навлизането на пазара на космически услуги и данни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(законодателна/незаконодателна)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Изпълнение на Плана за действие за изграждане на Съюз на капиталовите пазари 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 рамките на средносрочен преглед </w:t>
            </w:r>
            <w:r>
              <w:rPr>
                <w:rFonts w:ascii="Times New Roman" w:hAnsi="Times New Roman"/>
                <w:noProof/>
                <w:sz w:val="20"/>
              </w:rPr>
              <w:t xml:space="preserve">(незаконодателна; второ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ще се направи оценка на напредъка по отношение на изпълнението на Съюза на капиталовите пазари и ще бъдат определени потенциалните допълнителни мерки, необходими за подобряване на финансирането на икономиката. Новите мерки ще включват рамка на европейски продукт за лично пенсионно осигуряване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въздействието); член 114 от ДФЕС;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преглед по REFIT на Регламента за европейската пазарна инфраструктура (</w:t>
            </w:r>
            <w:r>
              <w:rPr>
                <w:rFonts w:ascii="Times New Roman" w:hAnsi="Times New Roman"/>
                <w:noProof/>
                <w:sz w:val="20"/>
              </w:rPr>
              <w:t>включително оценка на въздействието; член 114 от ДФЕС;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план за действие относно финансовите услуги на дребно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; и допълнителни делегирани законодателни актове за улесняване на финансирането на инфраструктурни предприятия от страна на институционални инвеститори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четвърто тримесечие/2016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По-задълбочен и по-справедлив икономически и паричен съюз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Силен Съюз, основаващ се на силен Икономически и паричен съюз (ИПС)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Бялата книга за бъдещето на Европа </w:t>
            </w:r>
            <w:r>
              <w:rPr>
                <w:rFonts w:ascii="Times New Roman" w:hAnsi="Times New Roman"/>
                <w:noProof/>
                <w:sz w:val="20"/>
              </w:rPr>
              <w:t xml:space="preserve">(незаконодателна; първо тримесечие/2017 г.),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определяща мерките относно реформирането на ЕС, състоящ се от 27 държави членки, 60 години след подписването на Римските договори, ще бъде включено също така бъдещето на ИПС, свързано с подготовката на втория етап от задълбочаването на ИПС в новия политически и демократичен контекст, включително ориентирано към стабилност преразглеждане на Пакта за стабилност и растеж и последващите действия във връзка с член 16 от Договора за стабилност, координация и управление в Икономическия и паричен съюз (включване на същността на посочения договор в правната уредба на Европейския съюз). Инициативата ще включва и преглед на Европейската система за финансов надзор (ЕСФН) с цел засилване на ефективността и ефикасността на надзора на макро- и микропруденциално равнище. 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Европейски стълб на социалните права</w:t>
            </w:r>
          </w:p>
        </w:tc>
        <w:tc>
          <w:tcPr>
            <w:tcW w:w="3565" w:type="pct"/>
          </w:tcPr>
          <w:p>
            <w:pPr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След приключването на обществената консултация в инициативата ще бъде очертано предложение за стълб на социалните права </w:t>
            </w:r>
            <w:r>
              <w:rPr>
                <w:rFonts w:ascii="Times New Roman" w:hAnsi="Times New Roman"/>
                <w:noProof/>
                <w:sz w:val="20"/>
              </w:rPr>
              <w:t>(първо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и ще бъдат представени свързаните с него инициативи, например инициативи за справяне с предизвикателствата на равновесието между професионалния и личния живот, пред които са изправени работещите семейства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въздействието; членове 153 и 157 от ДФЕС)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относно достъпа до социална закрила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(законодателна/незаконодателна, включително оценка на въздействието; членове 153 и 292)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и прилагането на Директивата за работното време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(незаконодателна)</w:t>
            </w:r>
            <w:r>
              <w:rPr>
                <w:rFonts w:ascii="Times New Roman" w:hAnsi="Times New Roman"/>
                <w:b/>
                <w:noProof/>
                <w:sz w:val="20"/>
              </w:rPr>
              <w:t>, както и преглед по REFIT на Директивата относно задължението за писмено заявление,</w:t>
            </w:r>
            <w:r>
              <w:rPr>
                <w:rFonts w:ascii="Times New Roman" w:hAnsi="Times New Roman"/>
                <w:b/>
                <w:noProof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</w:rPr>
              <w:t>с която се установява задължение за работодателя да информира работещите лица относно условията, приложими към договора или към трудовите правоотношения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(законодателна, включително оценка на въздействието; член 153, параграф 1, буква б) и член 154 от ДФЕС).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keepNext/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Търговия: разумно и балансирано споразумение за свободна търговия със САЩ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стратегията „Търговия за всички“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Успоредно с продължаването и приключването на двустранните преговори (например с Япония) и със започването на нови преговори с Австралия </w:t>
            </w:r>
            <w:r>
              <w:rPr>
                <w:rFonts w:ascii="Times New Roman" w:hAnsi="Times New Roman"/>
                <w:noProof/>
                <w:sz w:val="20"/>
              </w:rPr>
              <w:t>(включително оценка на въздействието;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, Чили </w:t>
            </w:r>
            <w:r>
              <w:rPr>
                <w:rFonts w:ascii="Times New Roman" w:hAnsi="Times New Roman"/>
                <w:noProof/>
                <w:sz w:val="20"/>
              </w:rPr>
              <w:t xml:space="preserve">(включително оценка на въздействието; второ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и Нова Зеландия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първо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>относно споразумения за свободна търговия, тази инициатива включва допълнително укрепване на инструментите за търговска защита на ЕС с предложение за изменение на антидъмпинговото законодателство на ЕС</w:t>
            </w:r>
            <w:r>
              <w:rPr>
                <w:rFonts w:ascii="Times New Roman" w:hAnsi="Times New Roman"/>
                <w:noProof/>
                <w:sz w:val="20"/>
              </w:rPr>
              <w:t xml:space="preserve"> (включително оценка на въздействието; четвърто тримесечие/2016 г.)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в съответствие със съобщението на Комисията от 18 октомври 2016 г.</w:t>
            </w:r>
          </w:p>
        </w:tc>
      </w:tr>
      <w:tr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Пространство на правосъдие и основни права, изградено върху взаимно доверие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Пакет относно защитата на данните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Пакетът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(първо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ще включва привеждането в съответствие на правилата за защита на личните данни, когато се обработват от институциите на ЕС, с новите общи правила за защита на данните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(законодателна; член 16 от ДФЕС)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, преглед по REFIT на Директивата за правото на неприкосновеност на личния живот и електронни комуникации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(включително оценка на въздействието; членове 114 и 116 от ДФЕС),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както и рамка за решения относно адекватността на обмена на лични данни с трети държави. </w:t>
            </w:r>
          </w:p>
        </w:tc>
      </w:tr>
      <w:tr>
        <w:trPr>
          <w:cantSplit/>
        </w:trPr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Напредък към ефективен и действителен Съюз на сигурност</w:t>
            </w:r>
          </w:p>
        </w:tc>
        <w:tc>
          <w:tcPr>
            <w:tcW w:w="3565" w:type="pct"/>
            <w:tcBorders>
              <w:bottom w:val="single" w:sz="4" w:space="0" w:color="auto"/>
            </w:tcBorders>
          </w:tcPr>
          <w:p>
            <w:pPr>
              <w:spacing w:after="0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Изпълнение на програмата на Съюза на сигурност и на Плана за действие относно финансирането на тероризма с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предложения за хармонизиране на правната уредба на престъпленията и санкциите, свързани с изпирането на пари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(законодателна; член 83 от ДФЕС; четвърто тримесечие/2016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, за укрепване на взаимното признаване на решенията за блокиране и конфискация на активи от престъпления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(законодателна; включително оценка на въздействието; член 82 от ДФЕС; четвърто тримесечие/2016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 и за справяне с незаконното движение на парични средства в брой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(законодателна, включително оценка на въздействието; членове 33 и 114 от ДФЕС; четвърто тримесечие/2016 г.)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и незаконната търговия с предмети на културата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(законодателна, включително оценка на въздействието; Член 207 от ДФЕС; четвърто тримесечие/2016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Тази инициатива включва също предложение за Система на ЕС за информация за пътуванията и разрешаването им (ETIAS) </w:t>
            </w:r>
            <w:r>
              <w:rPr>
                <w:rFonts w:ascii="Times New Roman" w:hAnsi="Times New Roman"/>
                <w:noProof/>
                <w:sz w:val="20"/>
              </w:rPr>
              <w:t xml:space="preserve">(законодателна);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член 77, параграф 2, букви б) и г) от ДФЕС; </w:t>
            </w:r>
            <w:r>
              <w:rPr>
                <w:rFonts w:ascii="Times New Roman" w:hAnsi="Times New Roman"/>
                <w:noProof/>
                <w:sz w:val="20"/>
              </w:rPr>
              <w:t xml:space="preserve">четвърто тримесечие/2016 г.),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както и последващи действия във връзка с работата на групата на високо равнище по въпросите на информационните системи и оперативната съвместимост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Към нова политика за миграцията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Европейската програма за миграцията</w:t>
            </w:r>
          </w:p>
        </w:tc>
        <w:tc>
          <w:tcPr>
            <w:tcW w:w="3565" w:type="pct"/>
          </w:tcPr>
          <w:p>
            <w:pPr>
              <w:keepNext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Изготвяне на средносрочен преглед на изпълнението на Европейската програма за миграцията, като бъдат консолидирани и подложени на оценка постиженията по различните направления, включително прилагането на новата рамка за партньорство с трети държави в областта на миграцията.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keepNext/>
              <w:spacing w:before="60" w:after="6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По-силен участник на световната сцена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Европейския план за действие в областта на отбраната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Включително предложение за Европейски фонд за отбрана и мерки за подобряване на използването и ефективността на правилата за възлагане на обществени поръчки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Изпълнение на Глобалната стратегия на ЕС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Включително, по-специално, усилията за насърчаването на държавната, икономическата, екологичната/климатичната и обществената устойчивост, по-специално в съседните на ЕС държави и в по-широките съседни региони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(незаконодателна).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Стратегия на ЕС за Сирия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В стратегията ще бъде определено как ЕС може да помогне за изграждането на една мирна и стабилна сирийска нация и за плуралистично и толерантно гражданското общество в Сирия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Партньорство Африка—ЕС: нов тласък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С инициативата ще бъдат определени стратегическите цели и приоритети на ЕС в отношенията му с Африка 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(незаконодателна; второ тримесечие/2017 г.)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b/>
                <w:noProof/>
                <w:sz w:val="20"/>
                <w:highlight w:val="yellow"/>
              </w:rPr>
              <w:t xml:space="preserve"> </w:t>
            </w:r>
          </w:p>
        </w:tc>
      </w:tr>
      <w:tr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Съюз на демократичната промяна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Модернизиране на процедурите по комитология 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Предложения за привеждане в съответствие на правилата за вторично законодателство с актуализираните правила на Договора</w:t>
            </w:r>
            <w:r>
              <w:rPr>
                <w:rFonts w:ascii="Times New Roman" w:hAnsi="Times New Roman"/>
                <w:noProof/>
                <w:sz w:val="20"/>
              </w:rPr>
              <w:t xml:space="preserve"> (законодателна;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; и оценка на демократичната легитимност на съществуващите процедури за приемане на делегирани актове и актове за изпълнение</w:t>
            </w:r>
            <w:r>
              <w:rPr>
                <w:rFonts w:ascii="Times New Roman" w:hAnsi="Times New Roman"/>
                <w:noProof/>
                <w:sz w:val="20"/>
              </w:rPr>
              <w:t xml:space="preserve"> (незаконодателна; първо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181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</w:tcPr>
          <w:p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По-стратегически подход към прилагането на законодателството на ЕС</w:t>
            </w:r>
          </w:p>
        </w:tc>
        <w:tc>
          <w:tcPr>
            <w:tcW w:w="3565" w:type="pct"/>
          </w:tcPr>
          <w:p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Мерки за засилване на усилията по прилагането, изпълнението и влизането в сила на законодателството на ЕС </w:t>
            </w:r>
            <w:r>
              <w:rPr>
                <w:rFonts w:ascii="Times New Roman" w:hAnsi="Times New Roman"/>
                <w:noProof/>
                <w:sz w:val="20"/>
              </w:rPr>
              <w:t xml:space="preserve">(незаконодателна; четвърто тримесечие/2016 г.,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в съответствие с приоритетите на Комисията; конкретни предложения, за да се гарантира по-добро прилагане на правилата на единния пазар </w:t>
            </w:r>
            <w:r>
              <w:rPr>
                <w:rFonts w:ascii="Times New Roman" w:hAnsi="Times New Roman"/>
                <w:noProof/>
                <w:sz w:val="20"/>
              </w:rPr>
              <w:t xml:space="preserve">(вж. точка 6 по-горе),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както и инициативи по REFIT, за да се гарантира правилното изпълнение и прилагане на законодателството в областта на околната среда, включително гарантиране на спазването на екологичните норми </w:t>
            </w:r>
            <w:r>
              <w:rPr>
                <w:rFonts w:ascii="Times New Roman" w:hAnsi="Times New Roman"/>
                <w:noProof/>
                <w:sz w:val="20"/>
              </w:rPr>
              <w:t>(незаконодателна; трето тримесечие/2017 г.),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достъп до правосъдие </w:t>
            </w:r>
            <w:r>
              <w:rPr>
                <w:rFonts w:ascii="Times New Roman" w:hAnsi="Times New Roman"/>
                <w:noProof/>
                <w:sz w:val="20"/>
              </w:rPr>
              <w:t xml:space="preserve">(незаконодателна; първо тримесечие/2017 г.) </w:t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и мониторинг, прозрачност и отчетност </w:t>
            </w:r>
            <w:r>
              <w:rPr>
                <w:rFonts w:ascii="Times New Roman" w:hAnsi="Times New Roman"/>
                <w:noProof/>
                <w:sz w:val="20"/>
              </w:rPr>
              <w:t>(законодателна/незаконодателна); второ тримесечие/2017 г.)</w:t>
            </w:r>
            <w:r>
              <w:rPr>
                <w:rFonts w:ascii="Times New Roman" w:hAnsi="Times New Roman"/>
                <w:b/>
                <w:noProof/>
                <w:sz w:val="20"/>
              </w:rPr>
              <w:t>.</w:t>
            </w:r>
          </w:p>
        </w:tc>
      </w:tr>
    </w:tbl>
    <w:p>
      <w:pPr>
        <w:spacing w:after="600"/>
        <w:jc w:val="center"/>
        <w:outlineLvl w:val="0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57507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В настоящото приложение Комисията предоставя допълнителна информация, доколкото е на разположение, относно инициативите, включени в нейната Работна програма, в съответствие с Междуинституционалното споразумение за по-добро законотворчество. Информацията в скоби под описанието на всяка инициатива е само ориентировъчна и подлежи на промени по време на подготвителния процес, по-специално с оглед на резултатите от процеса на оценка на въздействието.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A2"/>
    <w:multiLevelType w:val="hybridMultilevel"/>
    <w:tmpl w:val="DC52E51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69E"/>
    <w:multiLevelType w:val="hybridMultilevel"/>
    <w:tmpl w:val="02CA5520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45813"/>
    <w:multiLevelType w:val="hybridMultilevel"/>
    <w:tmpl w:val="2C16C1E6"/>
    <w:lvl w:ilvl="0" w:tplc="50041C6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D51DEDB716E413BB11E23D093BE8B06"/>
    <w:docVar w:name="LW_CROSSREFERENCE" w:val="{SWD(2016) 400 final}"/>
    <w:docVar w:name="LW_DocType" w:val="NORMAL"/>
    <w:docVar w:name="LW_EMISSION" w:val="25.10.2016"/>
    <w:docVar w:name="LW_EMISSION_ISODATE" w:val="2016-10-25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7 \u1075?._x000b__x000b_\u1045?\u1074?\u1088?\u1086?\u1087?\u1072? \u1085?\u1072? \u1088?\u1077?\u1079?\u1091?\u1083?\u1090?\u1072?\u1090?\u1080?\u1090?\u1077?: \u1079?\u1072?\u1082?\u1088?\u1080?\u1083?\u1072?, \u1087?\u1088?\u1077?\u1076?\u1086?\u1089?\u1090?\u1072?\u1074?\u1103?\u1085?\u1077? \u1085?\u1072? \u1087?\u1086?\u1074?\u1077?\u1095?\u1077? \u1087?\u1088?\u1072?\u1074?\u1072? \u1080? \u1079?\u1072?\u1097?\u1080?\u1090?\u1072? \u1085?\u1072? \u1075?\u1088?\u1072?\u1078?\u1076?\u1072?\u1085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FACE-90F1-4B2A-904B-73AB435D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1846</Words>
  <Characters>12278</Characters>
  <Application>Microsoft Office Word</Application>
  <DocSecurity>0</DocSecurity>
  <Lines>219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David (SG)</dc:creator>
  <cp:lastModifiedBy>DIGIT/A3</cp:lastModifiedBy>
  <cp:revision>15</cp:revision>
  <cp:lastPrinted>2016-10-24T19:22:00Z</cp:lastPrinted>
  <dcterms:created xsi:type="dcterms:W3CDTF">2016-10-25T06:07:00Z</dcterms:created>
  <dcterms:modified xsi:type="dcterms:W3CDTF">2016-11-07T08:57:00Z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