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F996FC6AFD2E4297B4152EDFB3CC43FB" style="width:450.4pt;height:447.9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2"/>
          <w:cols w:space="720"/>
          <w:docGrid w:linePitch="360"/>
        </w:sectPr>
      </w:pPr>
    </w:p>
    <w:p>
      <w:pPr>
        <w:spacing w:after="480"/>
        <w:jc w:val="center"/>
        <w:outlineLvl w:val="0"/>
        <w:rPr>
          <w:rFonts w:ascii="Times New Roman" w:hAnsi="Times New Roman"/>
          <w:b/>
          <w:i/>
          <w:noProof/>
          <w:sz w:val="20"/>
          <w:szCs w:val="20"/>
          <w:highlight w:val="yellow"/>
          <w:u w:val="single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8"/>
          <w:u w:val="single"/>
        </w:rPr>
        <w:lastRenderedPageBreak/>
        <w:t>Приложение II: Инициативи по REFIT</w:t>
      </w:r>
      <w:r>
        <w:rPr>
          <w:rStyle w:val="FootnoteReference"/>
          <w:rFonts w:ascii="Times New Roman" w:hAnsi="Times New Roman"/>
          <w:b/>
          <w:noProof/>
          <w:sz w:val="28"/>
          <w:u w:val="single"/>
        </w:rPr>
        <w:footnoteReference w:id="1"/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380"/>
        <w:gridCol w:w="4383"/>
        <w:gridCol w:w="9541"/>
      </w:tblGrid>
      <w:tr>
        <w:trPr>
          <w:cantSplit/>
          <w:tblHeader/>
        </w:trPr>
        <w:tc>
          <w:tcPr>
            <w:tcW w:w="133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№</w:t>
            </w:r>
          </w:p>
        </w:tc>
        <w:tc>
          <w:tcPr>
            <w:tcW w:w="1532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Наименование</w:t>
            </w:r>
          </w:p>
        </w:tc>
        <w:tc>
          <w:tcPr>
            <w:tcW w:w="3335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Описание </w:t>
            </w:r>
            <w:r>
              <w:rPr>
                <w:rStyle w:val="FootnoteReference"/>
                <w:rFonts w:ascii="Times New Roman" w:hAnsi="Times New Roman"/>
                <w:b/>
                <w:noProof/>
                <w:sz w:val="20"/>
              </w:rPr>
              <w:footnoteReference w:id="2"/>
            </w:r>
          </w:p>
        </w:tc>
      </w:tr>
      <w:tr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>
            <w:pPr>
              <w:keepNext/>
              <w:spacing w:before="60" w:after="6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Нови стимули за работни места, растеж и инвестиции</w:t>
            </w:r>
            <w:r>
              <w:rPr>
                <w:b/>
                <w:noProof/>
                <w:color w:val="000000"/>
                <w:sz w:val="23"/>
              </w:rPr>
              <w:t xml:space="preserve"> </w:t>
            </w:r>
          </w:p>
        </w:tc>
      </w:tr>
      <w:tr>
        <w:trPr>
          <w:cantSplit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Отпадъци от електрическо и електронно оборудване (ОЕЕО) </w:t>
            </w:r>
          </w:p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Акт за изпълнение относно стандартен формат и честота на докладване</w:t>
            </w:r>
            <w:r>
              <w:rPr>
                <w:rFonts w:ascii="Times New Roman" w:hAnsi="Times New Roman"/>
                <w:noProof/>
                <w:sz w:val="20"/>
              </w:rPr>
              <w:t xml:space="preserve"> (Директива 2012/19/ЕС; член 16, параграф 3; четвърто тримесечие/2017 г.). </w:t>
            </w:r>
            <w:r>
              <w:rPr>
                <w:rFonts w:ascii="Times New Roman" w:hAnsi="Times New Roman"/>
                <w:b/>
                <w:noProof/>
                <w:sz w:val="20"/>
              </w:rPr>
              <w:t>Действия впоследствие на становището на платформата REFIT.</w:t>
            </w:r>
          </w:p>
        </w:tc>
      </w:tr>
      <w:tr>
        <w:trPr>
          <w:cantSplit/>
        </w:trPr>
        <w:tc>
          <w:tcPr>
            <w:tcW w:w="5000" w:type="pct"/>
            <w:gridSpan w:val="3"/>
            <w:shd w:val="clear" w:color="auto" w:fill="F3F3F3"/>
          </w:tcPr>
          <w:p>
            <w:pPr>
              <w:keepNext/>
              <w:spacing w:before="60" w:after="6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Свързан цифров единен пазар </w:t>
            </w:r>
          </w:p>
        </w:tc>
      </w:tr>
      <w:tr>
        <w:trPr>
          <w:cantSplit/>
        </w:trPr>
        <w:tc>
          <w:tcPr>
            <w:tcW w:w="133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32" w:type="pct"/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ENISA (Агенция на Европейския съюз за мрежова и информационна сигурност)</w:t>
            </w:r>
          </w:p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335" w:type="pct"/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Преразглеждане на Регламент № 526/2013 (Регламент за ENISA) за определяне на мандата, целите и задачите на Агенцията на Европейския съюз за мрежова и информационна сигурност. (</w:t>
            </w:r>
            <w:r>
              <w:rPr>
                <w:rFonts w:ascii="Times New Roman" w:hAnsi="Times New Roman"/>
                <w:noProof/>
                <w:sz w:val="20"/>
              </w:rPr>
              <w:t>включително оценка на въздействието, четвърто тримесечие/2017 г.)</w:t>
            </w:r>
          </w:p>
        </w:tc>
      </w:tr>
      <w:tr>
        <w:trPr>
          <w:cantSplit/>
        </w:trPr>
        <w:tc>
          <w:tcPr>
            <w:tcW w:w="133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32" w:type="pct"/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Регламент относно имена на домейни</w:t>
            </w:r>
          </w:p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335" w:type="pct"/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Преразглеждане на Регламент ЕО № 733/2002 относно въвеждането на .eu домейн от най-високо ниво и Регламент (ЕО) № 874/2004 относно определяне на правила на обществената политика за въвеждането и функциите на .eu домейн от най-високо ниво и принципите, които ръководят регистрирането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</w:rPr>
              <w:t>(включително оценка на въздействието; член 173 от ДФЕС; трето тримесечие/2017 г.).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 През последното десетилетие пазара на домейни от най-високо ниво претърпя значителни промени, които представляват както стратегически предизвикателства, така и възможности по отношение на .eu домейна от най-високо ниво.</w:t>
            </w:r>
          </w:p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</w:tr>
      <w:tr>
        <w:trPr>
          <w:cantSplit/>
        </w:trPr>
        <w:tc>
          <w:tcPr>
            <w:tcW w:w="5000" w:type="pct"/>
            <w:gridSpan w:val="3"/>
            <w:shd w:val="clear" w:color="auto" w:fill="F3F3F3"/>
          </w:tcPr>
          <w:p>
            <w:pPr>
              <w:keepNext/>
              <w:spacing w:before="60" w:after="6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Устойчив енергиен съюз с ориентирана към бъдещето политика по въпросите на изменението на климата</w:t>
            </w:r>
            <w:r>
              <w:rPr>
                <w:b/>
                <w:noProof/>
                <w:color w:val="000000"/>
                <w:sz w:val="23"/>
              </w:rPr>
              <w:t xml:space="preserve"> </w:t>
            </w:r>
          </w:p>
        </w:tc>
      </w:tr>
      <w:tr>
        <w:trPr>
          <w:cantSplit/>
        </w:trPr>
        <w:tc>
          <w:tcPr>
            <w:tcW w:w="133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32" w:type="pct"/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Комбиниран транспорт</w:t>
            </w:r>
          </w:p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335" w:type="pct"/>
          </w:tcPr>
          <w:p>
            <w:pPr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Преразглеждане на Директива 92/106/ЕИО относно създаването на общи правила за някои видове комбиниран транспорт на товари между държавите членки с цел подобряване на ефикасността и на ефективността и гарантиране на по-нататъшно насърчаване на интермодалния транспорт в ЕС (</w:t>
            </w:r>
            <w:r>
              <w:rPr>
                <w:rFonts w:ascii="Times New Roman" w:hAnsi="Times New Roman"/>
                <w:noProof/>
                <w:sz w:val="20"/>
              </w:rPr>
              <w:t>включително оценка на въздействието; четвърто тримесечие/2017 г.)</w:t>
            </w:r>
            <w:r>
              <w:rPr>
                <w:rFonts w:ascii="Times New Roman" w:hAnsi="Times New Roman"/>
                <w:b/>
                <w:noProof/>
                <w:sz w:val="20"/>
              </w:rPr>
              <w:t>. Преразглеждането е впоследствие на оценка, приключила през 2016 г.</w:t>
            </w:r>
          </w:p>
        </w:tc>
      </w:tr>
      <w:tr>
        <w:trPr>
          <w:cantSplit/>
        </w:trPr>
        <w:tc>
          <w:tcPr>
            <w:tcW w:w="5000" w:type="pct"/>
            <w:gridSpan w:val="3"/>
            <w:shd w:val="clear" w:color="auto" w:fill="F3F3F3"/>
          </w:tcPr>
          <w:p>
            <w:pPr>
              <w:keepNext/>
              <w:spacing w:before="60" w:after="6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По-задълбочен и по-справедлив вътрешен пазар със засилена промишлена база</w:t>
            </w:r>
          </w:p>
        </w:tc>
      </w:tr>
      <w:tr>
        <w:trPr>
          <w:cantSplit/>
        </w:trPr>
        <w:tc>
          <w:tcPr>
            <w:tcW w:w="133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32" w:type="pct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Общ регламент за групово освобождаване (ОРГО) 2015 г.</w:t>
            </w:r>
          </w:p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335" w:type="pct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Преразглеждане на Регламент № 651/2014 на Комисията за обявяване на някои категории помощи за съвместими с вътрешния пазар в приложение на членове 107 и 108 от Договора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</w:rPr>
              <w:t>(Регламент 2015/1589 на Съвета; първо тримесечие/2017 г.)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. </w:t>
            </w:r>
          </w:p>
        </w:tc>
      </w:tr>
      <w:tr>
        <w:trPr>
          <w:cantSplit/>
        </w:trPr>
        <w:tc>
          <w:tcPr>
            <w:tcW w:w="133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32" w:type="pct"/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Общ режим на облагане с акцизи</w:t>
            </w:r>
          </w:p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335" w:type="pct"/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Преразглеждане на Директива 2008/118/ЕО за привеждане в съответствие и осигуряване на съгласуваност между митническото и акцизното законодателство, подобряване на правната сигурност и гарантиране на еднаквото прилагане на законодателството на ЕС </w:t>
            </w:r>
            <w:r>
              <w:rPr>
                <w:rFonts w:ascii="Times New Roman" w:hAnsi="Times New Roman"/>
                <w:noProof/>
                <w:sz w:val="20"/>
              </w:rPr>
              <w:t>(включително оценка на въздействието; член 113 от ДФЕС; четвърто тримесечие/2017 г.)</w:t>
            </w:r>
            <w:r>
              <w:rPr>
                <w:rFonts w:ascii="Times New Roman" w:hAnsi="Times New Roman"/>
                <w:b/>
                <w:noProof/>
                <w:sz w:val="20"/>
              </w:rPr>
              <w:t>.</w:t>
            </w:r>
          </w:p>
        </w:tc>
      </w:tr>
      <w:tr>
        <w:trPr>
          <w:cantSplit/>
        </w:trPr>
        <w:tc>
          <w:tcPr>
            <w:tcW w:w="133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32" w:type="pct"/>
          </w:tcPr>
          <w:p>
            <w:pP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Преразглеждане на структурата на акциза върху алкохола и алкохолните напитки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br/>
            </w:r>
          </w:p>
        </w:tc>
        <w:tc>
          <w:tcPr>
            <w:tcW w:w="3335" w:type="pct"/>
          </w:tcPr>
          <w:p>
            <w:pPr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Преразглеждане на Директива 92/83/ЕИО на Съвета относно структурата на акциза върху алкохола и алкохолните напитки</w:t>
            </w:r>
            <w:r>
              <w:rPr>
                <w:rFonts w:ascii="Times New Roman" w:hAnsi="Times New Roman"/>
                <w:noProof/>
                <w:sz w:val="20"/>
              </w:rPr>
              <w:t xml:space="preserve"> (вкл. оценка на въздействието;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</w:rPr>
              <w:t>член 113 от ДФЕС; четвърто тримесечие/2017 г.)</w:t>
            </w:r>
            <w:r>
              <w:rPr>
                <w:rFonts w:ascii="Times New Roman" w:hAnsi="Times New Roman"/>
                <w:b/>
                <w:noProof/>
                <w:sz w:val="20"/>
              </w:rPr>
              <w:t>.</w:t>
            </w:r>
          </w:p>
        </w:tc>
      </w:tr>
      <w:tr>
        <w:trPr>
          <w:cantSplit/>
        </w:trPr>
        <w:tc>
          <w:tcPr>
            <w:tcW w:w="133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32" w:type="pct"/>
            <w:shd w:val="clear" w:color="auto" w:fill="auto"/>
          </w:tcPr>
          <w:p>
            <w:pPr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Обучение, квалификация и лицензиране в автомобилния транспорт</w:t>
            </w:r>
            <w:r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br/>
            </w:r>
          </w:p>
        </w:tc>
        <w:tc>
          <w:tcPr>
            <w:tcW w:w="3335" w:type="pct"/>
            <w:shd w:val="clear" w:color="auto" w:fill="auto"/>
          </w:tcPr>
          <w:p>
            <w:pPr>
              <w:jc w:val="both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Преразглеждане на Директива 2003/59/ЕО относно начална квалификация и продължаващо обучение на водачи на някои превозни средства за превоз на товари и пътници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(включително оценка на въздействието; член 91 от ДФЕС; 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четвърто тримесечие/2016 г.)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. Последващи действия във връзка с оценка, приключила през юли 2016 г.</w:t>
            </w:r>
          </w:p>
        </w:tc>
      </w:tr>
      <w:tr>
        <w:trPr>
          <w:cantSplit/>
        </w:trPr>
        <w:tc>
          <w:tcPr>
            <w:tcW w:w="133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32" w:type="pct"/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По-добро функциониране на пазара за автобусен транспорт </w:t>
            </w:r>
          </w:p>
          <w:p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3335" w:type="pct"/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Преразглеждане на Регламент (ЕО) № 1073/2009 относно общите правила за достъп до международния пазар на автобусни превози и за изменение на Регламент (ЕО) № 561/2006 с цел да се подобри конкуренцията на вътрешните междуградски пазари и да се гарантира недискриминационен достъп до терминали и други инфраструктури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(включително оценка на въздействието; член 91 от ДФЕС; четвърто тримесечие/2017 г.)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. Преразглеждането е впоследствие на оценка, приключила през 2016 г.</w:t>
            </w:r>
          </w:p>
        </w:tc>
      </w:tr>
      <w:tr>
        <w:trPr>
          <w:cantSplit/>
        </w:trPr>
        <w:tc>
          <w:tcPr>
            <w:tcW w:w="133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32" w:type="pct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Достъп до пазара на автомобилни превози на товари в ЕС</w:t>
            </w:r>
          </w:p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335" w:type="pct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Преразглеждане на Регламент (ЕО) № 1072/2009 и на Регламент (ЕО) № 1071/2009 с цел опростяване, улесняване на прилагането и повишаване на равнопоставеността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(включително оценка на въздействието; член 91 от ДФЕС; второ тримесечие/2017 г.).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Преразглеждането е впоследствие на оценка, приключила през 2016 г.</w:t>
            </w:r>
          </w:p>
        </w:tc>
      </w:tr>
      <w:tr>
        <w:trPr>
          <w:cantSplit/>
        </w:trPr>
        <w:tc>
          <w:tcPr>
            <w:tcW w:w="133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32" w:type="pct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Подобряване на социалното законодателство в сектора на автомобилния транспорт  </w:t>
            </w:r>
          </w:p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3335" w:type="pct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Преразглеждане на Регламент (ЕО) № 561/2006, на Директива 2002/15/ЕО и на Директива 2006/22/ЕО с цел да се гарантира истинска равнопоставеност в сектора на автомобилния транспорт и адекватни условия на труд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(включително оценка на въздействието; второ тримесечие/2017 г.). 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Преразглеждането е впоследствие на оценка, приключила през 2016 г.</w:t>
            </w:r>
          </w:p>
        </w:tc>
      </w:tr>
      <w:tr>
        <w:trPr>
          <w:cantSplit/>
        </w:trPr>
        <w:tc>
          <w:tcPr>
            <w:tcW w:w="133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32" w:type="pct"/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Кодекс за малките плавателни съдове</w:t>
            </w:r>
          </w:p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335" w:type="pct"/>
          </w:tcPr>
          <w:p>
            <w:pPr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Предложение за препоръка на Съвета за улесняване и опростяване на строителството и трансграничната търговия с малки пътнически кораби, както и тяхната регистрация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(член 100, параграф 2 от ДФЕС; четвърто тримесечие/2017 г.)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.</w:t>
            </w:r>
            <w:r>
              <w:rPr>
                <w:noProof/>
                <w:color w:val="1F497D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Последващи действия във връзка с проверката за пригодност по програмата за регулаторна пригодност (REFIT) на законодателството на ЕС относно безопасността на пътническите кораби.</w:t>
            </w:r>
          </w:p>
        </w:tc>
      </w:tr>
      <w:tr>
        <w:trPr>
          <w:cantSplit/>
        </w:trPr>
        <w:tc>
          <w:tcPr>
            <w:tcW w:w="133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32" w:type="pct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Отдаване под наем на превозни средства</w:t>
            </w:r>
          </w:p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335" w:type="pct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Преразглеждане на Директива 2006/1/ЕО относно използването на превозни средства, наети без шофьори, за автомобилен превоз на товари с цел да се оптимизира разпределението на ресурси, да се повиши гъвкавостта в организацията на операциите, свързани с товарните превози, вследствие на което и производителността на дружествата </w:t>
            </w:r>
            <w:r>
              <w:rPr>
                <w:rFonts w:ascii="Times New Roman" w:hAnsi="Times New Roman"/>
                <w:noProof/>
                <w:sz w:val="20"/>
              </w:rPr>
              <w:t>(включително оценка на въздействието; член 91 от ДФЕС; второ тримесечие/2017 г.).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 Преразглеждането е впоследствие на оценка, приключила през 2016 г.</w:t>
            </w:r>
          </w:p>
        </w:tc>
      </w:tr>
      <w:tr>
        <w:trPr>
          <w:cantSplit/>
        </w:trPr>
        <w:tc>
          <w:tcPr>
            <w:tcW w:w="133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32" w:type="pct"/>
            <w:shd w:val="clear" w:color="auto" w:fill="auto"/>
          </w:tcPr>
          <w:p>
            <w:pP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Безопасност на пътната инфраструктура и на тунелите</w:t>
            </w:r>
          </w:p>
          <w:p>
            <w:pP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335" w:type="pct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Преразглеждане на Директива 2008/96/ЕО относно управлението на безопасността на пътните инфраструктури и на Директива 2004/54/ЕО относно минималните изисквания за безопасност за тунелите на трансевропейската пътна мрежа с цел да се подобри безопасността по пътищата, практиките на управление на безопасността на тунелната инфраструктура на пътищата от трансевропейската транспортна мрежа, да се даде възможност за равнопоставеност в управлението на безопасността и да се намалят административните тежести. Последващи действия във връзка с две оценки, завършени през 2015 г.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</w:rPr>
              <w:t>(включително оценка на въздействието; Член 91 от ДФЕС; четвърто тримесечие/2017 г.)</w:t>
            </w:r>
            <w:r>
              <w:rPr>
                <w:rFonts w:ascii="Times New Roman" w:hAnsi="Times New Roman"/>
                <w:b/>
                <w:noProof/>
                <w:sz w:val="20"/>
              </w:rPr>
              <w:t>.</w:t>
            </w:r>
          </w:p>
        </w:tc>
      </w:tr>
      <w:tr>
        <w:trPr>
          <w:cantSplit/>
        </w:trPr>
        <w:tc>
          <w:tcPr>
            <w:tcW w:w="5000" w:type="pct"/>
            <w:gridSpan w:val="3"/>
            <w:shd w:val="clear" w:color="auto" w:fill="F2F2F2"/>
          </w:tcPr>
          <w:p>
            <w:pPr>
              <w:keepNext/>
              <w:spacing w:before="60" w:after="6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По-задълбочен и по-справедлив икономически и паричен съюз</w:t>
            </w:r>
          </w:p>
        </w:tc>
      </w:tr>
      <w:tr>
        <w:trPr>
          <w:cantSplit/>
        </w:trPr>
        <w:tc>
          <w:tcPr>
            <w:tcW w:w="133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32" w:type="pct"/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Трансгранични плащания</w:t>
            </w:r>
          </w:p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335" w:type="pct"/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Законодателно преразглеждане на Регламент (ЕО) № 924/2009 относно презграничните плащания с цел да се разшири обхватът ѝ до всички валути, различни от еврото, да се подобри докладването на трансграничните плащания и да се намалят таксите за тях, по-специално към и от държавите — членки извън еврозоната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</w:rPr>
              <w:t>(чл. 114 от ДФЕС; четвърто тримесечие/2017 г.)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. </w:t>
            </w:r>
          </w:p>
        </w:tc>
      </w:tr>
      <w:tr>
        <w:trPr>
          <w:cantSplit/>
        </w:trPr>
        <w:tc>
          <w:tcPr>
            <w:tcW w:w="5000" w:type="pct"/>
            <w:gridSpan w:val="3"/>
            <w:shd w:val="clear" w:color="auto" w:fill="F3F3F3"/>
          </w:tcPr>
          <w:p>
            <w:pPr>
              <w:keepNext/>
              <w:spacing w:before="60" w:after="6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Пространство на правосъдие и основни права, изградено върху взаимно доверие</w:t>
            </w:r>
            <w:r>
              <w:rPr>
                <w:b/>
                <w:noProof/>
                <w:color w:val="000000"/>
                <w:sz w:val="23"/>
              </w:rPr>
              <w:t xml:space="preserve"> </w:t>
            </w:r>
          </w:p>
        </w:tc>
      </w:tr>
      <w:tr>
        <w:trPr>
          <w:cantSplit/>
        </w:trPr>
        <w:tc>
          <w:tcPr>
            <w:tcW w:w="133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32" w:type="pct"/>
            <w:tcBorders>
              <w:bottom w:val="single" w:sz="4" w:space="0" w:color="auto"/>
            </w:tcBorders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Шенгенска информационна система</w:t>
            </w:r>
          </w:p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335" w:type="pct"/>
            <w:tcBorders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Преразглеждане на Регламент 1987/2006 и на Решение 2007/533/ПВР на Съвета относно създаването, функционирането и използването на Шенгенска информационна система от второ поколение (ШИС II) </w:t>
            </w:r>
            <w:r>
              <w:rPr>
                <w:rFonts w:ascii="Times New Roman" w:hAnsi="Times New Roman"/>
                <w:noProof/>
                <w:sz w:val="20"/>
              </w:rPr>
              <w:t>(член 77, параграф 2, букви б) и г), членове 82 и 87 от ДФЕС; четвърто тримесечие/2016 г.).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 Инициативата представлява последващо действие във връзка с оценката на прилагането на ШИС II, както се изисква от правното основание (Регламент (ЕО) № 1987/2006, Решение 2007/533/ПВР на Съвета; последващи действия във връзка с оценка от 2016 г.</w:t>
            </w:r>
          </w:p>
        </w:tc>
      </w:tr>
      <w:tr>
        <w:trPr>
          <w:cantSplit/>
        </w:trPr>
        <w:tc>
          <w:tcPr>
            <w:tcW w:w="133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32" w:type="pct"/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Законодателство за защита на потребителите</w:t>
            </w:r>
          </w:p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3335" w:type="pct"/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Преразглеждане на Директива 93/13/ЕИО на Съвета относно неравноправните клаузи в потребителските договори, Директива 98/6/ЕО относно защитата на потребителите при обозначаването на цените на стоките, предлагани на потребителите, Директива 1999/44/ЕО относно някои аспекти на продажбата на потребителски стоки и свързаните с тях гаранции, Директива 2005/29/ЕО относно нелоялните търговски практики на вътрешния пазар, Директива 2006/114/ЕО относно заблуждаващата и сравнителната реклама, Директива 2009/22/ЕО относно исковете за преустановяване на нарушения с цел защита на интересите на потребителите и Директива 2011/83/ЕС относно правата на потребителите.</w:t>
            </w:r>
            <w:r>
              <w:rPr>
                <w:rFonts w:ascii="Times New Roman" w:hAnsi="Times New Roman"/>
                <w:noProof/>
                <w:sz w:val="20"/>
              </w:rPr>
              <w:t xml:space="preserve"> (включително оценка на въздействието, четвърто тримесечие/2017 г.) </w:t>
            </w:r>
            <w:r>
              <w:rPr>
                <w:rFonts w:ascii="Times New Roman" w:hAnsi="Times New Roman"/>
                <w:b/>
                <w:noProof/>
                <w:sz w:val="20"/>
              </w:rPr>
              <w:t>Преразглеждането е впоследствие на проверка за пригодност и на оценка.</w:t>
            </w:r>
          </w:p>
        </w:tc>
      </w:tr>
      <w:tr>
        <w:trPr>
          <w:cantSplit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>
            <w:pPr>
              <w:keepNext/>
              <w:spacing w:before="60" w:after="6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Към нова политика за миграцията</w:t>
            </w:r>
          </w:p>
        </w:tc>
      </w:tr>
      <w:tr>
        <w:trPr>
          <w:cantSplit/>
        </w:trPr>
        <w:tc>
          <w:tcPr>
            <w:tcW w:w="133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32" w:type="pct"/>
            <w:tcBorders>
              <w:bottom w:val="single" w:sz="4" w:space="0" w:color="auto"/>
            </w:tcBorders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Визова информационна система</w:t>
            </w:r>
          </w:p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335" w:type="pct"/>
            <w:tcBorders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Предложение за изменение на Регламент 767/2008 относно Визовата информационна система (ВИС) и обмена на данни между държави членки относно визите за краткосрочно пребиваване, както и на Регламент № 810/2009 за създаване на Визов кодекс на Общността (Визов кодекс)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</w:rPr>
              <w:t>(включително оценка на въздействието; член 77, параграф 2, букви а) и б) и член 87 от ДФЕС).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 Последващи действия във връзка с оценка от 2016 г.</w:t>
            </w:r>
          </w:p>
        </w:tc>
      </w:tr>
    </w:tbl>
    <w:p>
      <w:pPr>
        <w:spacing w:after="600"/>
        <w:outlineLvl w:val="0"/>
        <w:rPr>
          <w:noProof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17" w:right="1417" w:bottom="1417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 xml:space="preserve"> Настоящото приложение съдържа списък на законодателни инициативи по REFIT, които се предвижда да бъдат приети през 2017 г. С него се допълват елементите, изброени заедно с новите инициативи в приложение I.</w:t>
      </w:r>
    </w:p>
  </w:footnote>
  <w:footnote w:id="2">
    <w:p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В настоящото приложение Комисията предоставя допълнителна информация, доколкото е на разположение, относно инициативите, включени в нейната Работна програма, в съответствие с Междуинституционалното споразумение за по-добро законотворчество. Информацията предоставена в скоби под описанието на всяка инициатива е само ориентировъчна и подлежи на промени по време на подготвителния процес, по-специално с оглед на резултатите от процеса на оценка на въздействието.</w:t>
      </w:r>
    </w:p>
    <w:p>
      <w:pPr>
        <w:pStyle w:val="FootnoteText"/>
        <w:jc w:val="both"/>
      </w:pPr>
    </w:p>
    <w:p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7A2"/>
    <w:multiLevelType w:val="hybridMultilevel"/>
    <w:tmpl w:val="DC52E516"/>
    <w:lvl w:ilvl="0" w:tplc="50041C60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D369E"/>
    <w:multiLevelType w:val="hybridMultilevel"/>
    <w:tmpl w:val="02CA5520"/>
    <w:lvl w:ilvl="0" w:tplc="FD7E75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E45813"/>
    <w:multiLevelType w:val="hybridMultilevel"/>
    <w:tmpl w:val="2C16C1E6"/>
    <w:lvl w:ilvl="0" w:tplc="50041C60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2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F996FC6AFD2E4297B4152EDFB3CC43FB"/>
    <w:docVar w:name="LW_CROSSREFERENCE" w:val="{SWD(2016) 400 final}"/>
    <w:docVar w:name="LW_DocType" w:val="NORMAL"/>
    <w:docVar w:name="LW_EMISSION" w:val="25.10.2016"/>
    <w:docVar w:name="LW_EMISSION_ISODATE" w:val="2016-10-25"/>
    <w:docVar w:name="LW_EMISSION_LOCATION" w:val="STR"/>
    <w:docVar w:name="LW_EMISSION_PREFIX" w:val="Страсбург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56?\u1072?\u1073?\u1086?\u1090?\u1085?\u1072? \u1087?\u1088?\u1086?\u1075?\u1088?\u1072?\u1084?\u1072? \u1085?\u1072? \u1050?\u1086?\u1084?\u1080?\u1089?\u1080?\u1103?\u1090?\u1072? \u1079?\u1072? 2017 \u1075?._x000b__x000b_\u1045?\u1074?\u1088?\u1086?\u1087?\u1072? \u1085?\u1072? \u1088?\u1077?\u1079?\u1091?\u1083?\u1090?\u1072?\u1090?\u1080?\u1090?\u1077?: \u1079?\u1072?\u1082?\u1088?\u1080?\u1083?\u1072?, \u1087?\u1088?\u1077?\u1076?\u1086?\u1089?\u1090?\u1072?\u1074?\u1103?\u1085?\u1077? \u1085?\u1072? \u1087?\u1086?\u1074?\u1077?\u1095?\u1077? \u1087?\u1088?\u1072?\u1074?\u1072? \u1080? \u1079?\u1072?\u1097?\u1080?\u1090?\u1072? \u1085?\u1072? \u1075?\u1088?\u1072?\u1078?\u1076?\u1072?\u1085?\u1080?\u1090?\u1077?"/>
    <w:docVar w:name="LW_PART_NBR" w:val="1"/>
    <w:docVar w:name="LW_PART_NBR_TOTAL" w:val="1"/>
    <w:docVar w:name="LW_REF.INST.NEW" w:val="COM"/>
    <w:docVar w:name="LW_REF.INST.NEW_ADOPTED" w:val="final"/>
    <w:docVar w:name="LW_REF.INST.NEW_TEXT" w:val="(2016) 710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, \u1057?\u1066?\u1042?\u1045?\u1058?\u1040?, \u1045?\u1042?\u1056?\u1054?\u1055?\u1045?\u1049?\u1057?\u1050?\u1048?\u1071? \u1048?\u1050?\u1054?\u1053?\u1054?\u1052?\u1048?\u1063?\u1045?\u1057?\u1050?\u1048? \u1048? \u1057?\u1054?\u1062?\u1048?\u1040?\u1051?\u1045?\u1053? \u1050?\u1054?\u1052?\u1048?\u1058?\u1045?\u1058? \u1048? \u1050?\u1054?\u1052?\u1048?\u1058?\u1045?\u1058?\u1040? \u1053?\u1040? \u1056?\u1045?\u1043?\u1048?\u1054?\u1053?\u1048?\u1058?\u1045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,Fußnote"/>
    <w:basedOn w:val="Normal"/>
    <w:link w:val="FootnoteTextChar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aliases w:val="Footnote Reference Superscript,Footnote symbol,Footnote reference number,note TESI,SUPERS,EN Footnote Reference,Voetnootverwijzing,Times 10 Point,Exposant 3 Point,Appel note de bas de p,BVI fnr,Ref,de nota al pie,EN Footnote text,num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  <w:outlineLvl w:val="0"/>
    </w:pPr>
    <w:rPr>
      <w:rFonts w:ascii="Times New Roman" w:hAnsi="Times New Roman"/>
      <w:noProof/>
      <w:sz w:val="24"/>
      <w:szCs w:val="28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Calibri" w:hAnsi="Times New Roman" w:cs="Times New Roman"/>
      <w:noProof/>
      <w:sz w:val="24"/>
      <w:szCs w:val="28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  <w:outlineLvl w:val="0"/>
    </w:pPr>
    <w:rPr>
      <w:rFonts w:ascii="Times New Roman" w:hAnsi="Times New Roman"/>
      <w:noProof/>
      <w:sz w:val="24"/>
      <w:szCs w:val="28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Calibri" w:hAnsi="Times New Roman" w:cs="Times New Roman"/>
      <w:noProof/>
      <w:sz w:val="24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,Fußnote"/>
    <w:basedOn w:val="Normal"/>
    <w:link w:val="FootnoteTextChar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aliases w:val="Footnote Reference Superscript,Footnote symbol,Footnote reference number,note TESI,SUPERS,EN Footnote Reference,Voetnootverwijzing,Times 10 Point,Exposant 3 Point,Appel note de bas de p,BVI fnr,Ref,de nota al pie,EN Footnote text,num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  <w:outlineLvl w:val="0"/>
    </w:pPr>
    <w:rPr>
      <w:rFonts w:ascii="Times New Roman" w:hAnsi="Times New Roman"/>
      <w:noProof/>
      <w:sz w:val="24"/>
      <w:szCs w:val="28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Calibri" w:hAnsi="Times New Roman" w:cs="Times New Roman"/>
      <w:noProof/>
      <w:sz w:val="24"/>
      <w:szCs w:val="28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  <w:outlineLvl w:val="0"/>
    </w:pPr>
    <w:rPr>
      <w:rFonts w:ascii="Times New Roman" w:hAnsi="Times New Roman"/>
      <w:noProof/>
      <w:sz w:val="24"/>
      <w:szCs w:val="28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Calibri" w:hAnsi="Times New Roman" w:cs="Times New Roman"/>
      <w:noProof/>
      <w:sz w:val="24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BA3DD-9A7C-4FD3-A963-9A8F7F659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1182</Words>
  <Characters>7459</Characters>
  <Application>Microsoft Office Word</Application>
  <DocSecurity>0</DocSecurity>
  <Lines>165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David (SG)</dc:creator>
  <cp:lastModifiedBy>DIGIT/A3</cp:lastModifiedBy>
  <cp:revision>14</cp:revision>
  <cp:lastPrinted>2016-10-24T19:23:00Z</cp:lastPrinted>
  <dcterms:created xsi:type="dcterms:W3CDTF">2016-10-25T06:08:00Z</dcterms:created>
  <dcterms:modified xsi:type="dcterms:W3CDTF">2016-11-07T08:58:00Z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2</vt:lpwstr>
  </property>
  <property fmtid="{D5CDD505-2E9C-101B-9397-08002B2CF9AE}" pid="3" name="Last annex">
    <vt:lpwstr>2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