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A529F8985704BA48AF1BCEAE2512852" style="width:451.25pt;height:461.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480"/>
        <w:jc w:val="center"/>
        <w:outlineLvl w:val="0"/>
        <w:rPr>
          <w:rFonts w:ascii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IV: Оттеглени предложения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</w:p>
    <w:tbl>
      <w:tblPr>
        <w:tblStyle w:val="TableGrid"/>
        <w:tblW w:w="4981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5"/>
        <w:gridCol w:w="2412"/>
        <w:gridCol w:w="6546"/>
        <w:gridCol w:w="4637"/>
      </w:tblGrid>
      <w:tr>
        <w:trPr>
          <w:cantSplit/>
          <w:trHeight w:val="564"/>
          <w:tblHeader/>
        </w:trPr>
        <w:tc>
          <w:tcPr>
            <w:tcW w:w="186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№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COM/междуинституционален номер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Наименование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Мотиви за оттеглянето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Земеделие и развитие на селските райони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COM/2016/0159</w:t>
            </w:r>
          </w:p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2016/0086/COD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НА ЕВРОПЕЙСКИЯ ПАРЛАМЕНТ И НА СЪВЕТА за определяне на предвидената в Регламент (ЕС) № 1306/2013 ставка на корекция на директните плащания за календарната 2016 г.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този въпрос бе разрешен с Регламент за изпълнение (ЕС) № 2016/1153 на Комисията от 14 юли 2016 г.</w:t>
            </w:r>
          </w:p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Действия по климата и енергетика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</w:t>
            </w:r>
            <w:r>
              <w:rPr>
                <w:rFonts w:ascii="Times New Roman" w:hAnsi="Times New Roman"/>
                <w:noProof/>
              </w:rPr>
              <w:t>2014</w:t>
            </w:r>
            <w:r>
              <w:rPr>
                <w:rFonts w:ascii="Times New Roman" w:hAnsi="Times New Roman"/>
                <w:noProof/>
                <w:color w:val="000000"/>
              </w:rPr>
              <w:t>/0566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2014/0262/NLE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с указания за Комисията за водене на преговори за изменение на Конвенцията за ядрената безопасност (КЯБ) в рамките на дипломатическа конференция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предложението е неактуално, тъй като измененията бяха включени във Виенската конвенция за ядрена безопасност.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Икономически и финансови въпроси, данъчно облагане и митници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COM/2011/0121</w:t>
            </w:r>
          </w:p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2011/0058/CNS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СЪВЕТА относно обща консолидирана основа за облагане с корпоративен данък (ОКООКД)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изпълнение на плана си за действие относно корпоративното данъчно облагане от юни 2015 г. Комисията дава отново ход на общата консолидирана основа за облагане с корпоративен данък (ОКООКД) чрез нов поетапен подход. На 25 октомври 2016 г. беше прието законодателно предложение за задължителна обща основа за облагане с корпоративен данък. В съответствие с вече обявеното в Работната програма на Комисията за 2016 г. съществуващото предложение бе оттеглено същевременно.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keepNext/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Външни работи и политика на сигурност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COM/2005/0397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относно позиция на Общността в Съвместния комитет относно прилагането на член 66 от Временното евро-средиземноморско споразумение за асоцииране в областта на търговията и сътрудничеството между Европейската общност, от една страна, и Организацията за освобождение на Палестина (ООП), действаща в полза на Палестинската администрация на Западния бряг на река Йордан и ивицата Газа, от друга страна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Не е актуално: последният документ по този въпрос е Решение на Съвместния комитет ЕС-ООП за създаване на шест подкомитета (ОВ L 187, 17.7.2012 г., стр. 64—72).</w:t>
            </w:r>
            <w:r>
              <w:rPr>
                <w:rFonts w:ascii="Times New Roman" w:eastAsia="Times New Roman" w:hAnsi="Times New Roman"/>
                <w:noProof/>
                <w:spacing w:val="-6"/>
              </w:rPr>
              <w:br/>
            </w:r>
          </w:p>
          <w:p>
            <w:pPr>
              <w:jc w:val="both"/>
              <w:rPr>
                <w:rFonts w:ascii="Times New Roman" w:eastAsia="Times New Roman" w:hAnsi="Times New Roman"/>
                <w:noProof/>
                <w:spacing w:val="-6"/>
              </w:rPr>
            </w:pP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JOIN/2015/0035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2015/0303/NLE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Съвместно предложение за РЕШЕНИЕ НА СЪВЕТА за подписване от името на Европейския съюз на Споразумението за сътрудничество за партньорство и развитие между Европейския съюз и Ислямска република Афганистан </w:t>
            </w:r>
          </w:p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То бе заменено с предложение за смесено споразумение, включително временно прилагане </w:t>
            </w:r>
            <w:r>
              <w:rPr>
                <w:noProof/>
              </w:rPr>
              <w:t>(</w:t>
            </w:r>
            <w:r>
              <w:rPr>
                <w:rFonts w:ascii="Times New Roman" w:hAnsi="Times New Roman"/>
                <w:noProof/>
              </w:rPr>
              <w:t xml:space="preserve">JOIN (2016)45).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Здравеопазване и безопасност на храните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COM/2014/0004</w:t>
            </w:r>
          </w:p>
          <w:p>
            <w:pPr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2014/0033/COD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ЕВРОПЕЙСКИЯ ПАРЛАМЕНТ И НА СЪВЕТА за изменение на директиви 89/608/ЕИО, 90/425/ЕИО и 91/496/ЕИО по отношение на препратките към законодателството в зоотехническата област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 е актуално: същината на предлаганата директива е възпроизведена в наскоро приетия Регламент (ЕС) 2016/1012 на Европейския парламент и на Съвета относно зоотехнически и генеалогични условия за развъждане, търговия и въвеждане в Съюза на чистопородни разплодни животни, хибридни разплодни свине и зародишни продукти от тях (ОВ L 171, 29.6.2016 г., стр. 66—143).  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COM/2007/0872</w:t>
            </w:r>
          </w:p>
          <w:p>
            <w:pPr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2008/0002/COD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относно новите храни, изменящ Регламент (ЕО) № XXX/XXXX [обща процедура]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 е актуално: помирителната процедура през 2011 г. бе неуспешна.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Вътрешен пазар, промишленост, предприемачество и МСП</w:t>
            </w:r>
          </w:p>
        </w:tc>
      </w:tr>
      <w:tr>
        <w:trPr>
          <w:cantSplit/>
        </w:trPr>
        <w:tc>
          <w:tcPr>
            <w:tcW w:w="186" w:type="pct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SEC(2010) 312 </w:t>
            </w:r>
          </w:p>
        </w:tc>
        <w:tc>
          <w:tcPr>
            <w:tcW w:w="2318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Препоръка на Европейската комисия към Съвета за упълномощаване на Европейската комисия да започне преговори с държави извън ЕС с оглед сключване на споразумения относно инсталирането на наземни станции на „Галилео“.</w:t>
            </w:r>
          </w:p>
        </w:tc>
        <w:tc>
          <w:tcPr>
            <w:tcW w:w="1643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Тази препоръка от 2010 г. не бе приета от Съвета, тъй като бе избран алтернативен начин за действие: вместо да се договоря инсталирането на наземни станции „Галилео“ в трети държави, което бе първоначалната цел на това предложение, държавите членки изразиха предпочитание за разполагането им на териториите на държавите — членки на ЕС.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Правосъдие, потребители и равнопоставеност между половете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COM/2011/0126</w:t>
            </w:r>
          </w:p>
          <w:p>
            <w:pPr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2011/0059/CNS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СЪВЕТА относно компетентността, приложимото право, признаването и изпълнението на решения по въпроси, свързани с имуществения режим между съпрузи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това предложение беше заменено с предложение по процедурата за засилено сътрудничество (COM(2016)108)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COM/2011/0127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2011/0060/CNS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СЪВЕТА относно компетентността, приложимото право, признаването и изпълнението на решения в областта на имуществените последици на регистрираните партньорства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това предложение беше заменено с предложения по процедурата за засилено сътрудничество (COM(2016)107/108)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keepNext/>
              <w:spacing w:before="60" w:after="6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Миграция, вътрешни работи и гражданство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COM/2013/0097</w:t>
            </w:r>
          </w:p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2013/0059/COD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за създаване на Програма за регистрирани пътници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Предложението вече бе посочено в списъка на оттеглени или изменени текущи предложения, включен в Работната програма на Комисията за 2016 г. Както е посочено в предложението за регламент на Европейския парламент и на Съвета за създаване на система за влизане/излизане (EES), COM(2016)194 final, при приемането на предложението за EES Комисията оттегли предложението за създаване на програма за регистрирани пътници (вж. PV(2016)2172 final).   </w:t>
            </w:r>
            <w:r>
              <w:rPr>
                <w:rFonts w:ascii="Times New Roman" w:eastAsia="Times New Roman" w:hAnsi="Times New Roman"/>
                <w:noProof/>
              </w:rPr>
              <w:br/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COM/2013/0619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2013/0305/COD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относно новите психоактивни вещества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 е актуално: някои елементи от това предложение бяха включени в новото предложение за Регламент на Европейския парламент и на Съвета за изменение на Регламент (ЕО) № 1920/2006 по отношение на обмена на информация, системата за ранно предупреждение и процедурата за оценка на риска относно новите психоактивни вещества (COM(2016)547); други елементи бяха включени в предложението за Директива на Европейския парламент и на Съвета за изменение на Рамково решение 2004/757/ПВР на Съвета от 25 октомври 2004 г.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наркотици, във връзка с определението за „наркотици“ (COM(2013)618). 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COM/2009/0703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2009/0190/NLE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за сключване на Споразумението между Европейския съюз и Съединените американски щати относно обработката и предаването на данни за финансови транзакции от Европейския съюз до Съединените щати за целите на програмата за проследяване на финансирането на тероризма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въз основа на друго предложение бе прието Решение на Съвета от 13 юли 2010 г. относно сключването на Споразумението между Европейския съюз и Съединените американски щати относно обработката и изпращането на данни за финансови съобщения от Европейския съюз до Съединените щати за целите на Програмата за проследяване на финансирането на тероризма (COM(2010)316). Следователно предишното предложение може да бъде оттеглено.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keepNext/>
              <w:spacing w:before="120" w:after="12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Търговия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COM/2015/0390</w:t>
            </w:r>
          </w:p>
          <w:p>
            <w:pPr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2015/0170/NLE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относно позицията, която да бъде заета от името на Европейския съюз в рамките на Комитета за асоцииране в състав „Търговия“, създаден със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 е актуално: това предложение беше заменено с предложение COM (2016)649. 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Транспорт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COM/2010/0263</w:t>
            </w:r>
          </w:p>
          <w:p>
            <w:pPr>
              <w:jc w:val="both"/>
              <w:rPr>
                <w:rFonts w:ascii="Times New Roman" w:hAnsi="Times New Roman"/>
                <w:i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2010/0141/NLE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за подписването и временното прилагане на Споразумението между Европейския съюз и Република Перу относно някои аспекти на въздухоплавателните услуги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</w:t>
            </w:r>
            <w:r>
              <w:rPr>
                <w:rFonts w:ascii="Times New Roman" w:hAnsi="Times New Roman"/>
                <w:noProof/>
                <w:color w:val="FF0000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след предоговорянето на споразумението това предложение беше заменено с предложение COM (2013)423. 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COM/2010/0264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2010/0142/NLE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РЕШЕНИЕ НА СЪВЕТА за сключването на Споразумението между Европейския съюз и Република Перу относно някои аспекти на въздухоплавателните услуги  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 е актуално: след предоговорянето на споразумението това предложение беше заменено с предложение COM (2013)424. 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COM/2010/0803</w:t>
            </w:r>
          </w:p>
          <w:p>
            <w:pPr>
              <w:tabs>
                <w:tab w:val="center" w:pos="911"/>
              </w:tabs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2010/0388/NLE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НА СЪВЕТА за сключването на Споразумението между Европейския съюз и Кралство Саудитска Арабия относно някои аспекти на въздухоплавателните услуги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на 15 юни 2014 г. Кралство Саудитска Арабия информира Комисията, че не възнамерява да подпише споразумението. Следователно предложението може да бъде оттеглено.</w:t>
            </w:r>
          </w:p>
        </w:tc>
      </w:tr>
      <w:tr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>
            <w:pPr>
              <w:keepNext/>
              <w:spacing w:before="120" w:after="120"/>
              <w:ind w:right="-17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Кодификация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COM/2011/0120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2011/0053/COD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ЕВРОПЕЙСКИЯ ПАРЛАМЕНТ И НА СЪВЕТА относно гумите за моторни превозни средства и техните ремаркета, както и относно тяхното монтиране (кодифицирн текст)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Остаряло, тъй като съдържа препратка към остаряла разпоредба относно комитологията.</w:t>
            </w:r>
          </w:p>
        </w:tc>
      </w:tr>
      <w:tr>
        <w:trPr>
          <w:cantSplit/>
        </w:trPr>
        <w:tc>
          <w:tcPr>
            <w:tcW w:w="186" w:type="pct"/>
          </w:tcPr>
          <w:p>
            <w:pPr>
              <w:pStyle w:val="ListParagraph"/>
              <w:numPr>
                <w:ilvl w:val="0"/>
                <w:numId w:val="5"/>
              </w:numPr>
              <w:ind w:left="284" w:right="-172" w:hanging="284"/>
              <w:contextualSpacing w:val="0"/>
              <w:rPr>
                <w:rFonts w:ascii="Times New Roman" w:hAnsi="Times New Roman"/>
                <w:noProof/>
              </w:rPr>
            </w:pPr>
          </w:p>
        </w:tc>
        <w:tc>
          <w:tcPr>
            <w:tcW w:w="854" w:type="pct"/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COM/2015/0157</w:t>
            </w:r>
          </w:p>
          <w:p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2015/0082/COD</w:t>
            </w:r>
          </w:p>
        </w:tc>
        <w:tc>
          <w:tcPr>
            <w:tcW w:w="2318" w:type="pct"/>
          </w:tcPr>
          <w:p>
            <w:pPr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относно търговията с определени стоманени продукти между Европейския съюз и Република Казахстан (кодифициран текст)</w:t>
            </w:r>
          </w:p>
        </w:tc>
        <w:tc>
          <w:tcPr>
            <w:tcW w:w="1643" w:type="pct"/>
          </w:tcPr>
          <w:p>
            <w:pPr>
              <w:jc w:val="both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актуално: действието на акта, за който бе предложена кодификация, е прекратено (Известие за прекратяване на действието, ОВ C 425 от 18.12.2015 г.)</w:t>
            </w:r>
          </w:p>
        </w:tc>
      </w:tr>
    </w:tbl>
    <w:p>
      <w:pPr>
        <w:spacing w:after="480"/>
        <w:jc w:val="center"/>
        <w:outlineLvl w:val="0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60615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Настоящият списък включва текущи законодателни предложения, които Комисията възнамерява да оттегли в срок от шест месеца (до април 2017 г.). Той включва също така две вече оттеглени предложения (вж. № 3 и 11), които бяха включени в Работната програма на Комисията за 2016 г., но са посочени тук от съображения за прозрачност.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4B90"/>
    <w:multiLevelType w:val="hybridMultilevel"/>
    <w:tmpl w:val="B9768E9E"/>
    <w:lvl w:ilvl="0" w:tplc="BCD0181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E0F67"/>
    <w:multiLevelType w:val="hybridMultilevel"/>
    <w:tmpl w:val="17DA559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4A529F8985704BA48AF1BCEAE2512852"/>
    <w:docVar w:name="LW_CROSSREFERENCE" w:val="{SWD(2016) 400 final}"/>
    <w:docVar w:name="LW_DocType" w:val="NORMAL"/>
    <w:docVar w:name="LW_EMISSION" w:val="25.10.2016"/>
    <w:docVar w:name="LW_EMISSION_ISODATE" w:val="2016-10-25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7 \u1075?._x000b__x000b_\u1045?\u1074?\u1088?\u1086?\u1087?\u1072? \u1085?\u1072? \u1088?\u1077?\u1079?\u1091?\u1083?\u1090?\u1072?\u1090?\u1080?\u1090?\u1077?: \u1079?\u1072?\u1082?\u1088?\u1080?\u1083?\u1072?, \u1087?\u1088?\u1077?\u1076?\u1086?\u1089?\u1090?\u1072?\u1074?\u1103?\u1085?\u1077? \u1085?\u1072? \u1087?\u1086?\u1074?\u1077?\u1095?\u1077? \u1087?\u1088?\u1072?\u1074?\u1072? \u1080? \u1079?\u1072?\u1097?\u1080?\u1090?\u1072? \u1085?\u1072? \u1075?\u1088?\u1072?\u1078?\u1076?\u1072?\u1085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5CCB-2FC9-4AF8-B71C-D2AC2EED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1248</Words>
  <Characters>7838</Characters>
  <Application>Microsoft Office Word</Application>
  <DocSecurity>0</DocSecurity>
  <Lines>252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DIGIT/A3</cp:lastModifiedBy>
  <cp:revision>13</cp:revision>
  <cp:lastPrinted>2016-10-24T19:26:00Z</cp:lastPrinted>
  <dcterms:created xsi:type="dcterms:W3CDTF">2016-10-25T06:09:00Z</dcterms:created>
  <dcterms:modified xsi:type="dcterms:W3CDTF">2016-11-07T08:58:00Z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