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3BA6BA7F178847B48852B6A630CDD922" style="width:450.4pt;height:461.3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2"/>
          <w:cols w:space="720"/>
          <w:docGrid w:linePitch="360"/>
        </w:sectPr>
      </w:pPr>
    </w:p>
    <w:p>
      <w:pPr>
        <w:spacing w:after="480" w:line="240" w:lineRule="auto"/>
        <w:jc w:val="center"/>
        <w:outlineLvl w:val="0"/>
        <w:rPr>
          <w:rFonts w:ascii="Times New Roman" w:eastAsia="Times New Roman" w:hAnsi="Times New Roman"/>
          <w:noProof/>
          <w:sz w:val="20"/>
          <w:szCs w:val="20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8"/>
          <w:u w:val="single"/>
        </w:rPr>
        <w:lastRenderedPageBreak/>
        <w:t>Приложение V: Актове, подлежащи на отмяна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01"/>
        <w:gridCol w:w="1273"/>
        <w:gridCol w:w="5824"/>
        <w:gridCol w:w="6803"/>
      </w:tblGrid>
      <w:tr>
        <w:trPr>
          <w:cantSplit/>
          <w:trHeight w:val="471"/>
          <w:tblHeader/>
        </w:trPr>
        <w:tc>
          <w:tcPr>
            <w:tcW w:w="174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>
            <w:pPr>
              <w:tabs>
                <w:tab w:val="left" w:pos="176"/>
              </w:tabs>
              <w:spacing w:after="0"/>
              <w:ind w:left="142" w:hanging="108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№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Област на политиката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Наименование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Мотиви за отмяната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Земеделие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Хоризонтално действие за замяна на редица остарели регламенти на Комисията в областта на пазарите на селскостопански продукти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Целта на това действие е, от една страна, да се адаптират регламентите на Комисията, приети преди Договора от Лисабон, с правилата за общата организация на пазарите на селскостопански продукти, посочени в Регламент (ЕС) № 1308/2013, а от друга страна, доколкото е възможно, да се опростят действащите правила. В резултат на това редица регламенти на Комисията в областта на пазарите на селскостопански продукти ще бъдат отменени и заменени с нови делегирани актове и актове за изпълнение.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Трудова заетост 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Решение за изпълнение (ЕС) 2012/733 на Комисията от 26 ноември 2012 г. за изпълнение на Регламент (ЕС) № 492/2011 на Европейския парламент и на Съвета по отношение на попълването на свободните работни места и повторното създаване на EURES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Заменен с Регламент (ЕС) 2016/589, както е предвидено в глава II от Регламент (ЕС) № 492/2011.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Енергетика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Регламент (ЕС) № 256/2014 на Европейския парламент и на Съвета от 26 февруари 2014 г. относно нотифицирането до Комисията на инвестиционните проекти в областта на енергийната инфраструктура в Европейския съюз, за замяна на Регламент (ЕС, Евратом) № 617/2010 и за отмяна на Регламент (ЕО) № 736/96 на Съвета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Посоченият регламент не предоставя никаква добавена стойност и се припокрива значително с други правни актове, както се вижда от проверката за пригодност на задълженията за докладване, планиране и мониторинг, съдържащи се в постиженията на правото на ЕС в областта на енергетиката. Освен това в таблицата по програмата REFIT за 2015 г. регламентът вече бе набелязан за отмяна.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Безопасност на храните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Решение (ЕИО) № 92/176 на Комисията от 2 март 1992 г. относно географските карти, които трябва да бъдат предвидени за целите на мрежата “Анимо”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То бе заменено с онлайн инструмента за управление на експертната система за контрол на търговията (TRACES), обхващащ всички санитарни изисквания за търговията в рамките на ЕС и вноса на животни, сперма и ембриони, храни, фуражи и растения.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Безопасност на храните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Решение (ЕО) 2002/623 на Комисията от 24 юли 2002 г. за установяване на обяснителни бележки, които да допълнят приложение ІІ към Директива (ЕО) 2001/18 на Европейския парламент и на Съвета относно съзнателното освобождаване на генетично модифицирани организми в околната среда и за отмяна на Директива (ЕИО) 90/220 на Съвета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В Решение (ЕО) 2002/623 на Комисията са предвидени насоки относно оценката на риска за околната среда (ОРОС) от ГМО, посоченa в приложение II към Директива (ЕО) 2001/18 относно съзнателното освобождаване на ГМО в околната среда. През 2017 г. Комисията ще приеме нова директива, която съгласно изискванията на Директива (ЕС) 2015/412 ще съдържа ключовите елементи на всеобхватните насоки на ЕОБХ относно ОРОС от 2010 г.,включени в приложение II към Директива (ЕО) 2001/18. В резултат на това Решение (ЕО) 2002/623 ще стане неактуално. С цел опростяване в полза на операторите и на националните органи е целесъобразно Решение (ЕО) 2002/623 да бъде отменено успоредно с приемането на новата директива.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Безопасност на храните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Решение (ЕО) 2005/463 на Комисията от 21 юни 2005 г. за създаване на мрежа за обмен и координация на информация по отношение на съвместното съществуване на генетично модифицирани, традиционни и органични култури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Предлага се разпускането на тази експертна група с оглед по-специално на преразгледаните хоризонтални правила на Комисията за създаването и функционирането на експертните групи към нея, приети през май 2016 г., и на липсата на дейност на същата експертна група през последните 5 години.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Вътрешен пазар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Theme="minorHAnsi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Директива (ЕИО) 73/361 на Съвета от 19 ноември 1973 г. относно сближаване на законовите, подзаконовите и административните разпоредби на държавите членки, свързани със сертифицирането и маркирането на телени въжета, вериги и куки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Theme="minorHAnsi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В настоящата си форма този акт вече не съдържа материални правила, които продължават да са приложими, тъй като някои от неговите разпоредби бяха отменени с Директива (ЕИО) 91/368 на Съвета за изменение на предишната Директива (ЕИО) 89/392 за машините, и други бяха отменени или заменени с приложение III към Регламент (ЕО) № 807/2003 на Съвета. Останалите разпоредби са остарели и съответните разпоредби за безопасността са включени в Директива (ЕС) 2014/33 относно асансьорите.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both"/>
              <w:rPr>
                <w:rFonts w:ascii="Times New Roman" w:eastAsiaTheme="minorHAnsi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Вътрешен пазар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Решение (ЕО) 2009/767 на Комисията на Комисията от 16 октомври 2009 г. за определяне на мерки, улесняващи прилагането на процедури с помощта на електронни средства чрез „единични звена за контакт“ в съответствие с Директива (ЕО) № 2006/123 на Европейския парламент и на Съвета относно услугите на вътрешния пазар 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Theme="minorHAnsi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Задълженията и техническите спецификации, посочени в Решение (ЕО) 2009/767, са обхванати понастоящем от Регламент (ЕС) № 910/2014 относно електронната идентификация и удостоверителните услуги при електронни трансакции на вътрешния пазар и за отмяна на Директива (ЕО) 1999/93, както и от решения за изпълнение на Комисията (ЕС) 2015/1505 и (ЕС) 2015/1506. Поради това Решение (ЕО) 2009/767 вече не е актуално.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Вътрешен пазар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Решение (ЕС) 2011/130 на Комисията от 25 февруари 2011 г. за установяване на минимални изисквания за трансграничната обработка на документи, подписани електронно от компетентните органи съгласно Директива (ЕО) 2006/123 на Европейския парламент и на Съвета относно услугите на вътрешния пазар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Задълженията и техническите спецификации, посочени в Решение (ЕС) 2011/130, са обхванати понастоящем от Регламент (ЕС) № 910/2014 относно електронната идентификация и удостоверителните услуги при електронни трансакции на вътрешния пазар и за отмяна на Директива (ЕО) 1999/93, както и от решения за изпълнение на Комисията (ЕС) 2015/1505 и (ЕС) 2015/1506. Поради това Решение (ЕС) № 2011/130 вече не е актуално.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Данъчно облагане и митници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Регламент (ЕИО) № 3510/80 на Комисията от 23 декември 1980 г. относно определение на понятието за продукти с произход за прилагането на тарифните преференции, предоставени от Европейската икономическа общност по отношение на определени продукти от развиващи се страни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Посоченият регламент на Комисията е остарял след последователни реформи на преференциалните правила за произход. Последните и актуални преференциални правила за произход са понастоящем в Регламент (ЕС) № 952/2013 (Митнически кодекс на Съюза), Делегиран регламент (ЕС) 2015/2446 и Регламент за изпълнение (ЕС) 2015/2447 (с последните два регламента се заменят разпоредбите относно прилагането на предишния Митнически кодекс от 1992 г.).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Данъчно облагане и митници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Регламент (ЕО) № 1147/2002 на Съвета от 25 юни 2002 г. относно суспендиране на автономните мита по Общата митническа тарифа за някои стоки, внасяни с разрешителни за въздухоплаване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Отмяната на този регламент на Съвета ще бъде предложена с новото предложение за регламент на Съвета за временно суспендиране на автономните мита по Общата митническа тарифа за някои стоки, внасяни с удостоверение за пускане в експлоатация.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Данъчно облагане и митници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Регламент (ЕО) № 209/2005 на Комисията от 7 февруари 2005 г. за установяване на списъка на текстилните продукти, за които не се изисква доказателство за произход при пускането им в свободно обращение в Общността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Този регламент на Комисията бе акт за изпълнение на Регламент (ЕО) № 1541/98 на Съвета от 13 юли 1998 г., който, от своя страна, бе отменен през 2011 г.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Данъчно облагане и митници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Решение (ЕО) № 70/2008 на Европейския парламент и на Съвета от 15 януари 2008 г. относно безкнижна среда в митниците и търговията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Развитието на митническото законодателство и високата степен на прецизност и хармонизиране, с която бе установено правното задължение за използване на електронни системи, направиха излишно Решението за електронни митници от 2008 г. Основните разпоредби от решението са вече заменени с изключение на член 4, параграфи 4 — 7 от решението, свързани с обслужването на едно гише. Подготовката на ново правно основание за обслужването на едно гише започна и предложение ще бъде направено успоредно с предложението за отмяна на Решение (ЕО) № 70/2008 на Съвета.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Данъчно облагане и митници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Решение за изпълнение (ЕС) 2011/544 на Комисията от 16 септември 2011 г. за определянето на общ фискален маркер за газьол и керосин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Решението за изпълнение ще бъде заменено с ново, считано от 2017 г., поради което същевременно ще бъде отменено.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Транспорт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Директива (ЕИО) 89/629 на Съвета от 4 декември 1989 г. относно ограничаването на шумовите емисии от граждански дозвукови реактивни самолети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highlight w:val="yellow"/>
              </w:rPr>
            </w:pPr>
            <w:r>
              <w:rPr>
                <w:rFonts w:ascii="Times New Roman" w:hAnsi="Times New Roman"/>
                <w:noProof/>
                <w:sz w:val="20"/>
              </w:rPr>
              <w:t>Посочената директива е станала излишна поради приемането и транспонирането на Директива (ЕО) 2006/93, в която е предвиден по-широк и по-стриктен подход. С Директива (ЕИО) 89/629 се допускаше дадено шумно въздухоплавателно средство да остане в експлоатация, ако вече е вписано в националните регистри. Вече не се допускаше обаче включването на нова регистрация на такова шумно въздухоплавателно средство (правило за недобавяне). Следователно все още беше възможно използването на по-стари и шумни въздухоплавателни средства. С Директива (ЕО) 2006/93 се въведе пълно спиране от експлоатация на всички шумни въздухоплавателни средства, включително попадащите в обхвата на Директива (ЕИО) № 89/629, независимо от това дали са вече регистрирани, или не. Това означава, че вече не бе позволено да летят в ЕС въздухоплавателни средства, които не отговарят на стандартите, като те трябваше да бъдат заличени от националните регистри.</w:t>
            </w:r>
          </w:p>
        </w:tc>
      </w:tr>
      <w:tr>
        <w:trPr>
          <w:cantSplit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Транспорт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Регламент (ЕИО) № 3572/90 на Съвета от 4 декември 1990 г. за изменение в резултат на обединението на Германия на някои директиви, решения и регламенти за автомобилен, железопътен транспорт и транспорт по вътрешни водни пътища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Правните актове, изменени с Регламента, са отменени или в процес на отмяна. След като регламентът по този начин е станал неактуален, той следва да бъде отменен.</w:t>
            </w:r>
          </w:p>
        </w:tc>
      </w:tr>
    </w:tbl>
    <w:p>
      <w:pPr>
        <w:spacing w:after="480"/>
        <w:outlineLvl w:val="0"/>
        <w:rPr>
          <w:noProof/>
        </w:rPr>
      </w:pP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1417" w:bottom="284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7A2"/>
    <w:multiLevelType w:val="hybridMultilevel"/>
    <w:tmpl w:val="DC52E516"/>
    <w:lvl w:ilvl="0" w:tplc="50041C60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D369E"/>
    <w:multiLevelType w:val="hybridMultilevel"/>
    <w:tmpl w:val="02CA5520"/>
    <w:lvl w:ilvl="0" w:tplc="FD7E75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E45813"/>
    <w:multiLevelType w:val="hybridMultilevel"/>
    <w:tmpl w:val="2C16C1E6"/>
    <w:lvl w:ilvl="0" w:tplc="50041C60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74B90"/>
    <w:multiLevelType w:val="hybridMultilevel"/>
    <w:tmpl w:val="B9768E9E"/>
    <w:lvl w:ilvl="0" w:tplc="BCD0181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C143F"/>
    <w:multiLevelType w:val="hybridMultilevel"/>
    <w:tmpl w:val="D136839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\u1082?\u1098?\u1084?"/>
    <w:docVar w:name="LW_ANNEX_NBR_FIRST" w:val="5"/>
    <w:docVar w:name="LW_ANNEX_NBR_LAST" w:val="5"/>
    <w:docVar w:name="LW_CONFIDENCE" w:val=" "/>
    <w:docVar w:name="LW_CONST_RESTREINT_UE" w:val="RESTREINT UE"/>
    <w:docVar w:name="LW_CORRIGENDUM" w:val="&lt;UNUSED&gt;"/>
    <w:docVar w:name="LW_COVERPAGE_GUID" w:val="3BA6BA7F178847B48852B6A630CDD922"/>
    <w:docVar w:name="LW_CROSSREFERENCE" w:val="{SWD(2016) 400 final}"/>
    <w:docVar w:name="LW_DocType" w:val="NORMAL"/>
    <w:docVar w:name="LW_EMISSION" w:val="25.10.2016"/>
    <w:docVar w:name="LW_EMISSION_ISODATE" w:val="2016-10-25"/>
    <w:docVar w:name="LW_EMISSION_LOCATION" w:val="STR"/>
    <w:docVar w:name="LW_EMISSION_PREFIX" w:val="Страсбург, "/>
    <w:docVar w:name="LW_EMISSION_SUFFIX" w:val=" \u1075?."/>
    <w:docVar w:name="LW_ID_DOCTYPE_NONLW" w:val="CP-039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_x000b_\u1056?\u1072?\u1073?\u1086?\u1090?\u1085?\u1072? \u1087?\u1088?\u1086?\u1075?\u1088?\u1072?\u1084?\u1072? \u1085?\u1072? \u1050?\u1086?\u1084?\u1080?\u1089?\u1080?\u1103?\u1090?\u1072? \u1079?\u1072?  2017 \u1075?._x000b__x000b_\u1045?\u1074?\u1088?\u1086?\u1087?\u1072? \u1085?\u1072? \u1088?\u1077?\u1079?\u1091?\u1083?\u1090?\u1072?\u1090?\u1080?\u1090?\u1077?: \u1079?\u1072?\u1082?\u1088?\u1080?\u1083?\u1072?, \u1087?\u1088?\u1077?\u1076?\u1086?\u1089?\u1090?\u1072?\u1074?\u1103?\u1085?\u1077? \u1085?\u1072? \u1087?\u1086?\u1074?\u1077?\u1095?\u1077? \u1087?\u1088?\u1072?\u1074?\u1072? \u1080? \u1079?\u1072?\u1097?\u1080?\u1090?\u1072? \u1085?\u1072? \u1075?\u1088?\u1072?\u1078?\u1076?\u1072?\u1085?\u1080?\u1090?\u1077?"/>
    <w:docVar w:name="LW_PART_NBR" w:val="1"/>
    <w:docVar w:name="LW_PART_NBR_TOTAL" w:val="1"/>
    <w:docVar w:name="LW_REF.INST.NEW" w:val="COM"/>
    <w:docVar w:name="LW_REF.INST.NEW_ADOPTED" w:val="final"/>
    <w:docVar w:name="LW_REF.INST.NEW_TEXT" w:val="(2016) 710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45?_x000b_"/>
    <w:docVar w:name="LW_TYPEACTEPRINCIPAL.CP" w:val="\u1057?\u1066?\u1054?\u1041?\u1065?\u1045?\u1053?\u1048?\u1045? \u1053?\u1040? \u1050?\u1054?\u1052?\u1048?\u1057?\u1048?\u1071?\u1058?\u1040? \u1044?\u1054? \u1045?\u1042?\u1056?\u1054?\u1055?\u1045?\u1049?\u1057?\u1050?\u1048?\u1071? \u1055?\u1040?\u1056?\u1051?\u1040?\u1052?\u1045?\u1053?\u1058?, \u1057?\u1066?\u1042?\u1045?\u1058?\u1040?, \u1045?\u1042?\u1056?\u1054?\u1055?\u1045?\u1049?\u1057?\u1050?\u1048?\u1071? \u1048?\u1050?\u1054?\u1053?\u1054?\u1052?\u1048?\u1063?\u1045?\u1057?\u1050?\u1048? \u1048? \u1057?\u1054?\u1062?\u1048?\u1040?\u1051?\u1045?\u1053? \u1050?\u1054?\u1052?\u1048?\u1058?\u1045?\u1058? \u1048? \u1050?\u1054?\u1052?\u1048?\u1058?\u1045?\u1058?\u1040? \u1053?\u1040? \u1056?\u1045?\u1043?\u1048?\u1054?\u1053?\u1048?\u1058?\u1045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"/>
    <w:basedOn w:val="Normal"/>
    <w:link w:val="FootnoteTextChar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uiPriority w:val="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  <w:outlineLvl w:val="0"/>
    </w:pPr>
    <w:rPr>
      <w:rFonts w:ascii="Times New Roman" w:hAnsi="Times New Roman"/>
      <w:noProof/>
      <w:sz w:val="24"/>
      <w:szCs w:val="28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eastAsia="Calibri" w:hAnsi="Times New Roman" w:cs="Times New Roman"/>
      <w:noProof/>
      <w:sz w:val="24"/>
      <w:szCs w:val="28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  <w:outlineLvl w:val="0"/>
    </w:pPr>
    <w:rPr>
      <w:rFonts w:ascii="Times New Roman" w:hAnsi="Times New Roman"/>
      <w:noProof/>
      <w:sz w:val="24"/>
      <w:szCs w:val="28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eastAsia="Calibri" w:hAnsi="Times New Roman" w:cs="Times New Roman"/>
      <w:noProof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"/>
    <w:basedOn w:val="Normal"/>
    <w:link w:val="FootnoteTextChar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uiPriority w:val="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  <w:outlineLvl w:val="0"/>
    </w:pPr>
    <w:rPr>
      <w:rFonts w:ascii="Times New Roman" w:hAnsi="Times New Roman"/>
      <w:noProof/>
      <w:sz w:val="24"/>
      <w:szCs w:val="28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eastAsia="Calibri" w:hAnsi="Times New Roman" w:cs="Times New Roman"/>
      <w:noProof/>
      <w:sz w:val="24"/>
      <w:szCs w:val="28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  <w:outlineLvl w:val="0"/>
    </w:pPr>
    <w:rPr>
      <w:rFonts w:ascii="Times New Roman" w:hAnsi="Times New Roman"/>
      <w:noProof/>
      <w:sz w:val="24"/>
      <w:szCs w:val="28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eastAsia="Calibri" w:hAnsi="Times New Roman" w:cs="Times New Roman"/>
      <w:noProof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56B4-FE8A-4881-B6BD-AECC2F97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1499</Words>
  <Characters>8490</Characters>
  <Application>Microsoft Office Word</Application>
  <DocSecurity>0</DocSecurity>
  <Lines>223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David (SG)</dc:creator>
  <cp:lastModifiedBy>DIGIT/A3</cp:lastModifiedBy>
  <cp:revision>12</cp:revision>
  <cp:lastPrinted>2016-10-24T19:27:00Z</cp:lastPrinted>
  <dcterms:created xsi:type="dcterms:W3CDTF">2016-10-25T06:09:00Z</dcterms:created>
  <dcterms:modified xsi:type="dcterms:W3CDTF">2016-11-07T08:59:00Z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5</vt:lpwstr>
  </property>
  <property fmtid="{D5CDD505-2E9C-101B-9397-08002B2CF9AE}" pid="3" name="Last annex">
    <vt:lpwstr>5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DocStatus">
    <vt:lpwstr>Green</vt:lpwstr>
  </property>
  <property fmtid="{D5CDD505-2E9C-101B-9397-08002B2CF9AE}" pid="7" name="Classification">
    <vt:lpwstr> </vt:lpwstr>
  </property>
</Properties>
</file>