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65" w:rsidRDefault="00315526" w:rsidP="00DE3AF5">
      <w:pPr>
        <w:pStyle w:val="Pagedecouverture"/>
        <w:rPr>
          <w:noProof/>
          <w:lang w:eastAsia="de-DE"/>
        </w:rPr>
      </w:pPr>
      <w:bookmarkStart w:id="0" w:name="LW_BM_COVERPAGE"/>
      <w:bookmarkStart w:id="1" w:name="_GoBack"/>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14D764E590EF48B6ABAADA130FC92A63" style="width:450.75pt;height:447.75pt">
            <v:imagedata r:id="rId9" o:title=""/>
          </v:shape>
        </w:pict>
      </w:r>
      <w:bookmarkEnd w:id="1"/>
    </w:p>
    <w:bookmarkEnd w:id="0"/>
    <w:p w:rsidR="00FB3765" w:rsidRDefault="00FB3765">
      <w:pPr>
        <w:rPr>
          <w:noProof/>
          <w:lang w:eastAsia="de-DE"/>
        </w:rPr>
        <w:sectPr w:rsidR="00FB3765" w:rsidSect="00DE3AF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FB3765" w:rsidRDefault="00820650">
      <w:pPr>
        <w:spacing w:after="480"/>
        <w:jc w:val="center"/>
        <w:outlineLvl w:val="0"/>
        <w:rPr>
          <w:rFonts w:ascii="Times New Roman" w:hAnsi="Times New Roman"/>
          <w:b/>
          <w:i/>
          <w:noProof/>
          <w:sz w:val="20"/>
          <w:szCs w:val="20"/>
          <w:highlight w:val="yellow"/>
          <w:u w:val="single"/>
          <w:lang w:eastAsia="de-DE"/>
        </w:rPr>
      </w:pPr>
      <w:r>
        <w:rPr>
          <w:rFonts w:ascii="Times New Roman" w:hAnsi="Times New Roman"/>
          <w:b/>
          <w:noProof/>
          <w:sz w:val="28"/>
          <w:szCs w:val="28"/>
          <w:u w:val="single"/>
          <w:lang w:eastAsia="de-DE"/>
        </w:rPr>
        <w:lastRenderedPageBreak/>
        <w:t>Annex I: New initiatives</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511"/>
        <w:gridCol w:w="3541"/>
        <w:gridCol w:w="10068"/>
      </w:tblGrid>
      <w:tr w:rsidR="00FB3765">
        <w:trPr>
          <w:cantSplit/>
          <w:tblHeader/>
        </w:trPr>
        <w:tc>
          <w:tcPr>
            <w:tcW w:w="181" w:type="pct"/>
            <w:tcBorders>
              <w:bottom w:val="single" w:sz="4" w:space="0" w:color="auto"/>
            </w:tcBorders>
            <w:shd w:val="clear" w:color="auto" w:fill="99CCFF"/>
            <w:vAlign w:val="center"/>
          </w:tcPr>
          <w:p w:rsidR="00FB3765" w:rsidRDefault="00820650">
            <w:pPr>
              <w:spacing w:after="0"/>
              <w:jc w:val="center"/>
              <w:rPr>
                <w:rFonts w:ascii="Times New Roman" w:hAnsi="Times New Roman"/>
                <w:b/>
                <w:noProof/>
                <w:sz w:val="20"/>
                <w:szCs w:val="20"/>
              </w:rPr>
            </w:pPr>
            <w:r>
              <w:rPr>
                <w:rFonts w:ascii="Times New Roman" w:eastAsia="MS Mincho" w:hAnsi="Times New Roman"/>
                <w:b/>
                <w:bCs/>
                <w:noProof/>
                <w:sz w:val="20"/>
                <w:szCs w:val="20"/>
                <w:lang w:eastAsia="ja-JP"/>
              </w:rPr>
              <w:t>Nº</w:t>
            </w:r>
          </w:p>
        </w:tc>
        <w:tc>
          <w:tcPr>
            <w:tcW w:w="1254" w:type="pct"/>
            <w:tcBorders>
              <w:bottom w:val="single" w:sz="4" w:space="0" w:color="auto"/>
            </w:tcBorders>
            <w:shd w:val="clear" w:color="auto" w:fill="99CCFF"/>
            <w:vAlign w:val="center"/>
          </w:tcPr>
          <w:p w:rsidR="00FB3765" w:rsidRDefault="00820650">
            <w:pPr>
              <w:spacing w:after="0"/>
              <w:jc w:val="center"/>
              <w:rPr>
                <w:rFonts w:ascii="Times New Roman" w:hAnsi="Times New Roman"/>
                <w:b/>
                <w:noProof/>
                <w:sz w:val="20"/>
                <w:szCs w:val="20"/>
              </w:rPr>
            </w:pPr>
            <w:r>
              <w:rPr>
                <w:rFonts w:ascii="Times New Roman" w:hAnsi="Times New Roman"/>
                <w:b/>
                <w:noProof/>
                <w:sz w:val="20"/>
                <w:szCs w:val="20"/>
              </w:rPr>
              <w:t>Title</w:t>
            </w:r>
          </w:p>
        </w:tc>
        <w:tc>
          <w:tcPr>
            <w:tcW w:w="3565" w:type="pct"/>
            <w:tcBorders>
              <w:bottom w:val="single" w:sz="4" w:space="0" w:color="auto"/>
            </w:tcBorders>
            <w:shd w:val="clear" w:color="auto" w:fill="99CCFF"/>
            <w:vAlign w:val="center"/>
          </w:tcPr>
          <w:p w:rsidR="00FB3765" w:rsidRDefault="00820650">
            <w:pPr>
              <w:spacing w:after="0"/>
              <w:jc w:val="center"/>
              <w:rPr>
                <w:rFonts w:ascii="Times New Roman" w:hAnsi="Times New Roman"/>
                <w:b/>
                <w:noProof/>
                <w:sz w:val="20"/>
                <w:szCs w:val="20"/>
              </w:rPr>
            </w:pPr>
            <w:r>
              <w:rPr>
                <w:rFonts w:ascii="Times New Roman" w:hAnsi="Times New Roman"/>
                <w:b/>
                <w:noProof/>
                <w:sz w:val="20"/>
                <w:szCs w:val="20"/>
              </w:rPr>
              <w:t>Description</w:t>
            </w:r>
            <w:r>
              <w:rPr>
                <w:rStyle w:val="FootnoteReference"/>
                <w:rFonts w:ascii="Times New Roman" w:hAnsi="Times New Roman"/>
                <w:b/>
                <w:noProof/>
                <w:sz w:val="20"/>
                <w:szCs w:val="20"/>
              </w:rPr>
              <w:footnoteReference w:id="2"/>
            </w:r>
            <w:r>
              <w:rPr>
                <w:rFonts w:ascii="Times New Roman" w:hAnsi="Times New Roman"/>
                <w:b/>
                <w:noProof/>
                <w:sz w:val="20"/>
                <w:szCs w:val="20"/>
              </w:rPr>
              <w:t xml:space="preserve"> </w:t>
            </w:r>
          </w:p>
        </w:tc>
      </w:tr>
      <w:tr w:rsidR="00FB3765">
        <w:trPr>
          <w:cantSplit/>
        </w:trPr>
        <w:tc>
          <w:tcPr>
            <w:tcW w:w="5000" w:type="pct"/>
            <w:gridSpan w:val="3"/>
            <w:tcBorders>
              <w:top w:val="single" w:sz="4" w:space="0" w:color="auto"/>
              <w:left w:val="single" w:sz="4" w:space="0" w:color="auto"/>
              <w:bottom w:val="single" w:sz="4" w:space="0" w:color="auto"/>
            </w:tcBorders>
            <w:shd w:val="clear" w:color="auto" w:fill="F2F2F2" w:themeFill="background1" w:themeFillShade="F2"/>
          </w:tcPr>
          <w:p w:rsidR="00FB3765" w:rsidRDefault="00820650">
            <w:pPr>
              <w:spacing w:before="60" w:after="60"/>
              <w:rPr>
                <w:rFonts w:ascii="Times New Roman" w:hAnsi="Times New Roman"/>
                <w:b/>
                <w:noProof/>
                <w:sz w:val="20"/>
                <w:szCs w:val="20"/>
              </w:rPr>
            </w:pPr>
            <w:r>
              <w:rPr>
                <w:rFonts w:ascii="Times New Roman" w:hAnsi="Times New Roman"/>
                <w:b/>
                <w:noProof/>
                <w:sz w:val="20"/>
                <w:szCs w:val="20"/>
              </w:rPr>
              <w:t>A New Boost for Jobs, Growth and Investment</w:t>
            </w:r>
          </w:p>
        </w:tc>
      </w:tr>
      <w:tr w:rsidR="00FB3765">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tcPr>
          <w:p w:rsidR="00FB3765" w:rsidRDefault="00820650">
            <w:pPr>
              <w:spacing w:after="0"/>
              <w:rPr>
                <w:rFonts w:ascii="Times New Roman" w:hAnsi="Times New Roman"/>
                <w:b/>
                <w:noProof/>
                <w:sz w:val="20"/>
                <w:szCs w:val="20"/>
              </w:rPr>
            </w:pPr>
            <w:r>
              <w:rPr>
                <w:rFonts w:ascii="Times New Roman" w:hAnsi="Times New Roman"/>
                <w:b/>
                <w:noProof/>
                <w:sz w:val="20"/>
                <w:szCs w:val="20"/>
              </w:rPr>
              <w:t>Youth initiative</w:t>
            </w:r>
          </w:p>
          <w:p w:rsidR="00FB3765" w:rsidRDefault="00FB3765">
            <w:pPr>
              <w:spacing w:after="0"/>
              <w:rPr>
                <w:rFonts w:ascii="Times New Roman" w:hAnsi="Times New Roman"/>
                <w:b/>
                <w:noProof/>
                <w:sz w:val="20"/>
                <w:szCs w:val="20"/>
              </w:rPr>
            </w:pPr>
          </w:p>
        </w:tc>
        <w:tc>
          <w:tcPr>
            <w:tcW w:w="3565" w:type="pct"/>
            <w:tcBorders>
              <w:top w:val="single" w:sz="4" w:space="0" w:color="auto"/>
              <w:left w:val="single" w:sz="4" w:space="0" w:color="auto"/>
              <w:bottom w:val="single" w:sz="4" w:space="0" w:color="auto"/>
            </w:tcBorders>
          </w:tcPr>
          <w:p w:rsidR="00FB3765" w:rsidRDefault="00820650">
            <w:pPr>
              <w:spacing w:after="0"/>
              <w:jc w:val="both"/>
              <w:rPr>
                <w:rFonts w:ascii="Times New Roman" w:hAnsi="Times New Roman"/>
                <w:b/>
                <w:noProof/>
                <w:sz w:val="20"/>
                <w:szCs w:val="20"/>
              </w:rPr>
            </w:pPr>
            <w:r>
              <w:rPr>
                <w:rFonts w:ascii="Times New Roman" w:hAnsi="Times New Roman"/>
                <w:b/>
                <w:noProof/>
                <w:sz w:val="20"/>
                <w:szCs w:val="20"/>
              </w:rPr>
              <w:t xml:space="preserve">The initiative includes a proposal for the creation of a European Solidarity Corps </w:t>
            </w:r>
            <w:r>
              <w:rPr>
                <w:rFonts w:ascii="Times New Roman" w:hAnsi="Times New Roman"/>
                <w:noProof/>
                <w:sz w:val="20"/>
                <w:szCs w:val="20"/>
              </w:rPr>
              <w:t xml:space="preserve">(legislative/ non-legislative) </w:t>
            </w:r>
            <w:r>
              <w:rPr>
                <w:rFonts w:ascii="Times New Roman" w:hAnsi="Times New Roman"/>
                <w:b/>
                <w:noProof/>
                <w:sz w:val="20"/>
                <w:szCs w:val="20"/>
              </w:rPr>
              <w:t>and priority measures to implement the youth aspects of the Skills Agenda, including a quality framework for apprenticeships and a proposal on increased mobility for apprentices</w:t>
            </w:r>
            <w:r>
              <w:rPr>
                <w:rFonts w:ascii="Times New Roman" w:hAnsi="Times New Roman"/>
                <w:noProof/>
                <w:sz w:val="20"/>
                <w:szCs w:val="20"/>
              </w:rPr>
              <w:t xml:space="preserve"> (legislative)</w:t>
            </w:r>
            <w:r>
              <w:rPr>
                <w:rFonts w:ascii="Times New Roman" w:hAnsi="Times New Roman"/>
                <w:b/>
                <w:noProof/>
                <w:sz w:val="20"/>
                <w:szCs w:val="20"/>
              </w:rPr>
              <w:t xml:space="preserve">; modernising school and higher education </w:t>
            </w:r>
            <w:r>
              <w:rPr>
                <w:rFonts w:ascii="Times New Roman" w:hAnsi="Times New Roman"/>
                <w:noProof/>
                <w:sz w:val="20"/>
                <w:szCs w:val="20"/>
              </w:rPr>
              <w:t>(non-legislative; Q2/2017)</w:t>
            </w:r>
            <w:r>
              <w:rPr>
                <w:rFonts w:ascii="Times New Roman" w:hAnsi="Times New Roman"/>
                <w:b/>
                <w:noProof/>
                <w:sz w:val="20"/>
                <w:szCs w:val="20"/>
              </w:rPr>
              <w:t xml:space="preserve">; as well as a proposal for improved tracking of outcomes for graduates but also young people who have followed vocational education and training </w:t>
            </w:r>
            <w:r>
              <w:rPr>
                <w:rFonts w:ascii="Times New Roman" w:hAnsi="Times New Roman"/>
                <w:noProof/>
                <w:sz w:val="20"/>
                <w:szCs w:val="20"/>
              </w:rPr>
              <w:t>(non-legislative; Q2/2017)</w:t>
            </w:r>
            <w:r>
              <w:rPr>
                <w:rFonts w:ascii="Times New Roman" w:hAnsi="Times New Roman"/>
                <w:b/>
                <w:noProof/>
                <w:sz w:val="20"/>
                <w:szCs w:val="20"/>
              </w:rPr>
              <w:t xml:space="preserve">. </w:t>
            </w:r>
          </w:p>
        </w:tc>
      </w:tr>
      <w:tr w:rsidR="00FB3765">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tcPr>
          <w:p w:rsidR="00FB3765" w:rsidRDefault="00820650">
            <w:pPr>
              <w:spacing w:after="0"/>
              <w:rPr>
                <w:rFonts w:ascii="Times New Roman" w:hAnsi="Times New Roman"/>
                <w:b/>
                <w:noProof/>
                <w:sz w:val="20"/>
                <w:szCs w:val="20"/>
              </w:rPr>
            </w:pPr>
            <w:r>
              <w:rPr>
                <w:rFonts w:ascii="Times New Roman" w:hAnsi="Times New Roman"/>
                <w:b/>
                <w:noProof/>
                <w:sz w:val="20"/>
                <w:szCs w:val="20"/>
              </w:rPr>
              <w:t>Implementation of the Action Plan on Circular Economy</w:t>
            </w:r>
          </w:p>
        </w:tc>
        <w:tc>
          <w:tcPr>
            <w:tcW w:w="3565" w:type="pct"/>
            <w:tcBorders>
              <w:top w:val="single" w:sz="4" w:space="0" w:color="auto"/>
              <w:left w:val="single" w:sz="4" w:space="0" w:color="auto"/>
              <w:bottom w:val="single" w:sz="4" w:space="0" w:color="auto"/>
            </w:tcBorders>
          </w:tcPr>
          <w:p w:rsidR="00FB3765" w:rsidRDefault="00820650">
            <w:pPr>
              <w:spacing w:after="0"/>
              <w:jc w:val="both"/>
              <w:rPr>
                <w:rFonts w:ascii="Times New Roman" w:hAnsi="Times New Roman"/>
                <w:b/>
                <w:noProof/>
                <w:sz w:val="20"/>
                <w:szCs w:val="20"/>
              </w:rPr>
            </w:pPr>
            <w:r>
              <w:rPr>
                <w:rFonts w:ascii="Times New Roman" w:hAnsi="Times New Roman"/>
                <w:b/>
                <w:noProof/>
                <w:sz w:val="20"/>
                <w:szCs w:val="20"/>
              </w:rPr>
              <w:t xml:space="preserve">This includes a strategy on plastics use, reuse and recyling </w:t>
            </w:r>
            <w:r>
              <w:rPr>
                <w:rFonts w:ascii="Times New Roman" w:hAnsi="Times New Roman"/>
                <w:noProof/>
                <w:sz w:val="20"/>
                <w:szCs w:val="20"/>
              </w:rPr>
              <w:t>(non-legislative; Q4/2017)</w:t>
            </w:r>
            <w:r>
              <w:rPr>
                <w:rFonts w:ascii="Times New Roman" w:hAnsi="Times New Roman"/>
                <w:b/>
                <w:noProof/>
                <w:sz w:val="20"/>
                <w:szCs w:val="20"/>
              </w:rPr>
              <w:t xml:space="preserve">; measures on water: a proposal for a Regulation on minimum quality requirements for reused water </w:t>
            </w:r>
            <w:r>
              <w:rPr>
                <w:rFonts w:ascii="Times New Roman" w:hAnsi="Times New Roman"/>
                <w:noProof/>
                <w:sz w:val="20"/>
                <w:szCs w:val="20"/>
              </w:rPr>
              <w:t>(incl. impact assessment; Art. 192 TFEU; Q2/2017)</w:t>
            </w:r>
            <w:r>
              <w:rPr>
                <w:rFonts w:ascii="Times New Roman" w:hAnsi="Times New Roman"/>
                <w:b/>
                <w:noProof/>
                <w:sz w:val="20"/>
                <w:szCs w:val="20"/>
              </w:rPr>
              <w:t>;</w:t>
            </w:r>
            <w:r>
              <w:rPr>
                <w:rFonts w:ascii="Times New Roman" w:hAnsi="Times New Roman"/>
                <w:noProof/>
                <w:sz w:val="20"/>
                <w:szCs w:val="20"/>
              </w:rPr>
              <w:t xml:space="preserve"> </w:t>
            </w:r>
            <w:r>
              <w:rPr>
                <w:rFonts w:ascii="Times New Roman" w:hAnsi="Times New Roman"/>
                <w:b/>
                <w:noProof/>
                <w:sz w:val="20"/>
                <w:szCs w:val="20"/>
              </w:rPr>
              <w:t xml:space="preserve">a REFIT revision of the Drinking Water Directive </w:t>
            </w:r>
            <w:r>
              <w:rPr>
                <w:rFonts w:ascii="Times New Roman" w:hAnsi="Times New Roman"/>
                <w:noProof/>
                <w:sz w:val="20"/>
                <w:szCs w:val="20"/>
              </w:rPr>
              <w:t>(incl. impact assessment; Art. 192(1) TFEU; Q4/2017)</w:t>
            </w:r>
            <w:r>
              <w:rPr>
                <w:rFonts w:ascii="Times New Roman" w:hAnsi="Times New Roman"/>
                <w:b/>
                <w:noProof/>
                <w:sz w:val="20"/>
                <w:szCs w:val="20"/>
              </w:rPr>
              <w:t>; an initiative to address legal, technical or practical bottlenecks at the interface of chemical, product and waste legislation</w:t>
            </w:r>
            <w:r>
              <w:rPr>
                <w:rFonts w:ascii="Times New Roman" w:hAnsi="Times New Roman"/>
                <w:noProof/>
                <w:sz w:val="20"/>
                <w:szCs w:val="20"/>
              </w:rPr>
              <w:t xml:space="preserve"> (non-legislative; Q4/2017)</w:t>
            </w:r>
            <w:r>
              <w:rPr>
                <w:rFonts w:ascii="Times New Roman" w:hAnsi="Times New Roman"/>
                <w:b/>
                <w:noProof/>
                <w:sz w:val="20"/>
                <w:szCs w:val="20"/>
              </w:rPr>
              <w:t>; and a monitoring framework for the circular economy</w:t>
            </w:r>
            <w:r>
              <w:rPr>
                <w:rFonts w:ascii="Times New Roman" w:hAnsi="Times New Roman"/>
                <w:noProof/>
                <w:sz w:val="20"/>
                <w:szCs w:val="20"/>
              </w:rPr>
              <w:t xml:space="preserve"> (non-legislative; Q3/2017)</w:t>
            </w:r>
            <w:r>
              <w:rPr>
                <w:rFonts w:ascii="Times New Roman" w:hAnsi="Times New Roman"/>
                <w:b/>
                <w:noProof/>
                <w:sz w:val="20"/>
                <w:szCs w:val="20"/>
              </w:rPr>
              <w:t>.</w:t>
            </w:r>
          </w:p>
        </w:tc>
      </w:tr>
      <w:tr w:rsidR="00FB3765">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tcPr>
          <w:p w:rsidR="00FB3765" w:rsidRDefault="00820650">
            <w:pPr>
              <w:spacing w:after="0"/>
              <w:rPr>
                <w:rFonts w:ascii="Times New Roman" w:hAnsi="Times New Roman"/>
                <w:b/>
                <w:noProof/>
                <w:sz w:val="20"/>
                <w:szCs w:val="20"/>
              </w:rPr>
            </w:pPr>
            <w:r>
              <w:rPr>
                <w:rFonts w:ascii="Times New Roman" w:hAnsi="Times New Roman"/>
                <w:b/>
                <w:noProof/>
                <w:sz w:val="20"/>
                <w:szCs w:val="20"/>
              </w:rPr>
              <w:t>Financial framework beyond 2020</w:t>
            </w:r>
          </w:p>
        </w:tc>
        <w:tc>
          <w:tcPr>
            <w:tcW w:w="3565" w:type="pct"/>
            <w:tcBorders>
              <w:top w:val="single" w:sz="4" w:space="0" w:color="auto"/>
              <w:left w:val="single" w:sz="4" w:space="0" w:color="auto"/>
              <w:bottom w:val="single" w:sz="4" w:space="0" w:color="auto"/>
            </w:tcBorders>
          </w:tcPr>
          <w:p w:rsidR="00FB3765" w:rsidRDefault="00820650">
            <w:pPr>
              <w:spacing w:after="0"/>
              <w:jc w:val="both"/>
              <w:rPr>
                <w:rFonts w:ascii="Times New Roman" w:hAnsi="Times New Roman"/>
                <w:b/>
                <w:noProof/>
                <w:sz w:val="20"/>
                <w:szCs w:val="20"/>
              </w:rPr>
            </w:pPr>
            <w:r>
              <w:rPr>
                <w:rFonts w:ascii="Times New Roman" w:hAnsi="Times New Roman"/>
                <w:b/>
                <w:noProof/>
                <w:sz w:val="20"/>
                <w:szCs w:val="20"/>
              </w:rPr>
              <w:t xml:space="preserve">A comprehensive proposal for the next Multi-annual Financial Framework , including on own resources </w:t>
            </w:r>
            <w:r>
              <w:rPr>
                <w:rFonts w:ascii="Times New Roman" w:hAnsi="Times New Roman"/>
                <w:noProof/>
                <w:sz w:val="20"/>
                <w:szCs w:val="20"/>
              </w:rPr>
              <w:t>(legislative/ non-legislative; Art. 312 TFU)</w:t>
            </w:r>
            <w:r>
              <w:rPr>
                <w:rFonts w:ascii="Times New Roman" w:hAnsi="Times New Roman"/>
                <w:b/>
                <w:noProof/>
                <w:sz w:val="20"/>
                <w:szCs w:val="20"/>
              </w:rPr>
              <w:t xml:space="preserve">.  </w:t>
            </w:r>
          </w:p>
        </w:tc>
      </w:tr>
      <w:tr w:rsidR="00FB3765">
        <w:trPr>
          <w:cantSplit/>
        </w:trPr>
        <w:tc>
          <w:tcPr>
            <w:tcW w:w="5000" w:type="pct"/>
            <w:gridSpan w:val="3"/>
            <w:shd w:val="clear" w:color="auto" w:fill="F2F2F2" w:themeFill="background1" w:themeFillShade="F2"/>
          </w:tcPr>
          <w:p w:rsidR="00FB3765" w:rsidRDefault="00820650">
            <w:pPr>
              <w:spacing w:before="60" w:after="60"/>
              <w:rPr>
                <w:rFonts w:ascii="Times New Roman" w:hAnsi="Times New Roman"/>
                <w:noProof/>
                <w:sz w:val="20"/>
                <w:szCs w:val="20"/>
              </w:rPr>
            </w:pPr>
            <w:r>
              <w:rPr>
                <w:rFonts w:ascii="Times New Roman" w:hAnsi="Times New Roman"/>
                <w:b/>
                <w:noProof/>
                <w:sz w:val="20"/>
                <w:szCs w:val="20"/>
              </w:rPr>
              <w:t>A Connected Digital Single Market</w:t>
            </w:r>
          </w:p>
        </w:tc>
      </w:tr>
      <w:tr w:rsidR="00FB3765">
        <w:trPr>
          <w:cantSplit/>
        </w:trPr>
        <w:tc>
          <w:tcPr>
            <w:tcW w:w="181" w:type="pct"/>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Pr>
          <w:p w:rsidR="00FB3765" w:rsidRDefault="00820650">
            <w:pPr>
              <w:spacing w:after="0"/>
              <w:rPr>
                <w:rFonts w:ascii="Times New Roman" w:hAnsi="Times New Roman"/>
                <w:b/>
                <w:noProof/>
                <w:sz w:val="20"/>
                <w:szCs w:val="20"/>
              </w:rPr>
            </w:pPr>
            <w:r>
              <w:rPr>
                <w:rFonts w:ascii="Times New Roman" w:hAnsi="Times New Roman"/>
                <w:b/>
                <w:noProof/>
                <w:sz w:val="20"/>
                <w:szCs w:val="20"/>
              </w:rPr>
              <w:t xml:space="preserve">Implementation of the Digital Single Market Strategy   </w:t>
            </w:r>
          </w:p>
        </w:tc>
        <w:tc>
          <w:tcPr>
            <w:tcW w:w="3565" w:type="pct"/>
          </w:tcPr>
          <w:p w:rsidR="00FB3765" w:rsidRDefault="00820650">
            <w:pPr>
              <w:spacing w:after="0"/>
              <w:jc w:val="both"/>
              <w:rPr>
                <w:rFonts w:ascii="Times New Roman" w:hAnsi="Times New Roman"/>
                <w:b/>
                <w:noProof/>
                <w:sz w:val="20"/>
                <w:szCs w:val="20"/>
              </w:rPr>
            </w:pPr>
            <w:r>
              <w:rPr>
                <w:rFonts w:ascii="Times New Roman" w:hAnsi="Times New Roman"/>
                <w:b/>
                <w:noProof/>
                <w:sz w:val="20"/>
                <w:szCs w:val="20"/>
              </w:rPr>
              <w:t>Mid-term review of the implementation of the Digital Single Market Strategy.</w:t>
            </w:r>
            <w:r>
              <w:rPr>
                <w:rFonts w:ascii="Times New Roman" w:hAnsi="Times New Roman"/>
                <w:b/>
                <w:noProof/>
                <w:sz w:val="20"/>
                <w:szCs w:val="20"/>
                <w:highlight w:val="yellow"/>
              </w:rPr>
              <w:t xml:space="preserve"> </w:t>
            </w:r>
          </w:p>
        </w:tc>
      </w:tr>
      <w:tr w:rsidR="00FB3765">
        <w:trPr>
          <w:cantSplit/>
        </w:trPr>
        <w:tc>
          <w:tcPr>
            <w:tcW w:w="5000" w:type="pct"/>
            <w:gridSpan w:val="3"/>
            <w:shd w:val="clear" w:color="auto" w:fill="F2F2F2" w:themeFill="background1" w:themeFillShade="F2"/>
          </w:tcPr>
          <w:p w:rsidR="00FB3765" w:rsidRDefault="00820650">
            <w:pPr>
              <w:keepNext/>
              <w:spacing w:before="60" w:after="60"/>
              <w:rPr>
                <w:rFonts w:ascii="Times New Roman" w:hAnsi="Times New Roman"/>
                <w:noProof/>
                <w:sz w:val="20"/>
                <w:szCs w:val="20"/>
              </w:rPr>
            </w:pPr>
            <w:r>
              <w:rPr>
                <w:rFonts w:ascii="Times New Roman" w:hAnsi="Times New Roman"/>
                <w:b/>
                <w:noProof/>
                <w:sz w:val="20"/>
                <w:szCs w:val="20"/>
              </w:rPr>
              <w:lastRenderedPageBreak/>
              <w:t>A Resilient Energy Union with a Forward-Looking Climate Change Policy</w:t>
            </w:r>
          </w:p>
        </w:tc>
      </w:tr>
      <w:tr w:rsidR="00FB3765">
        <w:trPr>
          <w:cantSplit/>
        </w:trPr>
        <w:tc>
          <w:tcPr>
            <w:tcW w:w="181" w:type="pct"/>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Pr>
          <w:p w:rsidR="00FB3765" w:rsidRDefault="00820650">
            <w:pPr>
              <w:spacing w:after="0"/>
              <w:rPr>
                <w:rFonts w:ascii="Times New Roman" w:hAnsi="Times New Roman"/>
                <w:b/>
                <w:noProof/>
                <w:sz w:val="20"/>
                <w:szCs w:val="20"/>
              </w:rPr>
            </w:pPr>
            <w:r>
              <w:rPr>
                <w:rFonts w:ascii="Times New Roman" w:hAnsi="Times New Roman"/>
                <w:b/>
                <w:noProof/>
                <w:sz w:val="20"/>
                <w:szCs w:val="20"/>
              </w:rPr>
              <w:t>Implementation of the Energy Union Strategy: low-emission travel and mobility</w:t>
            </w:r>
          </w:p>
        </w:tc>
        <w:tc>
          <w:tcPr>
            <w:tcW w:w="3565" w:type="pct"/>
          </w:tcPr>
          <w:p w:rsidR="00FB3765" w:rsidRDefault="00820650">
            <w:pPr>
              <w:spacing w:after="0"/>
              <w:jc w:val="both"/>
              <w:rPr>
                <w:rFonts w:ascii="Times New Roman" w:hAnsi="Times New Roman"/>
                <w:b/>
                <w:noProof/>
                <w:sz w:val="20"/>
                <w:szCs w:val="20"/>
              </w:rPr>
            </w:pPr>
            <w:r>
              <w:rPr>
                <w:rFonts w:ascii="Times New Roman" w:hAnsi="Times New Roman"/>
                <w:b/>
                <w:noProof/>
                <w:sz w:val="20"/>
                <w:szCs w:val="20"/>
              </w:rPr>
              <w:t>REFIT revisions of several key pieces of legislation hightlighted in the low-emission mobility action plan: post-2020 strategies on cars/vans and on lorries, buses and coaches</w:t>
            </w:r>
            <w:r>
              <w:rPr>
                <w:rFonts w:ascii="Times New Roman" w:hAnsi="Times New Roman"/>
                <w:noProof/>
                <w:sz w:val="20"/>
                <w:szCs w:val="20"/>
              </w:rPr>
              <w:t xml:space="preserve"> (legislative, incl. impact assessment; Q2/2017)</w:t>
            </w:r>
            <w:r>
              <w:rPr>
                <w:rFonts w:ascii="Times New Roman" w:hAnsi="Times New Roman"/>
                <w:b/>
                <w:noProof/>
                <w:sz w:val="20"/>
                <w:szCs w:val="20"/>
              </w:rPr>
              <w:t xml:space="preserve">; the Clean Vehicles Directive </w:t>
            </w:r>
            <w:r>
              <w:rPr>
                <w:rFonts w:ascii="Times New Roman" w:hAnsi="Times New Roman"/>
                <w:noProof/>
                <w:sz w:val="20"/>
                <w:szCs w:val="20"/>
              </w:rPr>
              <w:t>(incl. impact assessment; Art. 192 TFEU; Q2/2017)</w:t>
            </w:r>
            <w:r>
              <w:rPr>
                <w:rFonts w:ascii="Times New Roman" w:hAnsi="Times New Roman"/>
                <w:b/>
                <w:noProof/>
                <w:sz w:val="20"/>
                <w:szCs w:val="20"/>
              </w:rPr>
              <w:t xml:space="preserve">; and the Eurovignette and European Electronic Toll Service (EETS) Directives </w:t>
            </w:r>
            <w:r>
              <w:rPr>
                <w:rFonts w:ascii="Times New Roman" w:hAnsi="Times New Roman"/>
                <w:noProof/>
                <w:sz w:val="20"/>
                <w:szCs w:val="20"/>
              </w:rPr>
              <w:t>(incl. impact assessment; Art. 91 TFEU; Q2/2017)</w:t>
            </w:r>
            <w:r>
              <w:rPr>
                <w:rFonts w:ascii="Times New Roman" w:hAnsi="Times New Roman"/>
                <w:b/>
                <w:noProof/>
                <w:sz w:val="20"/>
                <w:szCs w:val="20"/>
              </w:rPr>
              <w:t xml:space="preserve">. This initiative includes the implementation of the international agreement on emissions from aircraft (ICAO) </w:t>
            </w:r>
            <w:r>
              <w:rPr>
                <w:rFonts w:ascii="Times New Roman" w:hAnsi="Times New Roman"/>
                <w:noProof/>
                <w:sz w:val="20"/>
                <w:szCs w:val="20"/>
              </w:rPr>
              <w:t xml:space="preserve">(legislative, incl. impact assessment; Art. 192 TFEU; Q1/2017) </w:t>
            </w:r>
            <w:r>
              <w:rPr>
                <w:rFonts w:ascii="Times New Roman" w:hAnsi="Times New Roman"/>
                <w:b/>
                <w:noProof/>
                <w:sz w:val="20"/>
                <w:szCs w:val="20"/>
              </w:rPr>
              <w:t xml:space="preserve">. </w:t>
            </w:r>
          </w:p>
        </w:tc>
      </w:tr>
      <w:tr w:rsidR="00FB3765">
        <w:trPr>
          <w:cantSplit/>
        </w:trPr>
        <w:tc>
          <w:tcPr>
            <w:tcW w:w="5000" w:type="pct"/>
            <w:gridSpan w:val="3"/>
            <w:shd w:val="clear" w:color="auto" w:fill="F2F2F2" w:themeFill="background1" w:themeFillShade="F2"/>
          </w:tcPr>
          <w:p w:rsidR="00FB3765" w:rsidRDefault="00820650">
            <w:pPr>
              <w:spacing w:before="60" w:after="60"/>
              <w:rPr>
                <w:rFonts w:ascii="Times New Roman" w:hAnsi="Times New Roman"/>
                <w:noProof/>
                <w:sz w:val="20"/>
                <w:szCs w:val="20"/>
              </w:rPr>
            </w:pPr>
            <w:r>
              <w:rPr>
                <w:rFonts w:ascii="Times New Roman" w:hAnsi="Times New Roman"/>
                <w:b/>
                <w:noProof/>
                <w:sz w:val="20"/>
                <w:szCs w:val="20"/>
              </w:rPr>
              <w:t>A Deeper and Fairer Internal Market with a Strengthened Industrial Base</w:t>
            </w:r>
          </w:p>
        </w:tc>
      </w:tr>
      <w:tr w:rsidR="00FB3765">
        <w:trPr>
          <w:cantSplit/>
        </w:trPr>
        <w:tc>
          <w:tcPr>
            <w:tcW w:w="181" w:type="pct"/>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Pr>
          <w:p w:rsidR="00FB3765" w:rsidRDefault="00820650">
            <w:pPr>
              <w:spacing w:after="0"/>
              <w:rPr>
                <w:rFonts w:ascii="Times New Roman" w:hAnsi="Times New Roman"/>
                <w:b/>
                <w:noProof/>
                <w:sz w:val="20"/>
                <w:szCs w:val="20"/>
              </w:rPr>
            </w:pPr>
            <w:r>
              <w:rPr>
                <w:rFonts w:ascii="Times New Roman" w:hAnsi="Times New Roman"/>
                <w:b/>
                <w:noProof/>
                <w:sz w:val="20"/>
                <w:szCs w:val="20"/>
              </w:rPr>
              <w:t>Implementation of the Single Market Strategy</w:t>
            </w:r>
          </w:p>
        </w:tc>
        <w:tc>
          <w:tcPr>
            <w:tcW w:w="3565" w:type="pct"/>
          </w:tcPr>
          <w:p w:rsidR="00FB3765" w:rsidRDefault="00820650">
            <w:pPr>
              <w:spacing w:after="0"/>
              <w:jc w:val="both"/>
              <w:rPr>
                <w:rFonts w:ascii="Times New Roman" w:hAnsi="Times New Roman"/>
                <w:b/>
                <w:noProof/>
                <w:sz w:val="20"/>
                <w:szCs w:val="20"/>
              </w:rPr>
            </w:pPr>
            <w:r>
              <w:rPr>
                <w:rFonts w:ascii="Times New Roman" w:hAnsi="Times New Roman"/>
                <w:b/>
                <w:noProof/>
                <w:sz w:val="20"/>
                <w:szCs w:val="20"/>
              </w:rPr>
              <w:t xml:space="preserve">Deliverables will include a REFIT revision of the legislation on goods </w:t>
            </w:r>
            <w:r>
              <w:rPr>
                <w:rFonts w:ascii="Times New Roman" w:hAnsi="Times New Roman"/>
                <w:noProof/>
                <w:sz w:val="20"/>
                <w:szCs w:val="20"/>
              </w:rPr>
              <w:t>(legislative/ non-legislative, incl. impact assessment; Art. 43/114/207 TFEU; Q2/2017)</w:t>
            </w:r>
            <w:r>
              <w:rPr>
                <w:rFonts w:ascii="Times New Roman" w:hAnsi="Times New Roman"/>
                <w:b/>
                <w:noProof/>
                <w:sz w:val="20"/>
                <w:szCs w:val="20"/>
              </w:rPr>
              <w:t xml:space="preserve">, a company law initiative to facilitate the use of digital technologies throughout a company's lifecycle and cross-border mergers and divisions </w:t>
            </w:r>
            <w:r>
              <w:rPr>
                <w:rFonts w:ascii="Times New Roman" w:hAnsi="Times New Roman"/>
                <w:noProof/>
                <w:sz w:val="20"/>
                <w:szCs w:val="20"/>
              </w:rPr>
              <w:t>(legislative, incl. impact assessment; Q3-4/2017)</w:t>
            </w:r>
            <w:r>
              <w:rPr>
                <w:rFonts w:ascii="Times New Roman" w:hAnsi="Times New Roman"/>
                <w:b/>
                <w:noProof/>
                <w:sz w:val="20"/>
                <w:szCs w:val="20"/>
              </w:rPr>
              <w:t xml:space="preserve">, an initiative on coordinated health technology assessments </w:t>
            </w:r>
            <w:r>
              <w:rPr>
                <w:rFonts w:ascii="Times New Roman" w:hAnsi="Times New Roman"/>
                <w:noProof/>
                <w:sz w:val="20"/>
                <w:szCs w:val="20"/>
              </w:rPr>
              <w:t>(legislative/ non-legislative, incl. impact assessment; Q4/2017)</w:t>
            </w:r>
            <w:r>
              <w:rPr>
                <w:rFonts w:ascii="Times New Roman" w:hAnsi="Times New Roman"/>
                <w:b/>
                <w:noProof/>
                <w:sz w:val="20"/>
                <w:szCs w:val="20"/>
              </w:rPr>
              <w:t xml:space="preserve">,  and measures for better enforcement of single market rules within a wider enforcement package, including proposals for a Single Digital Gateway </w:t>
            </w:r>
            <w:r>
              <w:rPr>
                <w:rFonts w:ascii="Times New Roman" w:hAnsi="Times New Roman"/>
                <w:noProof/>
                <w:sz w:val="20"/>
                <w:szCs w:val="20"/>
              </w:rPr>
              <w:t xml:space="preserve">(legislative/ non-legislative, incl. impact assessment; Art. 114 TFEU; Q1/2017) </w:t>
            </w:r>
            <w:r>
              <w:rPr>
                <w:rFonts w:ascii="Times New Roman" w:hAnsi="Times New Roman"/>
                <w:b/>
                <w:noProof/>
                <w:sz w:val="20"/>
                <w:szCs w:val="20"/>
              </w:rPr>
              <w:t xml:space="preserve">and for a Single Market Information Tool </w:t>
            </w:r>
            <w:r>
              <w:rPr>
                <w:rFonts w:ascii="Times New Roman" w:hAnsi="Times New Roman"/>
                <w:noProof/>
                <w:sz w:val="20"/>
                <w:szCs w:val="20"/>
              </w:rPr>
              <w:t xml:space="preserve">(legislative, incl. impact assessment; Q1/2017), </w:t>
            </w:r>
            <w:r>
              <w:rPr>
                <w:rFonts w:ascii="Times New Roman" w:hAnsi="Times New Roman"/>
                <w:b/>
                <w:noProof/>
                <w:sz w:val="20"/>
                <w:szCs w:val="20"/>
              </w:rPr>
              <w:t>upgrade of SOLVIT</w:t>
            </w:r>
            <w:r>
              <w:rPr>
                <w:rFonts w:ascii="Times New Roman" w:hAnsi="Times New Roman"/>
                <w:noProof/>
                <w:sz w:val="20"/>
                <w:szCs w:val="20"/>
              </w:rPr>
              <w:t xml:space="preserve"> (non-legislative; Q1/2017) </w:t>
            </w:r>
            <w:r>
              <w:rPr>
                <w:rFonts w:ascii="Times New Roman" w:hAnsi="Times New Roman"/>
                <w:b/>
                <w:noProof/>
                <w:sz w:val="20"/>
                <w:szCs w:val="20"/>
              </w:rPr>
              <w:t xml:space="preserve">and empowering national competition authorities to be more effective enforcers </w:t>
            </w:r>
            <w:r>
              <w:rPr>
                <w:rFonts w:ascii="Times New Roman" w:hAnsi="Times New Roman"/>
                <w:noProof/>
                <w:sz w:val="20"/>
                <w:szCs w:val="20"/>
              </w:rPr>
              <w:t>(legislative/</w:t>
            </w:r>
            <w:r>
              <w:rPr>
                <w:rFonts w:ascii="Times New Roman" w:hAnsi="Times New Roman"/>
                <w:b/>
                <w:noProof/>
                <w:sz w:val="20"/>
                <w:szCs w:val="20"/>
              </w:rPr>
              <w:t xml:space="preserve"> </w:t>
            </w:r>
            <w:r>
              <w:rPr>
                <w:rFonts w:ascii="Times New Roman" w:hAnsi="Times New Roman"/>
                <w:noProof/>
                <w:sz w:val="20"/>
                <w:szCs w:val="20"/>
              </w:rPr>
              <w:t>non-legislative, incl. impact assessment; Q2/2017).</w:t>
            </w:r>
            <w:r>
              <w:rPr>
                <w:rFonts w:ascii="Times New Roman" w:hAnsi="Times New Roman"/>
                <w:b/>
                <w:noProof/>
                <w:sz w:val="20"/>
                <w:szCs w:val="20"/>
              </w:rPr>
              <w:t xml:space="preserve"> </w:t>
            </w:r>
          </w:p>
        </w:tc>
      </w:tr>
      <w:tr w:rsidR="00FB3765">
        <w:trPr>
          <w:cantSplit/>
        </w:trPr>
        <w:tc>
          <w:tcPr>
            <w:tcW w:w="181" w:type="pct"/>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Pr>
          <w:p w:rsidR="00FB3765" w:rsidRDefault="00820650">
            <w:pPr>
              <w:spacing w:after="0"/>
              <w:rPr>
                <w:rFonts w:ascii="Times New Roman" w:hAnsi="Times New Roman"/>
                <w:b/>
                <w:noProof/>
                <w:sz w:val="20"/>
                <w:szCs w:val="20"/>
              </w:rPr>
            </w:pPr>
            <w:r>
              <w:rPr>
                <w:rFonts w:ascii="Times New Roman" w:hAnsi="Times New Roman"/>
                <w:b/>
                <w:noProof/>
                <w:sz w:val="20"/>
                <w:szCs w:val="20"/>
              </w:rPr>
              <w:t>Fairer taxation of companies</w:t>
            </w:r>
          </w:p>
        </w:tc>
        <w:tc>
          <w:tcPr>
            <w:tcW w:w="3565" w:type="pct"/>
          </w:tcPr>
          <w:p w:rsidR="00FB3765" w:rsidRDefault="00820650">
            <w:pPr>
              <w:spacing w:after="0"/>
              <w:jc w:val="both"/>
              <w:rPr>
                <w:rFonts w:ascii="Times New Roman" w:hAnsi="Times New Roman"/>
                <w:b/>
                <w:noProof/>
                <w:sz w:val="20"/>
                <w:szCs w:val="20"/>
              </w:rPr>
            </w:pPr>
            <w:r>
              <w:rPr>
                <w:rFonts w:ascii="Times New Roman" w:hAnsi="Times New Roman"/>
                <w:b/>
                <w:noProof/>
                <w:sz w:val="20"/>
                <w:szCs w:val="20"/>
              </w:rPr>
              <w:t xml:space="preserve">The initiative includes implementation of the VAT action plan through REFIT proposals for a definitive VAT system and on VAT rates </w:t>
            </w:r>
            <w:r>
              <w:rPr>
                <w:rFonts w:ascii="Times New Roman" w:hAnsi="Times New Roman"/>
                <w:noProof/>
                <w:sz w:val="20"/>
                <w:szCs w:val="20"/>
              </w:rPr>
              <w:t>(legislative, incl. impact assessment; Art. 113 TFEU; Q3/2017)</w:t>
            </w:r>
            <w:r>
              <w:rPr>
                <w:rFonts w:ascii="Times New Roman" w:hAnsi="Times New Roman"/>
                <w:b/>
                <w:noProof/>
                <w:sz w:val="20"/>
                <w:szCs w:val="20"/>
              </w:rPr>
              <w:t xml:space="preserve">, better administrative cooperation and a simplification package to reduce burden for businesses and tax administrations </w:t>
            </w:r>
            <w:r>
              <w:rPr>
                <w:rFonts w:ascii="Times New Roman" w:hAnsi="Times New Roman"/>
                <w:noProof/>
                <w:sz w:val="20"/>
                <w:szCs w:val="20"/>
              </w:rPr>
              <w:t>(legislative, incl. impact assessment; Art. 113 TFEU; Q4/2017</w:t>
            </w:r>
            <w:r>
              <w:rPr>
                <w:rFonts w:ascii="Times New Roman" w:hAnsi="Times New Roman"/>
                <w:b/>
                <w:noProof/>
                <w:sz w:val="20"/>
                <w:szCs w:val="20"/>
              </w:rPr>
              <w:t xml:space="preserve">); a proposal for an EU list of third country jurisdictions that do not respect tax good governance standards </w:t>
            </w:r>
            <w:r>
              <w:rPr>
                <w:rFonts w:ascii="Times New Roman" w:hAnsi="Times New Roman"/>
                <w:noProof/>
                <w:sz w:val="20"/>
                <w:szCs w:val="20"/>
              </w:rPr>
              <w:t>(non-legislative; Q3/2017)</w:t>
            </w:r>
            <w:r>
              <w:rPr>
                <w:rFonts w:ascii="Times New Roman" w:hAnsi="Times New Roman"/>
                <w:b/>
                <w:noProof/>
                <w:sz w:val="20"/>
                <w:szCs w:val="20"/>
              </w:rPr>
              <w:t xml:space="preserve">; and implementation in EU legislation of the international agremeent on Base Erosion and Profit Shifting (BEPS) </w:t>
            </w:r>
            <w:r>
              <w:rPr>
                <w:rFonts w:ascii="Times New Roman" w:hAnsi="Times New Roman"/>
                <w:noProof/>
                <w:sz w:val="20"/>
                <w:szCs w:val="20"/>
              </w:rPr>
              <w:t>(legislative/ non-legislative, incl. impact assessment; Q2/2017)</w:t>
            </w:r>
            <w:r>
              <w:rPr>
                <w:rFonts w:ascii="Times New Roman" w:hAnsi="Times New Roman"/>
                <w:b/>
                <w:noProof/>
                <w:sz w:val="20"/>
                <w:szCs w:val="20"/>
              </w:rPr>
              <w:t>.</w:t>
            </w:r>
          </w:p>
        </w:tc>
      </w:tr>
      <w:tr w:rsidR="00FB3765">
        <w:trPr>
          <w:cantSplit/>
        </w:trPr>
        <w:tc>
          <w:tcPr>
            <w:tcW w:w="181" w:type="pct"/>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Pr>
          <w:p w:rsidR="00FB3765" w:rsidRDefault="00820650">
            <w:pPr>
              <w:spacing w:after="0"/>
              <w:rPr>
                <w:rFonts w:ascii="Times New Roman" w:hAnsi="Times New Roman"/>
                <w:b/>
                <w:noProof/>
                <w:sz w:val="20"/>
                <w:szCs w:val="20"/>
                <w:highlight w:val="yellow"/>
              </w:rPr>
            </w:pPr>
            <w:r>
              <w:rPr>
                <w:rFonts w:ascii="Times New Roman" w:hAnsi="Times New Roman"/>
                <w:b/>
                <w:noProof/>
                <w:sz w:val="20"/>
                <w:szCs w:val="20"/>
              </w:rPr>
              <w:t>Implementation  of the Space Strategy for Europe</w:t>
            </w:r>
          </w:p>
        </w:tc>
        <w:tc>
          <w:tcPr>
            <w:tcW w:w="3565" w:type="pct"/>
          </w:tcPr>
          <w:p w:rsidR="00FB3765" w:rsidRDefault="00820650">
            <w:pPr>
              <w:spacing w:after="0"/>
              <w:jc w:val="both"/>
              <w:rPr>
                <w:rFonts w:ascii="Times New Roman" w:hAnsi="Times New Roman"/>
                <w:b/>
                <w:noProof/>
                <w:sz w:val="20"/>
                <w:szCs w:val="20"/>
              </w:rPr>
            </w:pPr>
            <w:r>
              <w:rPr>
                <w:rFonts w:ascii="Times New Roman" w:hAnsi="Times New Roman"/>
                <w:b/>
                <w:noProof/>
                <w:sz w:val="20"/>
                <w:szCs w:val="20"/>
              </w:rPr>
              <w:t xml:space="preserve">Legislative proposals on governmental satellite communication services </w:t>
            </w:r>
            <w:r>
              <w:rPr>
                <w:rFonts w:ascii="Times New Roman" w:hAnsi="Times New Roman"/>
                <w:noProof/>
                <w:sz w:val="20"/>
                <w:szCs w:val="20"/>
              </w:rPr>
              <w:t xml:space="preserve">(incl. impact assessment; Art. 189 TFEU; Q4/2017) </w:t>
            </w:r>
            <w:r>
              <w:rPr>
                <w:rFonts w:ascii="Times New Roman" w:hAnsi="Times New Roman"/>
                <w:b/>
                <w:noProof/>
                <w:sz w:val="20"/>
                <w:szCs w:val="20"/>
              </w:rPr>
              <w:t>and measures to facilitate market uptake of space services and data</w:t>
            </w:r>
            <w:r>
              <w:rPr>
                <w:rFonts w:ascii="Times New Roman" w:hAnsi="Times New Roman"/>
                <w:noProof/>
                <w:sz w:val="20"/>
                <w:szCs w:val="20"/>
              </w:rPr>
              <w:t xml:space="preserve"> (legislative/non-legislative)</w:t>
            </w:r>
            <w:r>
              <w:rPr>
                <w:rFonts w:ascii="Times New Roman" w:hAnsi="Times New Roman"/>
                <w:b/>
                <w:noProof/>
                <w:sz w:val="20"/>
                <w:szCs w:val="20"/>
              </w:rPr>
              <w:t>.</w:t>
            </w:r>
          </w:p>
        </w:tc>
      </w:tr>
      <w:tr w:rsidR="00FB3765">
        <w:trPr>
          <w:cantSplit/>
        </w:trPr>
        <w:tc>
          <w:tcPr>
            <w:tcW w:w="181" w:type="pct"/>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Pr>
          <w:p w:rsidR="00FB3765" w:rsidRDefault="00820650">
            <w:pPr>
              <w:spacing w:after="0"/>
              <w:rPr>
                <w:rFonts w:ascii="Times New Roman" w:hAnsi="Times New Roman"/>
                <w:b/>
                <w:noProof/>
                <w:sz w:val="20"/>
                <w:szCs w:val="20"/>
              </w:rPr>
            </w:pPr>
            <w:r>
              <w:rPr>
                <w:rFonts w:ascii="Times New Roman" w:hAnsi="Times New Roman"/>
                <w:b/>
                <w:noProof/>
                <w:sz w:val="20"/>
                <w:szCs w:val="20"/>
              </w:rPr>
              <w:t xml:space="preserve">Implementation of the Capital Markets Union Action Plan </w:t>
            </w:r>
          </w:p>
        </w:tc>
        <w:tc>
          <w:tcPr>
            <w:tcW w:w="3565" w:type="pct"/>
          </w:tcPr>
          <w:p w:rsidR="00FB3765" w:rsidRDefault="00820650">
            <w:pPr>
              <w:spacing w:after="0"/>
              <w:jc w:val="both"/>
              <w:rPr>
                <w:rFonts w:ascii="Times New Roman" w:hAnsi="Times New Roman"/>
                <w:b/>
                <w:noProof/>
                <w:sz w:val="20"/>
                <w:szCs w:val="20"/>
              </w:rPr>
            </w:pPr>
            <w:r>
              <w:rPr>
                <w:rFonts w:ascii="Times New Roman" w:hAnsi="Times New Roman"/>
                <w:b/>
                <w:noProof/>
                <w:sz w:val="20"/>
                <w:szCs w:val="20"/>
              </w:rPr>
              <w:t xml:space="preserve">A mid-term review </w:t>
            </w:r>
            <w:r>
              <w:rPr>
                <w:rFonts w:ascii="Times New Roman" w:hAnsi="Times New Roman"/>
                <w:noProof/>
                <w:sz w:val="20"/>
                <w:szCs w:val="20"/>
              </w:rPr>
              <w:t xml:space="preserve">(non-legislative; Q2/2017) </w:t>
            </w:r>
            <w:r>
              <w:rPr>
                <w:rFonts w:ascii="Times New Roman" w:hAnsi="Times New Roman"/>
                <w:b/>
                <w:noProof/>
                <w:sz w:val="20"/>
                <w:szCs w:val="20"/>
              </w:rPr>
              <w:t xml:space="preserve">will take stock of progress on the implementation of the Capital Markets Union and identify potential additional measures required to improve the financing of the economy. New measures will include a framework for an EU personal pension product </w:t>
            </w:r>
            <w:r>
              <w:rPr>
                <w:rFonts w:ascii="Times New Roman" w:hAnsi="Times New Roman"/>
                <w:noProof/>
                <w:sz w:val="20"/>
                <w:szCs w:val="20"/>
              </w:rPr>
              <w:t>(legislative/ non-legislative, incl. impact assessment; Art. 114 TFEU; Q2/2017)</w:t>
            </w:r>
            <w:r>
              <w:rPr>
                <w:rFonts w:ascii="Times New Roman" w:hAnsi="Times New Roman"/>
                <w:b/>
                <w:noProof/>
                <w:sz w:val="20"/>
                <w:szCs w:val="20"/>
              </w:rPr>
              <w:t>; a REFIT revision of the European Market Infrastructure Regulation (EMIR) (</w:t>
            </w:r>
            <w:r>
              <w:rPr>
                <w:rFonts w:ascii="Times New Roman" w:hAnsi="Times New Roman"/>
                <w:noProof/>
                <w:sz w:val="20"/>
                <w:szCs w:val="20"/>
              </w:rPr>
              <w:t>incl. impact assessment; Art. 114 TFEU; Q1/2017)</w:t>
            </w:r>
            <w:r>
              <w:rPr>
                <w:rFonts w:ascii="Times New Roman" w:hAnsi="Times New Roman"/>
                <w:b/>
                <w:noProof/>
                <w:sz w:val="20"/>
                <w:szCs w:val="20"/>
              </w:rPr>
              <w:t xml:space="preserve">; an Action Plan on retail financial services </w:t>
            </w:r>
            <w:r>
              <w:rPr>
                <w:rFonts w:ascii="Times New Roman" w:hAnsi="Times New Roman"/>
                <w:noProof/>
                <w:sz w:val="20"/>
                <w:szCs w:val="20"/>
              </w:rPr>
              <w:t>(non-legislative; Q1/2017)</w:t>
            </w:r>
            <w:r>
              <w:rPr>
                <w:rFonts w:ascii="Times New Roman" w:hAnsi="Times New Roman"/>
                <w:b/>
                <w:noProof/>
                <w:sz w:val="20"/>
                <w:szCs w:val="20"/>
              </w:rPr>
              <w:t xml:space="preserve">; and additional delegated legislation to facilitate funding of infrastructure corporates by institutional investors </w:t>
            </w:r>
            <w:r>
              <w:rPr>
                <w:rFonts w:ascii="Times New Roman" w:hAnsi="Times New Roman"/>
                <w:noProof/>
                <w:sz w:val="20"/>
                <w:szCs w:val="20"/>
              </w:rPr>
              <w:t>(incl. impact assessment; Q4/2016)</w:t>
            </w:r>
            <w:r>
              <w:rPr>
                <w:rFonts w:ascii="Times New Roman" w:hAnsi="Times New Roman"/>
                <w:b/>
                <w:noProof/>
                <w:sz w:val="20"/>
                <w:szCs w:val="20"/>
              </w:rPr>
              <w:t>.</w:t>
            </w:r>
          </w:p>
        </w:tc>
      </w:tr>
      <w:tr w:rsidR="00FB3765">
        <w:trPr>
          <w:cantSplit/>
        </w:trPr>
        <w:tc>
          <w:tcPr>
            <w:tcW w:w="5000" w:type="pct"/>
            <w:gridSpan w:val="3"/>
            <w:shd w:val="clear" w:color="auto" w:fill="F2F2F2" w:themeFill="background1" w:themeFillShade="F2"/>
          </w:tcPr>
          <w:p w:rsidR="00FB3765" w:rsidRDefault="00820650">
            <w:pPr>
              <w:spacing w:before="60" w:after="60"/>
              <w:rPr>
                <w:rFonts w:ascii="Times New Roman" w:hAnsi="Times New Roman"/>
                <w:noProof/>
                <w:sz w:val="20"/>
                <w:szCs w:val="20"/>
              </w:rPr>
            </w:pPr>
            <w:r>
              <w:rPr>
                <w:rFonts w:ascii="Times New Roman" w:hAnsi="Times New Roman"/>
                <w:b/>
                <w:noProof/>
                <w:sz w:val="20"/>
                <w:szCs w:val="20"/>
              </w:rPr>
              <w:t>A Deeper and Fairer Economic and Monetary Union</w:t>
            </w:r>
          </w:p>
        </w:tc>
      </w:tr>
      <w:tr w:rsidR="00FB3765">
        <w:trPr>
          <w:cantSplit/>
        </w:trPr>
        <w:tc>
          <w:tcPr>
            <w:tcW w:w="181" w:type="pct"/>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Pr>
          <w:p w:rsidR="00FB3765" w:rsidRDefault="00820650">
            <w:pPr>
              <w:spacing w:after="0"/>
              <w:rPr>
                <w:rFonts w:ascii="Times New Roman" w:hAnsi="Times New Roman"/>
                <w:b/>
                <w:noProof/>
                <w:sz w:val="20"/>
                <w:szCs w:val="20"/>
              </w:rPr>
            </w:pPr>
            <w:r>
              <w:rPr>
                <w:rFonts w:ascii="Times New Roman" w:hAnsi="Times New Roman"/>
                <w:b/>
                <w:noProof/>
                <w:sz w:val="20"/>
                <w:szCs w:val="20"/>
              </w:rPr>
              <w:t>A strong Union built on a strong EMU</w:t>
            </w:r>
          </w:p>
        </w:tc>
        <w:tc>
          <w:tcPr>
            <w:tcW w:w="3565" w:type="pct"/>
          </w:tcPr>
          <w:p w:rsidR="00FB3765" w:rsidRDefault="00820650">
            <w:pPr>
              <w:spacing w:after="0"/>
              <w:jc w:val="both"/>
              <w:rPr>
                <w:rFonts w:ascii="Times New Roman" w:hAnsi="Times New Roman"/>
                <w:b/>
                <w:noProof/>
                <w:sz w:val="20"/>
                <w:szCs w:val="20"/>
              </w:rPr>
            </w:pPr>
            <w:r>
              <w:rPr>
                <w:rFonts w:ascii="Times New Roman" w:hAnsi="Times New Roman"/>
                <w:b/>
                <w:noProof/>
                <w:sz w:val="20"/>
                <w:szCs w:val="20"/>
              </w:rPr>
              <w:t xml:space="preserve">The White Paper on the Future of Europe </w:t>
            </w:r>
            <w:r>
              <w:rPr>
                <w:rFonts w:ascii="Times New Roman" w:hAnsi="Times New Roman"/>
                <w:noProof/>
                <w:sz w:val="20"/>
                <w:szCs w:val="20"/>
              </w:rPr>
              <w:t xml:space="preserve">(non-legislative; Q1/2017) </w:t>
            </w:r>
            <w:r>
              <w:rPr>
                <w:rFonts w:ascii="Times New Roman" w:hAnsi="Times New Roman"/>
                <w:b/>
                <w:noProof/>
                <w:sz w:val="20"/>
                <w:szCs w:val="20"/>
              </w:rPr>
              <w:t>setting out steps on how to reform an EU of 27 Member States 60 years after the Treaties of Rome will also include the future of the EMU to prepare stage 2 of EMU deepening in the new political and democratic</w:t>
            </w:r>
            <w:r w:rsidR="00F71535">
              <w:rPr>
                <w:rFonts w:ascii="Times New Roman" w:hAnsi="Times New Roman"/>
                <w:b/>
                <w:noProof/>
                <w:sz w:val="20"/>
                <w:szCs w:val="20"/>
              </w:rPr>
              <w:t xml:space="preserve"> context</w:t>
            </w:r>
            <w:r>
              <w:rPr>
                <w:rFonts w:ascii="Times New Roman" w:hAnsi="Times New Roman"/>
                <w:b/>
                <w:noProof/>
                <w:sz w:val="20"/>
                <w:szCs w:val="20"/>
              </w:rPr>
              <w:t xml:space="preserve"> (including a stability oriented review of the Stability and Growth Pact and the follow up to Article 16 of the Treaty on Stability, Coordination and Governance in the EMU (incorporating the substance of this treaty into the EU legal framework). The initiative will also include a review of the European System of Financial Supervision (ESFS) to strengthen the effectiveness and efficiency of oversight at both macro- and micro- prudential levels. </w:t>
            </w:r>
          </w:p>
        </w:tc>
      </w:tr>
      <w:tr w:rsidR="00FB3765">
        <w:trPr>
          <w:cantSplit/>
        </w:trPr>
        <w:tc>
          <w:tcPr>
            <w:tcW w:w="181" w:type="pct"/>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Pr>
          <w:p w:rsidR="00FB3765" w:rsidRDefault="00820650">
            <w:pPr>
              <w:spacing w:after="0"/>
              <w:rPr>
                <w:rFonts w:ascii="Times New Roman" w:hAnsi="Times New Roman"/>
                <w:b/>
                <w:noProof/>
                <w:sz w:val="20"/>
                <w:szCs w:val="20"/>
              </w:rPr>
            </w:pPr>
            <w:r>
              <w:rPr>
                <w:rFonts w:ascii="Times New Roman" w:hAnsi="Times New Roman"/>
                <w:b/>
                <w:noProof/>
                <w:sz w:val="20"/>
                <w:szCs w:val="20"/>
              </w:rPr>
              <w:t>European Pillar of Social Rights</w:t>
            </w:r>
          </w:p>
        </w:tc>
        <w:tc>
          <w:tcPr>
            <w:tcW w:w="3565" w:type="pct"/>
          </w:tcPr>
          <w:p w:rsidR="00FB3765" w:rsidRDefault="00820650">
            <w:pPr>
              <w:jc w:val="both"/>
              <w:rPr>
                <w:rFonts w:ascii="Times New Roman" w:hAnsi="Times New Roman"/>
                <w:b/>
                <w:noProof/>
                <w:sz w:val="20"/>
                <w:szCs w:val="20"/>
              </w:rPr>
            </w:pPr>
            <w:r>
              <w:rPr>
                <w:rFonts w:ascii="Times New Roman" w:hAnsi="Times New Roman"/>
                <w:b/>
                <w:noProof/>
                <w:sz w:val="20"/>
                <w:szCs w:val="20"/>
              </w:rPr>
              <w:t xml:space="preserve">Following the public consultation, the initiative will set out its proposal for a Pillar of Social Rights </w:t>
            </w:r>
            <w:r>
              <w:rPr>
                <w:rFonts w:ascii="Times New Roman" w:hAnsi="Times New Roman"/>
                <w:noProof/>
                <w:sz w:val="20"/>
                <w:szCs w:val="20"/>
              </w:rPr>
              <w:t>(Q1/2017)</w:t>
            </w:r>
            <w:r>
              <w:rPr>
                <w:rFonts w:ascii="Times New Roman" w:hAnsi="Times New Roman"/>
                <w:b/>
                <w:noProof/>
                <w:sz w:val="20"/>
                <w:szCs w:val="20"/>
              </w:rPr>
              <w:t xml:space="preserve"> and will present related initiatives, such as initiatives to address the challenges of work-life balance faced by working families </w:t>
            </w:r>
            <w:r>
              <w:rPr>
                <w:rFonts w:ascii="Times New Roman" w:hAnsi="Times New Roman"/>
                <w:noProof/>
                <w:sz w:val="20"/>
                <w:szCs w:val="20"/>
              </w:rPr>
              <w:t>(legislative/non-legislative, incl. impact assessment; Art. 153/ 157 TFEU)</w:t>
            </w:r>
            <w:r>
              <w:rPr>
                <w:rFonts w:ascii="Times New Roman" w:hAnsi="Times New Roman"/>
                <w:b/>
                <w:noProof/>
                <w:sz w:val="20"/>
                <w:szCs w:val="20"/>
              </w:rPr>
              <w:t xml:space="preserve">, on access to social protection </w:t>
            </w:r>
            <w:r>
              <w:rPr>
                <w:rFonts w:ascii="Times New Roman" w:hAnsi="Times New Roman"/>
                <w:noProof/>
                <w:sz w:val="20"/>
                <w:szCs w:val="20"/>
              </w:rPr>
              <w:t>(legislative/non-legislative, incl. impact assessment; Art. 153/ 292)</w:t>
            </w:r>
            <w:r>
              <w:rPr>
                <w:rFonts w:ascii="Times New Roman" w:hAnsi="Times New Roman"/>
                <w:b/>
                <w:noProof/>
                <w:sz w:val="20"/>
                <w:szCs w:val="20"/>
              </w:rPr>
              <w:t xml:space="preserve">, and the implementation of the Working Time Directive </w:t>
            </w:r>
            <w:r>
              <w:rPr>
                <w:rFonts w:ascii="Times New Roman" w:hAnsi="Times New Roman"/>
                <w:noProof/>
                <w:sz w:val="20"/>
                <w:szCs w:val="20"/>
              </w:rPr>
              <w:t>(non-legislative)</w:t>
            </w:r>
            <w:r>
              <w:rPr>
                <w:rFonts w:ascii="Times New Roman" w:hAnsi="Times New Roman"/>
                <w:b/>
                <w:noProof/>
                <w:sz w:val="20"/>
                <w:szCs w:val="20"/>
              </w:rPr>
              <w:t>, as well as a REFIT revision of the Written Statement Directive</w:t>
            </w:r>
            <w:r>
              <w:rPr>
                <w:rFonts w:ascii="Times New Roman" w:hAnsi="Times New Roman"/>
                <w:b/>
                <w:noProof/>
                <w:color w:val="FF0000"/>
                <w:sz w:val="24"/>
                <w:szCs w:val="24"/>
              </w:rPr>
              <w:t xml:space="preserve"> </w:t>
            </w:r>
            <w:r>
              <w:rPr>
                <w:rFonts w:ascii="Times New Roman" w:hAnsi="Times New Roman"/>
                <w:b/>
                <w:noProof/>
                <w:sz w:val="20"/>
                <w:szCs w:val="20"/>
              </w:rPr>
              <w:t xml:space="preserve">establishing the employer’s obligation to inform employees of the conditions applicable to the contract or employment relationship </w:t>
            </w:r>
            <w:r>
              <w:rPr>
                <w:rFonts w:ascii="Times New Roman" w:hAnsi="Times New Roman"/>
                <w:noProof/>
                <w:sz w:val="20"/>
                <w:szCs w:val="20"/>
              </w:rPr>
              <w:t>(legislative, incl. impact assessment; Art 153.1(b)/154 TFEU)</w:t>
            </w:r>
            <w:r>
              <w:rPr>
                <w:rFonts w:ascii="Times New Roman" w:hAnsi="Times New Roman"/>
                <w:b/>
                <w:noProof/>
                <w:sz w:val="20"/>
                <w:szCs w:val="20"/>
              </w:rPr>
              <w:t>.</w:t>
            </w:r>
          </w:p>
        </w:tc>
      </w:tr>
      <w:tr w:rsidR="00FB3765">
        <w:trPr>
          <w:cantSplit/>
        </w:trPr>
        <w:tc>
          <w:tcPr>
            <w:tcW w:w="5000" w:type="pct"/>
            <w:gridSpan w:val="3"/>
            <w:tcBorders>
              <w:bottom w:val="single" w:sz="4" w:space="0" w:color="auto"/>
            </w:tcBorders>
            <w:shd w:val="clear" w:color="auto" w:fill="F2F2F2" w:themeFill="background1" w:themeFillShade="F2"/>
          </w:tcPr>
          <w:p w:rsidR="00FB3765" w:rsidRDefault="00820650">
            <w:pPr>
              <w:keepNext/>
              <w:spacing w:before="60" w:after="60"/>
              <w:rPr>
                <w:rFonts w:ascii="Times New Roman" w:hAnsi="Times New Roman"/>
                <w:noProof/>
                <w:sz w:val="20"/>
                <w:szCs w:val="20"/>
              </w:rPr>
            </w:pPr>
            <w:r>
              <w:rPr>
                <w:rFonts w:ascii="Times New Roman" w:hAnsi="Times New Roman"/>
                <w:b/>
                <w:noProof/>
                <w:sz w:val="20"/>
                <w:szCs w:val="20"/>
              </w:rPr>
              <w:lastRenderedPageBreak/>
              <w:t>Trade: A Reasonable and Balanced Free Trade Agreement with the U.S.</w:t>
            </w:r>
          </w:p>
        </w:tc>
      </w:tr>
      <w:tr w:rsidR="00FB3765">
        <w:trPr>
          <w:cantSplit/>
        </w:trPr>
        <w:tc>
          <w:tcPr>
            <w:tcW w:w="181" w:type="pct"/>
            <w:tcBorders>
              <w:bottom w:val="single" w:sz="4" w:space="0" w:color="auto"/>
            </w:tcBorders>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FB3765" w:rsidRDefault="00820650">
            <w:pPr>
              <w:spacing w:after="0"/>
              <w:rPr>
                <w:rFonts w:ascii="Times New Roman" w:hAnsi="Times New Roman"/>
                <w:b/>
                <w:noProof/>
                <w:sz w:val="20"/>
                <w:szCs w:val="20"/>
                <w:highlight w:val="yellow"/>
              </w:rPr>
            </w:pPr>
            <w:r>
              <w:rPr>
                <w:rFonts w:ascii="Times New Roman" w:hAnsi="Times New Roman"/>
                <w:b/>
                <w:noProof/>
                <w:sz w:val="20"/>
                <w:szCs w:val="20"/>
              </w:rPr>
              <w:t>Implementation of the Trade for All Strategy</w:t>
            </w:r>
          </w:p>
        </w:tc>
        <w:tc>
          <w:tcPr>
            <w:tcW w:w="3565" w:type="pct"/>
            <w:tcBorders>
              <w:bottom w:val="single" w:sz="4" w:space="0" w:color="auto"/>
            </w:tcBorders>
          </w:tcPr>
          <w:p w:rsidR="00FB3765" w:rsidRDefault="00820650">
            <w:pPr>
              <w:autoSpaceDE w:val="0"/>
              <w:autoSpaceDN w:val="0"/>
              <w:adjustRightInd w:val="0"/>
              <w:spacing w:after="0"/>
              <w:jc w:val="both"/>
              <w:rPr>
                <w:rFonts w:ascii="Times New Roman" w:hAnsi="Times New Roman"/>
                <w:b/>
                <w:noProof/>
                <w:sz w:val="20"/>
                <w:szCs w:val="20"/>
              </w:rPr>
            </w:pPr>
            <w:r>
              <w:rPr>
                <w:rFonts w:ascii="Times New Roman" w:hAnsi="Times New Roman"/>
                <w:b/>
                <w:noProof/>
                <w:sz w:val="20"/>
                <w:szCs w:val="20"/>
              </w:rPr>
              <w:t xml:space="preserve">In parallel to pursuing and completing bilateral negotiations (e.g. with Japan) and to opening new negotiations with Australia </w:t>
            </w:r>
            <w:r>
              <w:rPr>
                <w:rFonts w:ascii="Times New Roman" w:hAnsi="Times New Roman"/>
                <w:noProof/>
                <w:sz w:val="20"/>
                <w:szCs w:val="20"/>
              </w:rPr>
              <w:t>(incl. impact assessment; Q1/2017)</w:t>
            </w:r>
            <w:r>
              <w:rPr>
                <w:rFonts w:ascii="Times New Roman" w:hAnsi="Times New Roman"/>
                <w:b/>
                <w:noProof/>
                <w:sz w:val="20"/>
                <w:szCs w:val="20"/>
              </w:rPr>
              <w:t xml:space="preserve">, Chile </w:t>
            </w:r>
            <w:r>
              <w:rPr>
                <w:rFonts w:ascii="Times New Roman" w:hAnsi="Times New Roman"/>
                <w:noProof/>
                <w:sz w:val="20"/>
                <w:szCs w:val="20"/>
              </w:rPr>
              <w:t xml:space="preserve">(incl. impact assessment; Q2/2017) </w:t>
            </w:r>
            <w:r>
              <w:rPr>
                <w:rFonts w:ascii="Times New Roman" w:hAnsi="Times New Roman"/>
                <w:b/>
                <w:noProof/>
                <w:sz w:val="20"/>
                <w:szCs w:val="20"/>
              </w:rPr>
              <w:t xml:space="preserve">and New Zealand </w:t>
            </w:r>
            <w:r>
              <w:rPr>
                <w:rFonts w:ascii="Times New Roman" w:hAnsi="Times New Roman"/>
                <w:noProof/>
                <w:sz w:val="20"/>
                <w:szCs w:val="20"/>
              </w:rPr>
              <w:t xml:space="preserve">(incl. impact assessment; Q1/2017) </w:t>
            </w:r>
            <w:r>
              <w:rPr>
                <w:rFonts w:ascii="Times New Roman" w:hAnsi="Times New Roman"/>
                <w:b/>
                <w:noProof/>
                <w:sz w:val="20"/>
                <w:szCs w:val="20"/>
              </w:rPr>
              <w:t>for free trade agreements, this initiative includes a further reinforcement of the EU's Trade Defence Instruments with a proposal to amend the EU's antidumping legislation</w:t>
            </w:r>
            <w:r>
              <w:rPr>
                <w:rFonts w:ascii="Times New Roman" w:hAnsi="Times New Roman"/>
                <w:noProof/>
                <w:sz w:val="20"/>
                <w:szCs w:val="20"/>
              </w:rPr>
              <w:t xml:space="preserve"> (incl. impact assessment; Q4/2016),</w:t>
            </w:r>
            <w:r>
              <w:rPr>
                <w:rFonts w:ascii="Times New Roman" w:hAnsi="Times New Roman"/>
                <w:b/>
                <w:noProof/>
                <w:sz w:val="20"/>
                <w:szCs w:val="20"/>
              </w:rPr>
              <w:t xml:space="preserve"> in line with the Commission Communication of 18 October 2016.</w:t>
            </w:r>
          </w:p>
        </w:tc>
      </w:tr>
      <w:tr w:rsidR="00FB3765">
        <w:trPr>
          <w:cantSplit/>
        </w:trPr>
        <w:tc>
          <w:tcPr>
            <w:tcW w:w="5000" w:type="pct"/>
            <w:gridSpan w:val="3"/>
            <w:tcBorders>
              <w:bottom w:val="single" w:sz="4" w:space="0" w:color="auto"/>
            </w:tcBorders>
            <w:shd w:val="clear" w:color="auto" w:fill="F2F2F2" w:themeFill="background1" w:themeFillShade="F2"/>
          </w:tcPr>
          <w:p w:rsidR="00FB3765" w:rsidRDefault="00820650">
            <w:pPr>
              <w:spacing w:before="60" w:after="60"/>
              <w:rPr>
                <w:rFonts w:ascii="Times New Roman" w:hAnsi="Times New Roman"/>
                <w:noProof/>
                <w:sz w:val="20"/>
                <w:szCs w:val="20"/>
              </w:rPr>
            </w:pPr>
            <w:r>
              <w:rPr>
                <w:rFonts w:ascii="Times New Roman" w:hAnsi="Times New Roman"/>
                <w:b/>
                <w:noProof/>
                <w:sz w:val="20"/>
                <w:szCs w:val="20"/>
              </w:rPr>
              <w:t>An Area of Justice and Fundamental Rights Based on Mutual Trust</w:t>
            </w:r>
          </w:p>
        </w:tc>
      </w:tr>
      <w:tr w:rsidR="00FB3765">
        <w:trPr>
          <w:cantSplit/>
        </w:trPr>
        <w:tc>
          <w:tcPr>
            <w:tcW w:w="181" w:type="pct"/>
            <w:tcBorders>
              <w:bottom w:val="single" w:sz="4" w:space="0" w:color="auto"/>
            </w:tcBorders>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FB3765" w:rsidRDefault="00820650">
            <w:pPr>
              <w:spacing w:after="0"/>
              <w:rPr>
                <w:rFonts w:ascii="Times New Roman" w:hAnsi="Times New Roman"/>
                <w:b/>
                <w:noProof/>
                <w:sz w:val="20"/>
                <w:szCs w:val="20"/>
              </w:rPr>
            </w:pPr>
            <w:r>
              <w:rPr>
                <w:rFonts w:ascii="Times New Roman" w:hAnsi="Times New Roman"/>
                <w:b/>
                <w:noProof/>
                <w:sz w:val="20"/>
                <w:szCs w:val="20"/>
              </w:rPr>
              <w:t>Data Protection Package</w:t>
            </w:r>
          </w:p>
        </w:tc>
        <w:tc>
          <w:tcPr>
            <w:tcW w:w="3565" w:type="pct"/>
            <w:tcBorders>
              <w:bottom w:val="single" w:sz="4" w:space="0" w:color="auto"/>
            </w:tcBorders>
          </w:tcPr>
          <w:p w:rsidR="00FB3765" w:rsidRDefault="00820650">
            <w:pPr>
              <w:autoSpaceDE w:val="0"/>
              <w:autoSpaceDN w:val="0"/>
              <w:adjustRightInd w:val="0"/>
              <w:spacing w:after="0"/>
              <w:jc w:val="both"/>
              <w:rPr>
                <w:rFonts w:ascii="Times New Roman" w:eastAsia="Times New Roman" w:hAnsi="Times New Roman"/>
                <w:b/>
                <w:noProof/>
                <w:sz w:val="20"/>
                <w:szCs w:val="20"/>
              </w:rPr>
            </w:pPr>
            <w:r>
              <w:rPr>
                <w:rFonts w:ascii="Times New Roman" w:hAnsi="Times New Roman"/>
                <w:b/>
                <w:noProof/>
                <w:sz w:val="20"/>
                <w:szCs w:val="20"/>
              </w:rPr>
              <w:t xml:space="preserve">The package </w:t>
            </w:r>
            <w:r>
              <w:rPr>
                <w:rFonts w:ascii="Times New Roman" w:hAnsi="Times New Roman"/>
                <w:noProof/>
                <w:sz w:val="20"/>
                <w:szCs w:val="20"/>
              </w:rPr>
              <w:t xml:space="preserve">(Q1/2017) </w:t>
            </w:r>
            <w:r>
              <w:rPr>
                <w:rFonts w:ascii="Times New Roman" w:hAnsi="Times New Roman"/>
                <w:b/>
                <w:noProof/>
                <w:sz w:val="20"/>
                <w:szCs w:val="20"/>
              </w:rPr>
              <w:t xml:space="preserve">will include an alignment of rules on the protection of personal data when processed by EU Institutions to the new general data protection rules </w:t>
            </w:r>
            <w:r>
              <w:rPr>
                <w:rFonts w:ascii="Times New Roman" w:hAnsi="Times New Roman"/>
                <w:noProof/>
                <w:sz w:val="20"/>
                <w:szCs w:val="20"/>
              </w:rPr>
              <w:t>(legislative; Art. 16 TFEU)</w:t>
            </w:r>
            <w:r>
              <w:rPr>
                <w:rFonts w:ascii="Times New Roman" w:hAnsi="Times New Roman"/>
                <w:b/>
                <w:noProof/>
                <w:sz w:val="20"/>
                <w:szCs w:val="20"/>
              </w:rPr>
              <w:t xml:space="preserve">, a REFIT revision of the ePrivacy Directive </w:t>
            </w:r>
            <w:r>
              <w:rPr>
                <w:rFonts w:ascii="Times New Roman" w:hAnsi="Times New Roman"/>
                <w:noProof/>
                <w:sz w:val="20"/>
                <w:szCs w:val="20"/>
              </w:rPr>
              <w:t xml:space="preserve">(incl. impact assessment; Art. 114/16 TFEU) </w:t>
            </w:r>
            <w:r>
              <w:rPr>
                <w:rFonts w:ascii="Times New Roman" w:hAnsi="Times New Roman"/>
                <w:b/>
                <w:noProof/>
                <w:sz w:val="20"/>
                <w:szCs w:val="20"/>
              </w:rPr>
              <w:t xml:space="preserve">as well as a framework for </w:t>
            </w:r>
            <w:r>
              <w:rPr>
                <w:rFonts w:ascii="Times New Roman" w:eastAsia="Times New Roman" w:hAnsi="Times New Roman"/>
                <w:b/>
                <w:noProof/>
                <w:sz w:val="20"/>
                <w:szCs w:val="20"/>
              </w:rPr>
              <w:t xml:space="preserve">adequacy decisions on exchange of personal data with third countries. </w:t>
            </w:r>
          </w:p>
        </w:tc>
      </w:tr>
      <w:tr w:rsidR="00FB3765">
        <w:trPr>
          <w:cantSplit/>
        </w:trPr>
        <w:tc>
          <w:tcPr>
            <w:tcW w:w="181" w:type="pct"/>
            <w:tcBorders>
              <w:bottom w:val="single" w:sz="4" w:space="0" w:color="auto"/>
            </w:tcBorders>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FB3765" w:rsidRDefault="00820650">
            <w:pPr>
              <w:spacing w:after="0"/>
              <w:rPr>
                <w:rFonts w:ascii="Times New Roman" w:hAnsi="Times New Roman"/>
                <w:b/>
                <w:noProof/>
                <w:sz w:val="20"/>
                <w:szCs w:val="20"/>
              </w:rPr>
            </w:pPr>
            <w:r>
              <w:rPr>
                <w:rFonts w:ascii="Times New Roman" w:hAnsi="Times New Roman"/>
                <w:b/>
                <w:noProof/>
                <w:sz w:val="20"/>
                <w:szCs w:val="20"/>
              </w:rPr>
              <w:t>Progress towards and effective and genuine Security Union</w:t>
            </w:r>
          </w:p>
        </w:tc>
        <w:tc>
          <w:tcPr>
            <w:tcW w:w="3565" w:type="pct"/>
            <w:tcBorders>
              <w:bottom w:val="single" w:sz="4" w:space="0" w:color="auto"/>
            </w:tcBorders>
          </w:tcPr>
          <w:p w:rsidR="00FB3765" w:rsidRDefault="00820650">
            <w:pPr>
              <w:spacing w:after="0"/>
              <w:jc w:val="both"/>
              <w:rPr>
                <w:rFonts w:ascii="Times New Roman" w:eastAsia="Times New Roman" w:hAnsi="Times New Roman"/>
                <w:b/>
                <w:noProof/>
                <w:color w:val="000000"/>
                <w:sz w:val="20"/>
                <w:szCs w:val="20"/>
                <w:lang w:eastAsia="en-GB"/>
              </w:rPr>
            </w:pPr>
            <w:r>
              <w:rPr>
                <w:rFonts w:ascii="Times New Roman" w:hAnsi="Times New Roman"/>
                <w:b/>
                <w:noProof/>
                <w:sz w:val="20"/>
                <w:szCs w:val="20"/>
              </w:rPr>
              <w:t xml:space="preserve">Implementation of the Security Union agenda and the Action Plan on terrorist financing, with </w:t>
            </w:r>
            <w:r>
              <w:rPr>
                <w:rFonts w:ascii="Times New Roman" w:eastAsia="Times New Roman" w:hAnsi="Times New Roman"/>
                <w:b/>
                <w:noProof/>
                <w:color w:val="000000"/>
                <w:sz w:val="20"/>
                <w:szCs w:val="20"/>
                <w:lang w:eastAsia="en-GB"/>
              </w:rPr>
              <w:t xml:space="preserve">proposals to harmonise money laundering offences and sanctions </w:t>
            </w:r>
            <w:r>
              <w:rPr>
                <w:rFonts w:ascii="Times New Roman" w:eastAsia="Times New Roman" w:hAnsi="Times New Roman"/>
                <w:noProof/>
                <w:color w:val="000000"/>
                <w:sz w:val="20"/>
                <w:szCs w:val="20"/>
                <w:lang w:eastAsia="en-GB"/>
              </w:rPr>
              <w:t>(legislative; Art. 83 TFEU; Q4/2016)</w:t>
            </w:r>
            <w:r>
              <w:rPr>
                <w:rFonts w:ascii="Times New Roman" w:eastAsia="Times New Roman" w:hAnsi="Times New Roman"/>
                <w:b/>
                <w:noProof/>
                <w:color w:val="000000"/>
                <w:sz w:val="20"/>
                <w:szCs w:val="20"/>
                <w:lang w:eastAsia="en-GB"/>
              </w:rPr>
              <w:t xml:space="preserve">, to strengthen mutual recognition of criminal asset freezing and confiscation orders </w:t>
            </w:r>
            <w:r>
              <w:rPr>
                <w:rFonts w:ascii="Times New Roman" w:eastAsia="Times New Roman" w:hAnsi="Times New Roman"/>
                <w:noProof/>
                <w:color w:val="000000"/>
                <w:sz w:val="20"/>
                <w:szCs w:val="20"/>
                <w:lang w:eastAsia="en-GB"/>
              </w:rPr>
              <w:t>(legislative, incl. impact assessment; Art. 82 TFEU; Q4/2016)</w:t>
            </w:r>
            <w:r>
              <w:rPr>
                <w:rFonts w:ascii="Times New Roman" w:eastAsia="Times New Roman" w:hAnsi="Times New Roman"/>
                <w:b/>
                <w:noProof/>
                <w:color w:val="000000"/>
                <w:sz w:val="20"/>
                <w:szCs w:val="20"/>
                <w:lang w:eastAsia="en-GB"/>
              </w:rPr>
              <w:t xml:space="preserve"> and to tackle illicit cash movements </w:t>
            </w:r>
            <w:r>
              <w:rPr>
                <w:rFonts w:ascii="Times New Roman" w:eastAsia="Times New Roman" w:hAnsi="Times New Roman"/>
                <w:noProof/>
                <w:color w:val="000000"/>
                <w:sz w:val="20"/>
                <w:szCs w:val="20"/>
                <w:lang w:eastAsia="en-GB"/>
              </w:rPr>
              <w:t xml:space="preserve">(legislative, incl. impact assessment; Art. 33/114 TFEU; Q4/2016) </w:t>
            </w:r>
            <w:r>
              <w:rPr>
                <w:rFonts w:ascii="Times New Roman" w:eastAsia="Times New Roman" w:hAnsi="Times New Roman"/>
                <w:b/>
                <w:noProof/>
                <w:color w:val="000000"/>
                <w:sz w:val="20"/>
                <w:szCs w:val="20"/>
                <w:lang w:eastAsia="en-GB"/>
              </w:rPr>
              <w:t xml:space="preserve">and illicit trade in cultural goods </w:t>
            </w:r>
            <w:r>
              <w:rPr>
                <w:rFonts w:ascii="Times New Roman" w:eastAsia="Times New Roman" w:hAnsi="Times New Roman"/>
                <w:noProof/>
                <w:color w:val="000000"/>
                <w:sz w:val="20"/>
                <w:szCs w:val="20"/>
                <w:lang w:eastAsia="en-GB"/>
              </w:rPr>
              <w:t>(legislative, incl. impact assessment; Art. 207 TFEU; Q4/2016)</w:t>
            </w:r>
            <w:r>
              <w:rPr>
                <w:rFonts w:ascii="Times New Roman" w:eastAsia="Times New Roman" w:hAnsi="Times New Roman"/>
                <w:b/>
                <w:noProof/>
                <w:color w:val="000000"/>
                <w:sz w:val="20"/>
                <w:szCs w:val="20"/>
                <w:lang w:eastAsia="en-GB"/>
              </w:rPr>
              <w:t>. This initiative also includes</w:t>
            </w:r>
            <w:r>
              <w:rPr>
                <w:rFonts w:ascii="Times New Roman" w:hAnsi="Times New Roman"/>
                <w:b/>
                <w:noProof/>
                <w:sz w:val="20"/>
                <w:szCs w:val="20"/>
              </w:rPr>
              <w:t xml:space="preserve"> a proposal for a European Travel Information and Authorisation System (ETIAS)</w:t>
            </w:r>
            <w:r>
              <w:rPr>
                <w:rFonts w:ascii="Times New Roman" w:hAnsi="Times New Roman"/>
                <w:noProof/>
                <w:sz w:val="20"/>
                <w:szCs w:val="20"/>
              </w:rPr>
              <w:t xml:space="preserve"> (legislative; </w:t>
            </w:r>
            <w:r>
              <w:rPr>
                <w:rFonts w:ascii="Times New Roman" w:eastAsia="Times New Roman" w:hAnsi="Times New Roman"/>
                <w:noProof/>
                <w:color w:val="000000"/>
                <w:sz w:val="20"/>
                <w:szCs w:val="20"/>
                <w:lang w:eastAsia="en-GB"/>
              </w:rPr>
              <w:t xml:space="preserve">Art. 77(2)(b) and (d)a TFEU; </w:t>
            </w:r>
            <w:r>
              <w:rPr>
                <w:rFonts w:ascii="Times New Roman" w:hAnsi="Times New Roman"/>
                <w:noProof/>
                <w:sz w:val="20"/>
                <w:szCs w:val="20"/>
              </w:rPr>
              <w:t xml:space="preserve">Q4/2016) </w:t>
            </w:r>
            <w:r>
              <w:rPr>
                <w:rFonts w:ascii="Times New Roman" w:hAnsi="Times New Roman"/>
                <w:b/>
                <w:noProof/>
                <w:sz w:val="20"/>
                <w:szCs w:val="20"/>
              </w:rPr>
              <w:t xml:space="preserve">as well as </w:t>
            </w:r>
            <w:r>
              <w:rPr>
                <w:rFonts w:ascii="Times New Roman" w:eastAsia="Times New Roman" w:hAnsi="Times New Roman"/>
                <w:b/>
                <w:noProof/>
                <w:color w:val="000000"/>
                <w:sz w:val="20"/>
                <w:szCs w:val="20"/>
                <w:lang w:eastAsia="en-GB"/>
              </w:rPr>
              <w:t>follow-up to the work of the High Level Group on information systems and interoperability.</w:t>
            </w:r>
            <w:r>
              <w:rPr>
                <w:rFonts w:ascii="Times New Roman" w:hAnsi="Times New Roman"/>
                <w:b/>
                <w:noProof/>
                <w:sz w:val="24"/>
                <w:szCs w:val="24"/>
                <w:lang w:val="en-US"/>
              </w:rPr>
              <w:t xml:space="preserve"> </w:t>
            </w:r>
          </w:p>
        </w:tc>
      </w:tr>
      <w:tr w:rsidR="00FB3765">
        <w:trPr>
          <w:cantSplit/>
        </w:trPr>
        <w:tc>
          <w:tcPr>
            <w:tcW w:w="5000" w:type="pct"/>
            <w:gridSpan w:val="3"/>
            <w:shd w:val="clear" w:color="auto" w:fill="F2F2F2" w:themeFill="background1" w:themeFillShade="F2"/>
          </w:tcPr>
          <w:p w:rsidR="00FB3765" w:rsidRDefault="00820650">
            <w:pPr>
              <w:spacing w:before="60" w:after="60"/>
              <w:rPr>
                <w:rFonts w:ascii="Times New Roman" w:eastAsia="Times New Roman" w:hAnsi="Times New Roman"/>
                <w:noProof/>
                <w:color w:val="000000"/>
                <w:sz w:val="20"/>
                <w:szCs w:val="20"/>
                <w:lang w:eastAsia="en-GB"/>
              </w:rPr>
            </w:pPr>
            <w:r>
              <w:rPr>
                <w:rFonts w:ascii="Times New Roman" w:hAnsi="Times New Roman"/>
                <w:b/>
                <w:noProof/>
                <w:sz w:val="20"/>
                <w:szCs w:val="20"/>
              </w:rPr>
              <w:t>Towards a New Policy on Migration</w:t>
            </w:r>
          </w:p>
        </w:tc>
      </w:tr>
      <w:tr w:rsidR="00FB3765">
        <w:trPr>
          <w:cantSplit/>
        </w:trPr>
        <w:tc>
          <w:tcPr>
            <w:tcW w:w="181" w:type="pct"/>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Pr>
          <w:p w:rsidR="00FB3765" w:rsidRDefault="00820650">
            <w:pPr>
              <w:spacing w:after="0"/>
              <w:rPr>
                <w:rFonts w:ascii="Times New Roman" w:hAnsi="Times New Roman"/>
                <w:b/>
                <w:noProof/>
                <w:sz w:val="20"/>
                <w:szCs w:val="20"/>
              </w:rPr>
            </w:pPr>
            <w:r>
              <w:rPr>
                <w:rFonts w:ascii="Times New Roman" w:hAnsi="Times New Roman"/>
                <w:b/>
                <w:noProof/>
                <w:sz w:val="20"/>
                <w:szCs w:val="20"/>
              </w:rPr>
              <w:t>Implementation of the European Agenda on Migration</w:t>
            </w:r>
          </w:p>
        </w:tc>
        <w:tc>
          <w:tcPr>
            <w:tcW w:w="3565" w:type="pct"/>
          </w:tcPr>
          <w:p w:rsidR="00FB3765" w:rsidRDefault="00820650">
            <w:pPr>
              <w:keepNext/>
              <w:tabs>
                <w:tab w:val="left" w:pos="284"/>
              </w:tabs>
              <w:spacing w:after="0"/>
              <w:jc w:val="both"/>
              <w:rPr>
                <w:rFonts w:ascii="Times New Roman" w:eastAsia="Times New Roman" w:hAnsi="Times New Roman"/>
                <w:b/>
                <w:noProof/>
                <w:color w:val="000000"/>
                <w:sz w:val="20"/>
                <w:szCs w:val="20"/>
                <w:lang w:eastAsia="en-GB"/>
              </w:rPr>
            </w:pPr>
            <w:r>
              <w:rPr>
                <w:rFonts w:ascii="Times New Roman" w:hAnsi="Times New Roman"/>
                <w:b/>
                <w:noProof/>
                <w:sz w:val="20"/>
                <w:szCs w:val="20"/>
              </w:rPr>
              <w:t xml:space="preserve">Mid-term review of the implementation of the European Agenda on Migration, consolidating and taking horizontal stock across different workstrands, including the implementation of the new migration partnership framework with third countries. </w:t>
            </w:r>
          </w:p>
        </w:tc>
      </w:tr>
      <w:tr w:rsidR="00FB3765">
        <w:trPr>
          <w:cantSplit/>
        </w:trPr>
        <w:tc>
          <w:tcPr>
            <w:tcW w:w="5000" w:type="pct"/>
            <w:gridSpan w:val="3"/>
            <w:shd w:val="clear" w:color="auto" w:fill="F2F2F2" w:themeFill="background1" w:themeFillShade="F2"/>
          </w:tcPr>
          <w:p w:rsidR="00FB3765" w:rsidRDefault="00820650">
            <w:pPr>
              <w:keepNext/>
              <w:spacing w:before="60" w:after="60"/>
              <w:rPr>
                <w:rFonts w:ascii="Times New Roman" w:eastAsia="Times New Roman" w:hAnsi="Times New Roman"/>
                <w:noProof/>
                <w:color w:val="000000"/>
                <w:sz w:val="20"/>
                <w:szCs w:val="20"/>
                <w:lang w:eastAsia="en-GB"/>
              </w:rPr>
            </w:pPr>
            <w:r>
              <w:rPr>
                <w:rFonts w:ascii="Times New Roman" w:hAnsi="Times New Roman"/>
                <w:b/>
                <w:noProof/>
                <w:sz w:val="20"/>
                <w:szCs w:val="20"/>
              </w:rPr>
              <w:lastRenderedPageBreak/>
              <w:t>A Stronger Global Actor</w:t>
            </w:r>
          </w:p>
        </w:tc>
      </w:tr>
      <w:tr w:rsidR="00FB3765">
        <w:trPr>
          <w:cantSplit/>
        </w:trPr>
        <w:tc>
          <w:tcPr>
            <w:tcW w:w="181" w:type="pct"/>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Pr>
          <w:p w:rsidR="00FB3765" w:rsidRDefault="00820650">
            <w:pPr>
              <w:spacing w:after="0"/>
              <w:rPr>
                <w:rFonts w:ascii="Times New Roman" w:hAnsi="Times New Roman"/>
                <w:b/>
                <w:noProof/>
                <w:sz w:val="20"/>
                <w:szCs w:val="20"/>
              </w:rPr>
            </w:pPr>
            <w:r>
              <w:rPr>
                <w:rFonts w:ascii="Times New Roman" w:hAnsi="Times New Roman"/>
                <w:b/>
                <w:noProof/>
                <w:sz w:val="20"/>
                <w:szCs w:val="20"/>
              </w:rPr>
              <w:t>Implementation of the European Defence Action Plan</w:t>
            </w:r>
          </w:p>
        </w:tc>
        <w:tc>
          <w:tcPr>
            <w:tcW w:w="3565" w:type="pct"/>
          </w:tcPr>
          <w:p w:rsidR="00FB3765" w:rsidRDefault="00820650">
            <w:pPr>
              <w:spacing w:after="0"/>
              <w:jc w:val="both"/>
              <w:rPr>
                <w:rFonts w:ascii="Times New Roman" w:hAnsi="Times New Roman"/>
                <w:b/>
                <w:noProof/>
                <w:sz w:val="20"/>
                <w:szCs w:val="20"/>
                <w:highlight w:val="yellow"/>
              </w:rPr>
            </w:pPr>
            <w:r>
              <w:rPr>
                <w:rFonts w:ascii="Times New Roman" w:hAnsi="Times New Roman"/>
                <w:b/>
                <w:noProof/>
                <w:sz w:val="20"/>
                <w:szCs w:val="20"/>
              </w:rPr>
              <w:t>Including a proposal for a European Defence Fund and measures to improve the use and effectiveness of public procurement rules</w:t>
            </w:r>
            <w:r>
              <w:rPr>
                <w:rFonts w:ascii="Times New Roman" w:hAnsi="Times New Roman"/>
                <w:noProof/>
                <w:sz w:val="20"/>
                <w:szCs w:val="20"/>
              </w:rPr>
              <w:t xml:space="preserve"> (legislative/ non-legislative)</w:t>
            </w:r>
            <w:r>
              <w:rPr>
                <w:rFonts w:ascii="Times New Roman" w:hAnsi="Times New Roman"/>
                <w:b/>
                <w:noProof/>
                <w:sz w:val="20"/>
                <w:szCs w:val="20"/>
              </w:rPr>
              <w:t>.</w:t>
            </w:r>
          </w:p>
        </w:tc>
      </w:tr>
      <w:tr w:rsidR="00FB3765">
        <w:trPr>
          <w:cantSplit/>
        </w:trPr>
        <w:tc>
          <w:tcPr>
            <w:tcW w:w="181" w:type="pct"/>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Pr>
          <w:p w:rsidR="00FB3765" w:rsidRDefault="00820650">
            <w:pPr>
              <w:spacing w:after="0"/>
              <w:rPr>
                <w:rFonts w:ascii="Times New Roman" w:hAnsi="Times New Roman"/>
                <w:b/>
                <w:noProof/>
                <w:sz w:val="20"/>
                <w:szCs w:val="20"/>
              </w:rPr>
            </w:pPr>
            <w:r>
              <w:rPr>
                <w:rFonts w:ascii="Times New Roman" w:hAnsi="Times New Roman"/>
                <w:b/>
                <w:noProof/>
                <w:sz w:val="20"/>
                <w:szCs w:val="20"/>
              </w:rPr>
              <w:t>Implementation of the EU Global Strategy</w:t>
            </w:r>
          </w:p>
        </w:tc>
        <w:tc>
          <w:tcPr>
            <w:tcW w:w="3565" w:type="pct"/>
          </w:tcPr>
          <w:p w:rsidR="00FB3765" w:rsidRDefault="00820650">
            <w:pPr>
              <w:spacing w:after="0"/>
              <w:jc w:val="both"/>
              <w:rPr>
                <w:rFonts w:ascii="Times New Roman" w:hAnsi="Times New Roman"/>
                <w:b/>
                <w:noProof/>
                <w:sz w:val="20"/>
                <w:szCs w:val="20"/>
              </w:rPr>
            </w:pPr>
            <w:r>
              <w:rPr>
                <w:rFonts w:ascii="Times New Roman" w:hAnsi="Times New Roman"/>
                <w:b/>
                <w:noProof/>
                <w:sz w:val="20"/>
                <w:szCs w:val="20"/>
              </w:rPr>
              <w:t xml:space="preserve">Including notably efforts to foster state, economic, environmental/climate and societal resilience in third countries, in particular in the EU's neighbours and in wider surrounding regions </w:t>
            </w:r>
            <w:r>
              <w:rPr>
                <w:rFonts w:ascii="Times New Roman" w:hAnsi="Times New Roman"/>
                <w:noProof/>
                <w:sz w:val="20"/>
                <w:szCs w:val="20"/>
              </w:rPr>
              <w:t>(non-legislative)</w:t>
            </w:r>
            <w:r>
              <w:rPr>
                <w:rFonts w:ascii="Times New Roman" w:hAnsi="Times New Roman"/>
                <w:b/>
                <w:noProof/>
                <w:sz w:val="20"/>
                <w:szCs w:val="20"/>
              </w:rPr>
              <w:t xml:space="preserve">. </w:t>
            </w:r>
          </w:p>
        </w:tc>
      </w:tr>
      <w:tr w:rsidR="00FB3765">
        <w:trPr>
          <w:cantSplit/>
        </w:trPr>
        <w:tc>
          <w:tcPr>
            <w:tcW w:w="181" w:type="pct"/>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Pr>
          <w:p w:rsidR="00FB3765" w:rsidRDefault="00820650">
            <w:pPr>
              <w:spacing w:after="0"/>
              <w:rPr>
                <w:rFonts w:ascii="Times New Roman" w:hAnsi="Times New Roman"/>
                <w:b/>
                <w:noProof/>
                <w:sz w:val="20"/>
                <w:szCs w:val="20"/>
              </w:rPr>
            </w:pPr>
            <w:r>
              <w:rPr>
                <w:rFonts w:ascii="Times New Roman" w:hAnsi="Times New Roman"/>
                <w:b/>
                <w:noProof/>
                <w:sz w:val="20"/>
                <w:szCs w:val="20"/>
              </w:rPr>
              <w:t>EU Strategy for Syria</w:t>
            </w:r>
          </w:p>
        </w:tc>
        <w:tc>
          <w:tcPr>
            <w:tcW w:w="3565" w:type="pct"/>
          </w:tcPr>
          <w:p w:rsidR="00FB3765" w:rsidRDefault="00820650">
            <w:pPr>
              <w:spacing w:after="0"/>
              <w:jc w:val="both"/>
              <w:rPr>
                <w:rFonts w:ascii="Times New Roman" w:hAnsi="Times New Roman"/>
                <w:b/>
                <w:noProof/>
                <w:sz w:val="20"/>
                <w:szCs w:val="20"/>
              </w:rPr>
            </w:pPr>
            <w:r>
              <w:rPr>
                <w:rFonts w:ascii="Times New Roman" w:hAnsi="Times New Roman"/>
                <w:b/>
                <w:noProof/>
                <w:sz w:val="20"/>
                <w:szCs w:val="20"/>
              </w:rPr>
              <w:t xml:space="preserve">The strategy will set out how the EU can help rebuild a peaceful and stable Syrian nation and a pluralistic, tolerant civil society in Syria </w:t>
            </w:r>
            <w:r>
              <w:rPr>
                <w:rFonts w:ascii="Times New Roman" w:hAnsi="Times New Roman"/>
                <w:noProof/>
                <w:sz w:val="20"/>
                <w:szCs w:val="20"/>
              </w:rPr>
              <w:t>(non-legislative; Q1/2017)</w:t>
            </w:r>
            <w:r>
              <w:rPr>
                <w:rFonts w:ascii="Times New Roman" w:hAnsi="Times New Roman"/>
                <w:b/>
                <w:noProof/>
                <w:sz w:val="20"/>
                <w:szCs w:val="20"/>
              </w:rPr>
              <w:t>.</w:t>
            </w:r>
          </w:p>
        </w:tc>
      </w:tr>
      <w:tr w:rsidR="00FB3765">
        <w:trPr>
          <w:cantSplit/>
        </w:trPr>
        <w:tc>
          <w:tcPr>
            <w:tcW w:w="181" w:type="pct"/>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Pr>
          <w:p w:rsidR="00FB3765" w:rsidRDefault="00820650">
            <w:pPr>
              <w:spacing w:after="0"/>
              <w:rPr>
                <w:rFonts w:ascii="Times New Roman" w:hAnsi="Times New Roman"/>
                <w:b/>
                <w:noProof/>
                <w:sz w:val="20"/>
                <w:szCs w:val="20"/>
              </w:rPr>
            </w:pPr>
            <w:r>
              <w:rPr>
                <w:rFonts w:ascii="Times New Roman" w:hAnsi="Times New Roman"/>
                <w:b/>
                <w:noProof/>
                <w:sz w:val="20"/>
                <w:szCs w:val="20"/>
              </w:rPr>
              <w:t>Africa – EU Partnership: renewed impetus</w:t>
            </w:r>
          </w:p>
        </w:tc>
        <w:tc>
          <w:tcPr>
            <w:tcW w:w="3565" w:type="pct"/>
          </w:tcPr>
          <w:p w:rsidR="00FB3765" w:rsidRDefault="00820650">
            <w:pPr>
              <w:spacing w:after="0"/>
              <w:jc w:val="both"/>
              <w:rPr>
                <w:rFonts w:ascii="Times New Roman" w:hAnsi="Times New Roman"/>
                <w:b/>
                <w:noProof/>
                <w:sz w:val="20"/>
                <w:szCs w:val="20"/>
                <w:highlight w:val="yellow"/>
              </w:rPr>
            </w:pPr>
            <w:r>
              <w:rPr>
                <w:rFonts w:ascii="Times New Roman" w:eastAsia="Times New Roman" w:hAnsi="Times New Roman"/>
                <w:b/>
                <w:noProof/>
                <w:color w:val="000000"/>
                <w:sz w:val="20"/>
                <w:szCs w:val="20"/>
                <w:lang w:eastAsia="en-GB"/>
              </w:rPr>
              <w:t xml:space="preserve">The initiative will define the EU's strategic objectives and priorities in its relations with Africa </w:t>
            </w:r>
            <w:r>
              <w:rPr>
                <w:rFonts w:ascii="Times New Roman" w:eastAsia="Times New Roman" w:hAnsi="Times New Roman"/>
                <w:noProof/>
                <w:color w:val="000000"/>
                <w:sz w:val="20"/>
                <w:szCs w:val="20"/>
                <w:lang w:eastAsia="en-GB"/>
              </w:rPr>
              <w:t>(non-legislative; Q2/2017)</w:t>
            </w:r>
            <w:r>
              <w:rPr>
                <w:rFonts w:ascii="Times New Roman" w:eastAsia="Times New Roman" w:hAnsi="Times New Roman"/>
                <w:b/>
                <w:noProof/>
                <w:color w:val="000000"/>
                <w:sz w:val="20"/>
                <w:szCs w:val="20"/>
                <w:lang w:eastAsia="en-GB"/>
              </w:rPr>
              <w:t>.</w:t>
            </w:r>
            <w:r>
              <w:rPr>
                <w:rFonts w:ascii="Times New Roman" w:hAnsi="Times New Roman"/>
                <w:b/>
                <w:noProof/>
                <w:sz w:val="20"/>
                <w:szCs w:val="20"/>
                <w:highlight w:val="yellow"/>
              </w:rPr>
              <w:t xml:space="preserve"> </w:t>
            </w:r>
          </w:p>
        </w:tc>
      </w:tr>
      <w:tr w:rsidR="00FB3765">
        <w:trPr>
          <w:cantSplit/>
        </w:trPr>
        <w:tc>
          <w:tcPr>
            <w:tcW w:w="5000" w:type="pct"/>
            <w:gridSpan w:val="3"/>
            <w:shd w:val="clear" w:color="auto" w:fill="F2F2F2" w:themeFill="background1" w:themeFillShade="F2"/>
          </w:tcPr>
          <w:p w:rsidR="00FB3765" w:rsidRDefault="00820650">
            <w:pPr>
              <w:spacing w:before="60" w:after="60"/>
              <w:rPr>
                <w:rFonts w:ascii="Times New Roman" w:hAnsi="Times New Roman"/>
                <w:noProof/>
                <w:sz w:val="20"/>
                <w:szCs w:val="20"/>
              </w:rPr>
            </w:pPr>
            <w:r>
              <w:rPr>
                <w:rFonts w:ascii="Times New Roman" w:hAnsi="Times New Roman"/>
                <w:b/>
                <w:noProof/>
                <w:sz w:val="20"/>
                <w:szCs w:val="20"/>
              </w:rPr>
              <w:t>A Union of Democratic Change</w:t>
            </w:r>
          </w:p>
        </w:tc>
      </w:tr>
      <w:tr w:rsidR="00FB3765">
        <w:trPr>
          <w:cantSplit/>
        </w:trPr>
        <w:tc>
          <w:tcPr>
            <w:tcW w:w="181" w:type="pct"/>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Pr>
          <w:p w:rsidR="00FB3765" w:rsidRDefault="00820650">
            <w:pPr>
              <w:spacing w:after="0"/>
              <w:rPr>
                <w:rFonts w:ascii="Times New Roman" w:hAnsi="Times New Roman"/>
                <w:b/>
                <w:noProof/>
                <w:sz w:val="20"/>
                <w:szCs w:val="20"/>
              </w:rPr>
            </w:pPr>
            <w:r>
              <w:rPr>
                <w:rFonts w:ascii="Times New Roman" w:hAnsi="Times New Roman"/>
                <w:b/>
                <w:noProof/>
                <w:sz w:val="20"/>
                <w:szCs w:val="20"/>
              </w:rPr>
              <w:t xml:space="preserve">Modernisation of Comitology procedures </w:t>
            </w:r>
          </w:p>
        </w:tc>
        <w:tc>
          <w:tcPr>
            <w:tcW w:w="3565" w:type="pct"/>
          </w:tcPr>
          <w:p w:rsidR="00FB3765" w:rsidRDefault="00820650">
            <w:pPr>
              <w:spacing w:after="0"/>
              <w:jc w:val="both"/>
              <w:rPr>
                <w:rFonts w:ascii="Times New Roman" w:hAnsi="Times New Roman"/>
                <w:b/>
                <w:noProof/>
                <w:sz w:val="20"/>
                <w:szCs w:val="20"/>
              </w:rPr>
            </w:pPr>
            <w:r>
              <w:rPr>
                <w:rFonts w:ascii="Times New Roman" w:hAnsi="Times New Roman"/>
                <w:b/>
                <w:noProof/>
                <w:sz w:val="20"/>
                <w:szCs w:val="20"/>
              </w:rPr>
              <w:t xml:space="preserve">Proposals to align the rules for secondary legislation to the updated Treaty rules </w:t>
            </w:r>
            <w:r>
              <w:rPr>
                <w:rFonts w:ascii="Times New Roman" w:hAnsi="Times New Roman"/>
                <w:noProof/>
                <w:sz w:val="20"/>
                <w:szCs w:val="20"/>
              </w:rPr>
              <w:t>(legislative; Q1/2017)</w:t>
            </w:r>
            <w:r>
              <w:rPr>
                <w:rFonts w:ascii="Times New Roman" w:hAnsi="Times New Roman"/>
                <w:b/>
                <w:noProof/>
                <w:sz w:val="20"/>
                <w:szCs w:val="20"/>
              </w:rPr>
              <w:t>; and assessment of the democratic legitimacy of existing procedures for the adoption of delegated and implementing acts</w:t>
            </w:r>
            <w:r>
              <w:rPr>
                <w:rFonts w:ascii="Times New Roman" w:hAnsi="Times New Roman"/>
                <w:noProof/>
                <w:sz w:val="20"/>
                <w:szCs w:val="20"/>
              </w:rPr>
              <w:t xml:space="preserve"> (non-legislative; Q1/2017)</w:t>
            </w:r>
            <w:r>
              <w:rPr>
                <w:rFonts w:ascii="Times New Roman" w:hAnsi="Times New Roman"/>
                <w:b/>
                <w:noProof/>
                <w:sz w:val="20"/>
                <w:szCs w:val="20"/>
              </w:rPr>
              <w:t>.</w:t>
            </w:r>
          </w:p>
        </w:tc>
      </w:tr>
      <w:tr w:rsidR="00FB3765">
        <w:trPr>
          <w:cantSplit/>
        </w:trPr>
        <w:tc>
          <w:tcPr>
            <w:tcW w:w="181" w:type="pct"/>
            <w:shd w:val="clear" w:color="auto" w:fill="auto"/>
          </w:tcPr>
          <w:p w:rsidR="00FB3765" w:rsidRDefault="00FB3765">
            <w:pPr>
              <w:numPr>
                <w:ilvl w:val="0"/>
                <w:numId w:val="1"/>
              </w:numPr>
              <w:spacing w:after="0" w:line="240" w:lineRule="auto"/>
              <w:rPr>
                <w:rFonts w:ascii="Times New Roman" w:hAnsi="Times New Roman"/>
                <w:b/>
                <w:noProof/>
                <w:color w:val="000000"/>
                <w:sz w:val="20"/>
                <w:szCs w:val="20"/>
              </w:rPr>
            </w:pPr>
          </w:p>
        </w:tc>
        <w:tc>
          <w:tcPr>
            <w:tcW w:w="1254" w:type="pct"/>
          </w:tcPr>
          <w:p w:rsidR="00FB3765" w:rsidRDefault="00820650">
            <w:pPr>
              <w:spacing w:after="0"/>
              <w:rPr>
                <w:rFonts w:ascii="Times New Roman" w:hAnsi="Times New Roman"/>
                <w:b/>
                <w:noProof/>
                <w:sz w:val="20"/>
                <w:szCs w:val="20"/>
              </w:rPr>
            </w:pPr>
            <w:r>
              <w:rPr>
                <w:rFonts w:ascii="Times New Roman" w:hAnsi="Times New Roman"/>
                <w:b/>
                <w:noProof/>
                <w:sz w:val="20"/>
                <w:szCs w:val="20"/>
              </w:rPr>
              <w:t>A more strategic approach to enforcement of EU law</w:t>
            </w:r>
          </w:p>
        </w:tc>
        <w:tc>
          <w:tcPr>
            <w:tcW w:w="3565" w:type="pct"/>
          </w:tcPr>
          <w:p w:rsidR="00FB3765" w:rsidRDefault="00820650">
            <w:pPr>
              <w:spacing w:after="0"/>
              <w:jc w:val="both"/>
              <w:rPr>
                <w:rFonts w:ascii="Times New Roman" w:hAnsi="Times New Roman"/>
                <w:b/>
                <w:noProof/>
                <w:sz w:val="20"/>
                <w:szCs w:val="20"/>
              </w:rPr>
            </w:pPr>
            <w:r>
              <w:rPr>
                <w:rFonts w:ascii="Times New Roman" w:hAnsi="Times New Roman"/>
                <w:b/>
                <w:noProof/>
                <w:sz w:val="20"/>
                <w:szCs w:val="20"/>
              </w:rPr>
              <w:t xml:space="preserve">Measures to step up efforts on the application, implementation and enforcement of EU law </w:t>
            </w:r>
            <w:r>
              <w:rPr>
                <w:rFonts w:ascii="Times New Roman" w:hAnsi="Times New Roman"/>
                <w:noProof/>
                <w:sz w:val="20"/>
                <w:szCs w:val="20"/>
              </w:rPr>
              <w:t>(non-legislative; Q4/2016)</w:t>
            </w:r>
            <w:r>
              <w:rPr>
                <w:rFonts w:ascii="Times New Roman" w:hAnsi="Times New Roman"/>
                <w:b/>
                <w:noProof/>
                <w:sz w:val="20"/>
                <w:szCs w:val="20"/>
              </w:rPr>
              <w:t xml:space="preserve">, in line with the Commission's priorities; concrete proposals to ensure better enforcement of single market rules </w:t>
            </w:r>
            <w:r>
              <w:rPr>
                <w:rFonts w:ascii="Times New Roman" w:hAnsi="Times New Roman"/>
                <w:noProof/>
                <w:sz w:val="20"/>
                <w:szCs w:val="20"/>
              </w:rPr>
              <w:t xml:space="preserve">(see under point 6 above) </w:t>
            </w:r>
            <w:r>
              <w:rPr>
                <w:rFonts w:ascii="Times New Roman" w:hAnsi="Times New Roman"/>
                <w:b/>
                <w:noProof/>
                <w:sz w:val="20"/>
                <w:szCs w:val="20"/>
              </w:rPr>
              <w:t xml:space="preserve">as well as REFIT initiatives to ensure proper implementation and enforcement of environmental regulation, including environmental compliance assurance </w:t>
            </w:r>
            <w:r>
              <w:rPr>
                <w:rFonts w:ascii="Times New Roman" w:hAnsi="Times New Roman"/>
                <w:noProof/>
                <w:sz w:val="20"/>
                <w:szCs w:val="20"/>
              </w:rPr>
              <w:t>(non-legislative; Q3/2017)</w:t>
            </w:r>
            <w:r>
              <w:rPr>
                <w:rFonts w:ascii="Times New Roman" w:hAnsi="Times New Roman"/>
                <w:b/>
                <w:noProof/>
                <w:sz w:val="20"/>
                <w:szCs w:val="20"/>
              </w:rPr>
              <w:t xml:space="preserve">, access to justice </w:t>
            </w:r>
            <w:r>
              <w:rPr>
                <w:rFonts w:ascii="Times New Roman" w:hAnsi="Times New Roman"/>
                <w:noProof/>
                <w:sz w:val="20"/>
                <w:szCs w:val="20"/>
              </w:rPr>
              <w:t>(non-legislative; Q1/2017)</w:t>
            </w:r>
            <w:r>
              <w:rPr>
                <w:rFonts w:ascii="Times New Roman" w:hAnsi="Times New Roman"/>
                <w:b/>
                <w:noProof/>
                <w:sz w:val="20"/>
                <w:szCs w:val="20"/>
              </w:rPr>
              <w:t xml:space="preserve"> and monitoring, transparency and reporting </w:t>
            </w:r>
            <w:r>
              <w:rPr>
                <w:rFonts w:ascii="Times New Roman" w:hAnsi="Times New Roman"/>
                <w:noProof/>
                <w:sz w:val="20"/>
                <w:szCs w:val="20"/>
              </w:rPr>
              <w:t>(legislative/ non-legislative; Q2/2017)</w:t>
            </w:r>
            <w:r>
              <w:rPr>
                <w:rFonts w:ascii="Times New Roman" w:hAnsi="Times New Roman"/>
                <w:b/>
                <w:noProof/>
                <w:sz w:val="20"/>
                <w:szCs w:val="20"/>
              </w:rPr>
              <w:t>.</w:t>
            </w:r>
          </w:p>
        </w:tc>
      </w:tr>
    </w:tbl>
    <w:p w:rsidR="00FB3765" w:rsidRDefault="00FB3765">
      <w:pPr>
        <w:spacing w:after="600"/>
        <w:jc w:val="center"/>
        <w:outlineLvl w:val="0"/>
        <w:rPr>
          <w:noProof/>
        </w:rPr>
      </w:pPr>
    </w:p>
    <w:sectPr w:rsidR="00FB3765">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65" w:rsidRDefault="00820650">
      <w:pPr>
        <w:spacing w:after="0" w:line="240" w:lineRule="auto"/>
      </w:pPr>
      <w:r>
        <w:separator/>
      </w:r>
    </w:p>
  </w:endnote>
  <w:endnote w:type="continuationSeparator" w:id="0">
    <w:p w:rsidR="00FB3765" w:rsidRDefault="00820650">
      <w:pPr>
        <w:spacing w:after="0" w:line="240" w:lineRule="auto"/>
      </w:pPr>
      <w:r>
        <w:continuationSeparator/>
      </w:r>
    </w:p>
  </w:endnote>
  <w:endnote w:type="continuationNotice" w:id="1">
    <w:p w:rsidR="00FB3765" w:rsidRDefault="00FB3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21" w:rsidRDefault="00383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F5" w:rsidRPr="00DE3AF5" w:rsidRDefault="00DE3AF5" w:rsidP="00DE3AF5">
    <w:pPr>
      <w:pStyle w:val="FooterCoverPage"/>
      <w:rPr>
        <w:rFonts w:ascii="Arial" w:hAnsi="Arial" w:cs="Arial"/>
        <w:b/>
        <w:sz w:val="48"/>
      </w:rPr>
    </w:pPr>
    <w:r w:rsidRPr="00DE3AF5">
      <w:rPr>
        <w:rFonts w:ascii="Arial" w:hAnsi="Arial" w:cs="Arial"/>
        <w:b/>
        <w:sz w:val="48"/>
      </w:rPr>
      <w:t>EN</w:t>
    </w:r>
    <w:r w:rsidRPr="00DE3AF5">
      <w:rPr>
        <w:rFonts w:ascii="Arial" w:hAnsi="Arial" w:cs="Arial"/>
        <w:b/>
        <w:sz w:val="48"/>
      </w:rPr>
      <w:tab/>
    </w:r>
    <w:r w:rsidRPr="00DE3AF5">
      <w:rPr>
        <w:rFonts w:ascii="Arial" w:hAnsi="Arial" w:cs="Arial"/>
        <w:b/>
        <w:sz w:val="48"/>
      </w:rPr>
      <w:tab/>
    </w:r>
    <w:r w:rsidR="00383521">
      <w:fldChar w:fldCharType="begin"/>
    </w:r>
    <w:r w:rsidR="00383521">
      <w:instrText xml:space="preserve"> DOCVARIABLE "LW_Confidence" \* MERGEFORMAT </w:instrText>
    </w:r>
    <w:r w:rsidR="00383521">
      <w:fldChar w:fldCharType="separate"/>
    </w:r>
    <w:r w:rsidR="00383521">
      <w:t xml:space="preserve"> </w:t>
    </w:r>
    <w:r w:rsidR="00383521">
      <w:fldChar w:fldCharType="end"/>
    </w:r>
    <w:r w:rsidRPr="00DE3AF5">
      <w:tab/>
    </w:r>
    <w:r w:rsidRPr="00DE3AF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21" w:rsidRDefault="003835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65" w:rsidRDefault="00FB376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75073"/>
      <w:docPartObj>
        <w:docPartGallery w:val="Page Numbers (Bottom of Page)"/>
        <w:docPartUnique/>
      </w:docPartObj>
    </w:sdtPr>
    <w:sdtEndPr>
      <w:rPr>
        <w:noProof/>
      </w:rPr>
    </w:sdtEndPr>
    <w:sdtContent>
      <w:p w:rsidR="00FB3765" w:rsidRDefault="00820650">
        <w:pPr>
          <w:pStyle w:val="Footer"/>
          <w:jc w:val="right"/>
        </w:pPr>
        <w:r>
          <w:fldChar w:fldCharType="begin"/>
        </w:r>
        <w:r>
          <w:instrText xml:space="preserve"> PAGE   \* MERGEFORMAT </w:instrText>
        </w:r>
        <w:r>
          <w:fldChar w:fldCharType="separate"/>
        </w:r>
        <w:r w:rsidR="00383521">
          <w:rPr>
            <w:noProof/>
          </w:rPr>
          <w:t>6</w:t>
        </w:r>
        <w:r>
          <w:rPr>
            <w:noProof/>
          </w:rPr>
          <w:fldChar w:fldCharType="end"/>
        </w:r>
      </w:p>
    </w:sdtContent>
  </w:sdt>
  <w:p w:rsidR="00FB3765" w:rsidRDefault="00FB376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65" w:rsidRDefault="00FB3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65" w:rsidRDefault="00820650">
      <w:pPr>
        <w:spacing w:after="0" w:line="240" w:lineRule="auto"/>
      </w:pPr>
      <w:r>
        <w:separator/>
      </w:r>
    </w:p>
  </w:footnote>
  <w:footnote w:type="continuationSeparator" w:id="0">
    <w:p w:rsidR="00FB3765" w:rsidRDefault="00820650">
      <w:pPr>
        <w:spacing w:after="0" w:line="240" w:lineRule="auto"/>
      </w:pPr>
      <w:r>
        <w:continuationSeparator/>
      </w:r>
    </w:p>
  </w:footnote>
  <w:footnote w:type="continuationNotice" w:id="1">
    <w:p w:rsidR="00FB3765" w:rsidRDefault="00FB3765">
      <w:pPr>
        <w:spacing w:after="0" w:line="240" w:lineRule="auto"/>
      </w:pPr>
    </w:p>
  </w:footnote>
  <w:footnote w:id="2">
    <w:p w:rsidR="00FB3765" w:rsidRDefault="00820650">
      <w:pPr>
        <w:pStyle w:val="FootnoteText"/>
      </w:pPr>
      <w:r>
        <w:rPr>
          <w:rStyle w:val="FootnoteReference"/>
        </w:rPr>
        <w:footnoteRef/>
      </w:r>
      <w:r>
        <w:t xml:space="preserve"> In this annex the Commission provides further information, as far as available, on the initiatives included in its Work Programme, in line with the Interinstitutional Agreement on Better Law-making. This information, which is provided in brackets under the description of each initiative, is indicative only and subject to change during the preparatory process, notably in view of the outcome of an impact assessment process.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21" w:rsidRDefault="00383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21" w:rsidRDefault="003835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21" w:rsidRDefault="003835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65" w:rsidRDefault="00FB37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65" w:rsidRDefault="00FB376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65" w:rsidRDefault="00FB37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EU RESTRICTED"/>
    <w:docVar w:name="LW_CORRIGENDUM" w:val="&lt;UNUSED&gt;"/>
    <w:docVar w:name="LW_COVERPAGE_GUID" w:val="14D764E590EF48B6ABAADA130FC92A63"/>
    <w:docVar w:name="LW_CROSSREFERENCE" w:val="{SWD(2016) 400 final}"/>
    <w:docVar w:name="LW_DocType" w:val="NORMAL"/>
    <w:docVar w:name="LW_EMISSION" w:val="25.10.2016"/>
    <w:docVar w:name="LW_EMISSION_ISODATE" w:val="2016-10-25"/>
    <w:docVar w:name="LW_EMISSION_LOCATION" w:val="STR"/>
    <w:docVar w:name="LW_EMISSION_PREFIX" w:val="Strasbourg,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_x000b_Commission Work Programme 2017_x000b__x000b_Delivering a Europe that protects, empowers and defends"/>
    <w:docVar w:name="LW_PART_NBR" w:val="1"/>
    <w:docVar w:name="LW_PART_NBR_TOTAL" w:val="1"/>
    <w:docVar w:name="LW_REF.INST.NEW" w:val="COM"/>
    <w:docVar w:name="LW_REF.INST.NEW_ADOPTED" w:val="final "/>
    <w:docVar w:name="LW_REF.INST.NEW_TEXT" w:val="(2016) 710"/>
    <w:docVar w:name="LW_REF.INTERNE" w:val="&lt;UNUSED&gt;"/>
    <w:docVar w:name="LW_SUPERTITRE" w:val="&lt;UNUSED&gt;"/>
    <w:docVar w:name="LW_TITRE.OBJ.CP" w:val="&lt;UNUSED&gt;"/>
    <w:docVar w:name="LW_TYPE.DOC.CP" w:val="ANNEX_x000b_"/>
    <w:docVar w:name="LW_TYPEACTEPRINCIPAL.CP" w:val="COMMUNICATION FROM THE COMMISSION TO THE EUROPEAN PARLIAMENT, THE COUNCIL, THE EUROPEAN ECONOMIC AND SOCIAL COMMITTEE AND THE COMMITTEE OF THE REGIONS"/>
  </w:docVars>
  <w:rsids>
    <w:rsidRoot w:val="00FB3765"/>
    <w:rsid w:val="00300482"/>
    <w:rsid w:val="00315526"/>
    <w:rsid w:val="00383521"/>
    <w:rsid w:val="0053271F"/>
    <w:rsid w:val="00820650"/>
    <w:rsid w:val="00B20CA3"/>
    <w:rsid w:val="00CD0163"/>
    <w:rsid w:val="00DE3AF5"/>
    <w:rsid w:val="00F71535"/>
    <w:rsid w:val="00FB37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74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2975B-8B38-4617-98BF-39688859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David (SG)</dc:creator>
  <cp:lastModifiedBy>Stefanie Heilemann</cp:lastModifiedBy>
  <cp:revision>6</cp:revision>
  <cp:lastPrinted>2016-10-25T12:38:00Z</cp:lastPrinted>
  <dcterms:created xsi:type="dcterms:W3CDTF">2016-10-25T08:16:00Z</dcterms:created>
  <dcterms:modified xsi:type="dcterms:W3CDTF">2016-10-25T12:42:00Z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