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8F" w:rsidRDefault="00817380" w:rsidP="004212BA">
      <w:pPr>
        <w:pStyle w:val="Pagedecouverture"/>
        <w:rPr>
          <w:lang w:val="en"/>
        </w:rPr>
      </w:pPr>
      <w:bookmarkStart w:id="0" w:name="LW_BM_COVERPAGE"/>
      <w:r>
        <w:rPr>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173396275494AAEAA11D4B6E06D5E5B" style="width:451.65pt;height:510.55pt">
            <v:imagedata r:id="rId9" o:title=""/>
          </v:shape>
        </w:pict>
      </w:r>
    </w:p>
    <w:bookmarkEnd w:id="0"/>
    <w:p w:rsidR="0010358F" w:rsidRDefault="0010358F" w:rsidP="0010358F">
      <w:pPr>
        <w:rPr>
          <w:lang w:val="en"/>
        </w:rPr>
        <w:sectPr w:rsidR="0010358F" w:rsidSect="004212B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6C275F" w:rsidRPr="006B66CD" w:rsidRDefault="006B66CD">
      <w:pPr>
        <w:rPr>
          <w:rFonts w:asciiTheme="majorHAnsi" w:eastAsiaTheme="majorEastAsia" w:hAnsiTheme="majorHAnsi" w:cstheme="majorBidi"/>
          <w:b/>
          <w:bCs/>
          <w:color w:val="365F91" w:themeColor="accent1" w:themeShade="BF"/>
          <w:sz w:val="40"/>
          <w:szCs w:val="40"/>
          <w:lang w:val="en"/>
        </w:rPr>
      </w:pPr>
      <w:r w:rsidRPr="006B66CD">
        <w:rPr>
          <w:rFonts w:asciiTheme="majorHAnsi" w:eastAsiaTheme="majorEastAsia" w:hAnsiTheme="majorHAnsi" w:cstheme="majorBidi"/>
          <w:b/>
          <w:bCs/>
          <w:color w:val="365F91" w:themeColor="accent1" w:themeShade="BF"/>
          <w:sz w:val="40"/>
          <w:szCs w:val="40"/>
          <w:lang w:val="en"/>
        </w:rPr>
        <w:lastRenderedPageBreak/>
        <w:t xml:space="preserve">Regulatory Fitness and Performance Programme </w:t>
      </w:r>
    </w:p>
    <w:p w:rsidR="006B66CD" w:rsidRPr="006B66CD" w:rsidRDefault="006B66CD">
      <w:pPr>
        <w:rPr>
          <w:rFonts w:asciiTheme="majorHAnsi" w:eastAsiaTheme="majorEastAsia" w:hAnsiTheme="majorHAnsi" w:cstheme="majorBidi"/>
          <w:b/>
          <w:bCs/>
          <w:color w:val="365F91" w:themeColor="accent1" w:themeShade="BF"/>
          <w:sz w:val="40"/>
          <w:szCs w:val="40"/>
          <w:lang w:val="en"/>
        </w:rPr>
      </w:pPr>
      <w:r w:rsidRPr="006B66CD">
        <w:rPr>
          <w:rFonts w:asciiTheme="majorHAnsi" w:eastAsiaTheme="majorEastAsia" w:hAnsiTheme="majorHAnsi" w:cstheme="majorBidi"/>
          <w:b/>
          <w:bCs/>
          <w:color w:val="365F91" w:themeColor="accent1" w:themeShade="BF"/>
          <w:sz w:val="40"/>
          <w:szCs w:val="40"/>
          <w:lang w:val="en"/>
        </w:rPr>
        <w:t xml:space="preserve">REFIT </w:t>
      </w:r>
      <w:r w:rsidR="00D12C78">
        <w:rPr>
          <w:rFonts w:asciiTheme="majorHAnsi" w:eastAsiaTheme="majorEastAsia" w:hAnsiTheme="majorHAnsi" w:cstheme="majorBidi"/>
          <w:b/>
          <w:bCs/>
          <w:color w:val="365F91" w:themeColor="accent1" w:themeShade="BF"/>
          <w:sz w:val="40"/>
          <w:szCs w:val="40"/>
          <w:lang w:val="en"/>
        </w:rPr>
        <w:t>and</w:t>
      </w:r>
      <w:r w:rsidR="00B16775">
        <w:rPr>
          <w:rFonts w:asciiTheme="majorHAnsi" w:eastAsiaTheme="majorEastAsia" w:hAnsiTheme="majorHAnsi" w:cstheme="majorBidi"/>
          <w:b/>
          <w:bCs/>
          <w:color w:val="365F91" w:themeColor="accent1" w:themeShade="BF"/>
          <w:sz w:val="40"/>
          <w:szCs w:val="40"/>
          <w:lang w:val="en"/>
        </w:rPr>
        <w:t xml:space="preserve"> the 10 Priorities of the Commission</w:t>
      </w:r>
    </w:p>
    <w:p w:rsidR="006B66CD" w:rsidRPr="006B66CD" w:rsidRDefault="006B66CD">
      <w:pPr>
        <w:rPr>
          <w:rFonts w:asciiTheme="majorHAnsi" w:eastAsiaTheme="majorEastAsia" w:hAnsiTheme="majorHAnsi" w:cstheme="majorBidi"/>
          <w:b/>
          <w:bCs/>
          <w:color w:val="365F91" w:themeColor="accent1" w:themeShade="BF"/>
          <w:sz w:val="40"/>
          <w:szCs w:val="40"/>
          <w:lang w:val="en"/>
        </w:rPr>
      </w:pPr>
      <w:r w:rsidRPr="006B66CD">
        <w:rPr>
          <w:rFonts w:asciiTheme="majorHAnsi" w:eastAsiaTheme="majorEastAsia" w:hAnsiTheme="majorHAnsi" w:cstheme="majorBidi"/>
          <w:b/>
          <w:bCs/>
          <w:color w:val="365F91" w:themeColor="accent1" w:themeShade="BF"/>
          <w:sz w:val="40"/>
          <w:szCs w:val="40"/>
          <w:lang w:val="en"/>
        </w:rPr>
        <w:t>25 October 2016</w:t>
      </w:r>
    </w:p>
    <w:p w:rsidR="006B66CD" w:rsidRDefault="006B66CD">
      <w:pPr>
        <w:rPr>
          <w:rFonts w:asciiTheme="majorHAnsi" w:eastAsiaTheme="majorEastAsia" w:hAnsiTheme="majorHAnsi" w:cstheme="majorBidi"/>
          <w:b/>
          <w:bCs/>
          <w:color w:val="365F91" w:themeColor="accent1" w:themeShade="BF"/>
          <w:sz w:val="40"/>
          <w:szCs w:val="40"/>
          <w:lang w:val="en"/>
        </w:rPr>
      </w:pPr>
      <w:r>
        <w:rPr>
          <w:rFonts w:asciiTheme="majorHAnsi" w:eastAsiaTheme="majorEastAsia" w:hAnsiTheme="majorHAnsi" w:cstheme="majorBidi"/>
          <w:b/>
          <w:bCs/>
          <w:color w:val="365F91" w:themeColor="accent1" w:themeShade="BF"/>
          <w:sz w:val="40"/>
          <w:szCs w:val="40"/>
          <w:lang w:val="en"/>
        </w:rPr>
        <w:br w:type="page"/>
      </w:r>
    </w:p>
    <w:p w:rsidR="006B66CD" w:rsidRDefault="006B66CD">
      <w:pPr>
        <w:rPr>
          <w:rFonts w:asciiTheme="majorHAnsi" w:eastAsiaTheme="majorEastAsia" w:hAnsiTheme="majorHAnsi" w:cstheme="majorBidi"/>
          <w:b/>
          <w:bCs/>
          <w:color w:val="365F91" w:themeColor="accent1" w:themeShade="BF"/>
          <w:sz w:val="40"/>
          <w:szCs w:val="40"/>
          <w:lang w:val="en"/>
        </w:rPr>
      </w:pPr>
    </w:p>
    <w:sdt>
      <w:sdtPr>
        <w:rPr>
          <w:rFonts w:asciiTheme="minorHAnsi" w:eastAsiaTheme="minorHAnsi" w:hAnsiTheme="minorHAnsi" w:cstheme="minorBidi"/>
          <w:b w:val="0"/>
          <w:bCs w:val="0"/>
          <w:color w:val="auto"/>
          <w:sz w:val="22"/>
          <w:szCs w:val="22"/>
          <w:lang w:val="en-GB" w:eastAsia="en-US"/>
        </w:rPr>
        <w:id w:val="31088730"/>
        <w:docPartObj>
          <w:docPartGallery w:val="Table of Contents"/>
          <w:docPartUnique/>
        </w:docPartObj>
      </w:sdtPr>
      <w:sdtEndPr>
        <w:rPr>
          <w:noProof/>
          <w:color w:val="1F497D" w:themeColor="text2"/>
        </w:rPr>
      </w:sdtEndPr>
      <w:sdtContent>
        <w:p w:rsidR="00A47073" w:rsidRDefault="00A47073">
          <w:pPr>
            <w:pStyle w:val="TOCHeading"/>
          </w:pPr>
          <w:r>
            <w:t>Table of Contents</w:t>
          </w:r>
        </w:p>
        <w:p w:rsidR="003A4CF7" w:rsidRDefault="00A47073">
          <w:pPr>
            <w:pStyle w:val="TOC1"/>
            <w:tabs>
              <w:tab w:val="right" w:leader="dot" w:pos="9062"/>
            </w:tabs>
            <w:rPr>
              <w:rFonts w:eastAsiaTheme="minorEastAsia"/>
              <w:noProof/>
              <w:lang w:eastAsia="en-GB"/>
            </w:rPr>
          </w:pPr>
          <w:r w:rsidRPr="00814BEA">
            <w:rPr>
              <w:color w:val="1F497D" w:themeColor="text2"/>
            </w:rPr>
            <w:fldChar w:fldCharType="begin"/>
          </w:r>
          <w:r w:rsidRPr="00814BEA">
            <w:rPr>
              <w:color w:val="1F497D" w:themeColor="text2"/>
            </w:rPr>
            <w:instrText xml:space="preserve"> TOC \o "1-3" \h \z \u </w:instrText>
          </w:r>
          <w:r w:rsidRPr="00814BEA">
            <w:rPr>
              <w:color w:val="1F497D" w:themeColor="text2"/>
            </w:rPr>
            <w:fldChar w:fldCharType="separate"/>
          </w:r>
          <w:hyperlink w:anchor="_Toc465076228" w:history="1">
            <w:r w:rsidR="003A4CF7" w:rsidRPr="0043018D">
              <w:rPr>
                <w:rStyle w:val="Hyperlink"/>
                <w:noProof/>
              </w:rPr>
              <w:t>Introduction</w:t>
            </w:r>
            <w:r w:rsidR="003A4CF7">
              <w:rPr>
                <w:noProof/>
                <w:webHidden/>
              </w:rPr>
              <w:tab/>
            </w:r>
            <w:r w:rsidR="003A4CF7">
              <w:rPr>
                <w:noProof/>
                <w:webHidden/>
              </w:rPr>
              <w:fldChar w:fldCharType="begin"/>
            </w:r>
            <w:r w:rsidR="003A4CF7">
              <w:rPr>
                <w:noProof/>
                <w:webHidden/>
              </w:rPr>
              <w:instrText xml:space="preserve"> PAGEREF _Toc465076228 \h </w:instrText>
            </w:r>
            <w:r w:rsidR="003A4CF7">
              <w:rPr>
                <w:noProof/>
                <w:webHidden/>
              </w:rPr>
            </w:r>
            <w:r w:rsidR="003A4CF7">
              <w:rPr>
                <w:noProof/>
                <w:webHidden/>
              </w:rPr>
              <w:fldChar w:fldCharType="separate"/>
            </w:r>
            <w:r w:rsidR="00817380">
              <w:rPr>
                <w:noProof/>
                <w:webHidden/>
              </w:rPr>
              <w:t>4</w:t>
            </w:r>
            <w:r w:rsidR="003A4CF7">
              <w:rPr>
                <w:noProof/>
                <w:webHidden/>
              </w:rPr>
              <w:fldChar w:fldCharType="end"/>
            </w:r>
          </w:hyperlink>
        </w:p>
        <w:p w:rsidR="003A4CF7" w:rsidRDefault="00817380">
          <w:pPr>
            <w:pStyle w:val="TOC1"/>
            <w:tabs>
              <w:tab w:val="right" w:leader="dot" w:pos="9062"/>
            </w:tabs>
            <w:rPr>
              <w:rFonts w:eastAsiaTheme="minorEastAsia"/>
              <w:noProof/>
              <w:lang w:eastAsia="en-GB"/>
            </w:rPr>
          </w:pPr>
          <w:hyperlink w:anchor="_Toc465076229" w:history="1">
            <w:r w:rsidR="003A4CF7" w:rsidRPr="0043018D">
              <w:rPr>
                <w:rStyle w:val="Hyperlink"/>
                <w:noProof/>
              </w:rPr>
              <w:t>Priority 1: A New Boost for Jobs, Growth and Investment</w:t>
            </w:r>
            <w:r w:rsidR="003A4CF7">
              <w:rPr>
                <w:noProof/>
                <w:webHidden/>
              </w:rPr>
              <w:tab/>
            </w:r>
            <w:r w:rsidR="003A4CF7">
              <w:rPr>
                <w:noProof/>
                <w:webHidden/>
              </w:rPr>
              <w:fldChar w:fldCharType="begin"/>
            </w:r>
            <w:r w:rsidR="003A4CF7">
              <w:rPr>
                <w:noProof/>
                <w:webHidden/>
              </w:rPr>
              <w:instrText xml:space="preserve"> PAGEREF _Toc465076229 \h </w:instrText>
            </w:r>
            <w:r w:rsidR="003A4CF7">
              <w:rPr>
                <w:noProof/>
                <w:webHidden/>
              </w:rPr>
            </w:r>
            <w:r w:rsidR="003A4CF7">
              <w:rPr>
                <w:noProof/>
                <w:webHidden/>
              </w:rPr>
              <w:fldChar w:fldCharType="separate"/>
            </w:r>
            <w:r>
              <w:rPr>
                <w:noProof/>
                <w:webHidden/>
              </w:rPr>
              <w:t>6</w:t>
            </w:r>
            <w:r w:rsidR="003A4CF7">
              <w:rPr>
                <w:noProof/>
                <w:webHidden/>
              </w:rPr>
              <w:fldChar w:fldCharType="end"/>
            </w:r>
          </w:hyperlink>
        </w:p>
        <w:p w:rsidR="003A4CF7" w:rsidRDefault="00817380">
          <w:pPr>
            <w:pStyle w:val="TOC1"/>
            <w:tabs>
              <w:tab w:val="right" w:leader="dot" w:pos="9062"/>
            </w:tabs>
            <w:rPr>
              <w:rFonts w:eastAsiaTheme="minorEastAsia"/>
              <w:noProof/>
              <w:lang w:eastAsia="en-GB"/>
            </w:rPr>
          </w:pPr>
          <w:hyperlink w:anchor="_Toc465076230" w:history="1">
            <w:r w:rsidR="003A4CF7" w:rsidRPr="0043018D">
              <w:rPr>
                <w:rStyle w:val="Hyperlink"/>
                <w:noProof/>
              </w:rPr>
              <w:t>Priority 2: A Connected Digital Single Market</w:t>
            </w:r>
            <w:r w:rsidR="003A4CF7">
              <w:rPr>
                <w:noProof/>
                <w:webHidden/>
              </w:rPr>
              <w:tab/>
            </w:r>
            <w:r w:rsidR="003A4CF7">
              <w:rPr>
                <w:noProof/>
                <w:webHidden/>
              </w:rPr>
              <w:fldChar w:fldCharType="begin"/>
            </w:r>
            <w:r w:rsidR="003A4CF7">
              <w:rPr>
                <w:noProof/>
                <w:webHidden/>
              </w:rPr>
              <w:instrText xml:space="preserve"> PAGEREF _Toc465076230 \h </w:instrText>
            </w:r>
            <w:r w:rsidR="003A4CF7">
              <w:rPr>
                <w:noProof/>
                <w:webHidden/>
              </w:rPr>
            </w:r>
            <w:r w:rsidR="003A4CF7">
              <w:rPr>
                <w:noProof/>
                <w:webHidden/>
              </w:rPr>
              <w:fldChar w:fldCharType="separate"/>
            </w:r>
            <w:r>
              <w:rPr>
                <w:noProof/>
                <w:webHidden/>
              </w:rPr>
              <w:t>9</w:t>
            </w:r>
            <w:r w:rsidR="003A4CF7">
              <w:rPr>
                <w:noProof/>
                <w:webHidden/>
              </w:rPr>
              <w:fldChar w:fldCharType="end"/>
            </w:r>
          </w:hyperlink>
        </w:p>
        <w:p w:rsidR="003A4CF7" w:rsidRDefault="00817380">
          <w:pPr>
            <w:pStyle w:val="TOC1"/>
            <w:tabs>
              <w:tab w:val="right" w:leader="dot" w:pos="9062"/>
            </w:tabs>
            <w:rPr>
              <w:rFonts w:eastAsiaTheme="minorEastAsia"/>
              <w:noProof/>
              <w:lang w:eastAsia="en-GB"/>
            </w:rPr>
          </w:pPr>
          <w:hyperlink w:anchor="_Toc465076231" w:history="1">
            <w:r w:rsidR="003A4CF7" w:rsidRPr="0043018D">
              <w:rPr>
                <w:rStyle w:val="Hyperlink"/>
                <w:noProof/>
              </w:rPr>
              <w:t>Priority 3: A resilient Energy Union with a Forward-Looking Climate Change Policy</w:t>
            </w:r>
            <w:r w:rsidR="003A4CF7">
              <w:rPr>
                <w:noProof/>
                <w:webHidden/>
              </w:rPr>
              <w:tab/>
            </w:r>
            <w:r w:rsidR="003A4CF7">
              <w:rPr>
                <w:noProof/>
                <w:webHidden/>
              </w:rPr>
              <w:fldChar w:fldCharType="begin"/>
            </w:r>
            <w:r w:rsidR="003A4CF7">
              <w:rPr>
                <w:noProof/>
                <w:webHidden/>
              </w:rPr>
              <w:instrText xml:space="preserve"> PAGEREF _Toc465076231 \h </w:instrText>
            </w:r>
            <w:r w:rsidR="003A4CF7">
              <w:rPr>
                <w:noProof/>
                <w:webHidden/>
              </w:rPr>
            </w:r>
            <w:r w:rsidR="003A4CF7">
              <w:rPr>
                <w:noProof/>
                <w:webHidden/>
              </w:rPr>
              <w:fldChar w:fldCharType="separate"/>
            </w:r>
            <w:r>
              <w:rPr>
                <w:noProof/>
                <w:webHidden/>
              </w:rPr>
              <w:t>12</w:t>
            </w:r>
            <w:r w:rsidR="003A4CF7">
              <w:rPr>
                <w:noProof/>
                <w:webHidden/>
              </w:rPr>
              <w:fldChar w:fldCharType="end"/>
            </w:r>
          </w:hyperlink>
        </w:p>
        <w:p w:rsidR="003A4CF7" w:rsidRDefault="00817380">
          <w:pPr>
            <w:pStyle w:val="TOC1"/>
            <w:tabs>
              <w:tab w:val="right" w:leader="dot" w:pos="9062"/>
            </w:tabs>
            <w:rPr>
              <w:rFonts w:eastAsiaTheme="minorEastAsia"/>
              <w:noProof/>
              <w:lang w:eastAsia="en-GB"/>
            </w:rPr>
          </w:pPr>
          <w:hyperlink w:anchor="_Toc465076232" w:history="1">
            <w:r w:rsidR="003A4CF7" w:rsidRPr="0043018D">
              <w:rPr>
                <w:rStyle w:val="Hyperlink"/>
                <w:noProof/>
              </w:rPr>
              <w:t>Priority 4: A deeper and Fairer Internal Market with a Strengthened Industrial Base</w:t>
            </w:r>
            <w:r w:rsidR="003A4CF7">
              <w:rPr>
                <w:noProof/>
                <w:webHidden/>
              </w:rPr>
              <w:tab/>
            </w:r>
            <w:r w:rsidR="003A4CF7">
              <w:rPr>
                <w:noProof/>
                <w:webHidden/>
              </w:rPr>
              <w:fldChar w:fldCharType="begin"/>
            </w:r>
            <w:r w:rsidR="003A4CF7">
              <w:rPr>
                <w:noProof/>
                <w:webHidden/>
              </w:rPr>
              <w:instrText xml:space="preserve"> PAGEREF _Toc465076232 \h </w:instrText>
            </w:r>
            <w:r w:rsidR="003A4CF7">
              <w:rPr>
                <w:noProof/>
                <w:webHidden/>
              </w:rPr>
            </w:r>
            <w:r w:rsidR="003A4CF7">
              <w:rPr>
                <w:noProof/>
                <w:webHidden/>
              </w:rPr>
              <w:fldChar w:fldCharType="separate"/>
            </w:r>
            <w:r>
              <w:rPr>
                <w:noProof/>
                <w:webHidden/>
              </w:rPr>
              <w:t>14</w:t>
            </w:r>
            <w:r w:rsidR="003A4CF7">
              <w:rPr>
                <w:noProof/>
                <w:webHidden/>
              </w:rPr>
              <w:fldChar w:fldCharType="end"/>
            </w:r>
          </w:hyperlink>
        </w:p>
        <w:p w:rsidR="003A4CF7" w:rsidRDefault="00817380">
          <w:pPr>
            <w:pStyle w:val="TOC1"/>
            <w:tabs>
              <w:tab w:val="right" w:leader="dot" w:pos="9062"/>
            </w:tabs>
            <w:rPr>
              <w:rFonts w:eastAsiaTheme="minorEastAsia"/>
              <w:noProof/>
              <w:lang w:eastAsia="en-GB"/>
            </w:rPr>
          </w:pPr>
          <w:hyperlink w:anchor="_Toc465076233" w:history="1">
            <w:r w:rsidR="003A4CF7" w:rsidRPr="0043018D">
              <w:rPr>
                <w:rStyle w:val="Hyperlink"/>
                <w:noProof/>
              </w:rPr>
              <w:t>Priority 5: A Deeper and Fairer Economic and Monetary Union</w:t>
            </w:r>
            <w:r w:rsidR="003A4CF7">
              <w:rPr>
                <w:noProof/>
                <w:webHidden/>
              </w:rPr>
              <w:tab/>
            </w:r>
            <w:r w:rsidR="003A4CF7">
              <w:rPr>
                <w:noProof/>
                <w:webHidden/>
              </w:rPr>
              <w:fldChar w:fldCharType="begin"/>
            </w:r>
            <w:r w:rsidR="003A4CF7">
              <w:rPr>
                <w:noProof/>
                <w:webHidden/>
              </w:rPr>
              <w:instrText xml:space="preserve"> PAGEREF _Toc465076233 \h </w:instrText>
            </w:r>
            <w:r w:rsidR="003A4CF7">
              <w:rPr>
                <w:noProof/>
                <w:webHidden/>
              </w:rPr>
            </w:r>
            <w:r w:rsidR="003A4CF7">
              <w:rPr>
                <w:noProof/>
                <w:webHidden/>
              </w:rPr>
              <w:fldChar w:fldCharType="separate"/>
            </w:r>
            <w:r>
              <w:rPr>
                <w:noProof/>
                <w:webHidden/>
              </w:rPr>
              <w:t>19</w:t>
            </w:r>
            <w:r w:rsidR="003A4CF7">
              <w:rPr>
                <w:noProof/>
                <w:webHidden/>
              </w:rPr>
              <w:fldChar w:fldCharType="end"/>
            </w:r>
          </w:hyperlink>
        </w:p>
        <w:p w:rsidR="003A4CF7" w:rsidRDefault="00817380">
          <w:pPr>
            <w:pStyle w:val="TOC1"/>
            <w:tabs>
              <w:tab w:val="right" w:leader="dot" w:pos="9062"/>
            </w:tabs>
            <w:rPr>
              <w:rFonts w:eastAsiaTheme="minorEastAsia"/>
              <w:noProof/>
              <w:lang w:eastAsia="en-GB"/>
            </w:rPr>
          </w:pPr>
          <w:hyperlink w:anchor="_Toc465076234" w:history="1">
            <w:r w:rsidR="003A4CF7" w:rsidRPr="0043018D">
              <w:rPr>
                <w:rStyle w:val="Hyperlink"/>
                <w:noProof/>
              </w:rPr>
              <w:t>Priority 6: A Reasonable and Balanced Free Trade Agreement with the U.S.</w:t>
            </w:r>
            <w:r w:rsidR="003A4CF7">
              <w:rPr>
                <w:noProof/>
                <w:webHidden/>
              </w:rPr>
              <w:tab/>
            </w:r>
            <w:r w:rsidR="003A4CF7">
              <w:rPr>
                <w:noProof/>
                <w:webHidden/>
              </w:rPr>
              <w:fldChar w:fldCharType="begin"/>
            </w:r>
            <w:r w:rsidR="003A4CF7">
              <w:rPr>
                <w:noProof/>
                <w:webHidden/>
              </w:rPr>
              <w:instrText xml:space="preserve"> PAGEREF _Toc465076234 \h </w:instrText>
            </w:r>
            <w:r w:rsidR="003A4CF7">
              <w:rPr>
                <w:noProof/>
                <w:webHidden/>
              </w:rPr>
            </w:r>
            <w:r w:rsidR="003A4CF7">
              <w:rPr>
                <w:noProof/>
                <w:webHidden/>
              </w:rPr>
              <w:fldChar w:fldCharType="separate"/>
            </w:r>
            <w:r>
              <w:rPr>
                <w:noProof/>
                <w:webHidden/>
              </w:rPr>
              <w:t>21</w:t>
            </w:r>
            <w:r w:rsidR="003A4CF7">
              <w:rPr>
                <w:noProof/>
                <w:webHidden/>
              </w:rPr>
              <w:fldChar w:fldCharType="end"/>
            </w:r>
          </w:hyperlink>
        </w:p>
        <w:p w:rsidR="003A4CF7" w:rsidRDefault="00817380">
          <w:pPr>
            <w:pStyle w:val="TOC1"/>
            <w:tabs>
              <w:tab w:val="right" w:leader="dot" w:pos="9062"/>
            </w:tabs>
            <w:rPr>
              <w:rFonts w:eastAsiaTheme="minorEastAsia"/>
              <w:noProof/>
              <w:lang w:eastAsia="en-GB"/>
            </w:rPr>
          </w:pPr>
          <w:hyperlink w:anchor="_Toc465076235" w:history="1">
            <w:r w:rsidR="003A4CF7" w:rsidRPr="0043018D">
              <w:rPr>
                <w:rStyle w:val="Hyperlink"/>
                <w:noProof/>
              </w:rPr>
              <w:t>Priority 7: An area of Justice and Fundamental Rights based on Mutual Trust</w:t>
            </w:r>
            <w:r w:rsidR="003A4CF7">
              <w:rPr>
                <w:noProof/>
                <w:webHidden/>
              </w:rPr>
              <w:tab/>
            </w:r>
            <w:r w:rsidR="003A4CF7">
              <w:rPr>
                <w:noProof/>
                <w:webHidden/>
              </w:rPr>
              <w:fldChar w:fldCharType="begin"/>
            </w:r>
            <w:r w:rsidR="003A4CF7">
              <w:rPr>
                <w:noProof/>
                <w:webHidden/>
              </w:rPr>
              <w:instrText xml:space="preserve"> PAGEREF _Toc465076235 \h </w:instrText>
            </w:r>
            <w:r w:rsidR="003A4CF7">
              <w:rPr>
                <w:noProof/>
                <w:webHidden/>
              </w:rPr>
            </w:r>
            <w:r w:rsidR="003A4CF7">
              <w:rPr>
                <w:noProof/>
                <w:webHidden/>
              </w:rPr>
              <w:fldChar w:fldCharType="separate"/>
            </w:r>
            <w:r>
              <w:rPr>
                <w:noProof/>
                <w:webHidden/>
              </w:rPr>
              <w:t>23</w:t>
            </w:r>
            <w:r w:rsidR="003A4CF7">
              <w:rPr>
                <w:noProof/>
                <w:webHidden/>
              </w:rPr>
              <w:fldChar w:fldCharType="end"/>
            </w:r>
          </w:hyperlink>
        </w:p>
        <w:p w:rsidR="003A4CF7" w:rsidRDefault="00817380">
          <w:pPr>
            <w:pStyle w:val="TOC1"/>
            <w:tabs>
              <w:tab w:val="right" w:leader="dot" w:pos="9062"/>
            </w:tabs>
            <w:rPr>
              <w:rFonts w:eastAsiaTheme="minorEastAsia"/>
              <w:noProof/>
              <w:lang w:eastAsia="en-GB"/>
            </w:rPr>
          </w:pPr>
          <w:hyperlink w:anchor="_Toc465076236" w:history="1">
            <w:r w:rsidR="003A4CF7" w:rsidRPr="0043018D">
              <w:rPr>
                <w:rStyle w:val="Hyperlink"/>
                <w:noProof/>
              </w:rPr>
              <w:t>Priority 8: Towards a New Policy on Migration</w:t>
            </w:r>
            <w:r w:rsidR="003A4CF7">
              <w:rPr>
                <w:noProof/>
                <w:webHidden/>
              </w:rPr>
              <w:tab/>
            </w:r>
            <w:r w:rsidR="003A4CF7">
              <w:rPr>
                <w:noProof/>
                <w:webHidden/>
              </w:rPr>
              <w:fldChar w:fldCharType="begin"/>
            </w:r>
            <w:r w:rsidR="003A4CF7">
              <w:rPr>
                <w:noProof/>
                <w:webHidden/>
              </w:rPr>
              <w:instrText xml:space="preserve"> PAGEREF _Toc465076236 \h </w:instrText>
            </w:r>
            <w:r w:rsidR="003A4CF7">
              <w:rPr>
                <w:noProof/>
                <w:webHidden/>
              </w:rPr>
            </w:r>
            <w:r w:rsidR="003A4CF7">
              <w:rPr>
                <w:noProof/>
                <w:webHidden/>
              </w:rPr>
              <w:fldChar w:fldCharType="separate"/>
            </w:r>
            <w:r>
              <w:rPr>
                <w:noProof/>
                <w:webHidden/>
              </w:rPr>
              <w:t>26</w:t>
            </w:r>
            <w:r w:rsidR="003A4CF7">
              <w:rPr>
                <w:noProof/>
                <w:webHidden/>
              </w:rPr>
              <w:fldChar w:fldCharType="end"/>
            </w:r>
          </w:hyperlink>
        </w:p>
        <w:p w:rsidR="003A4CF7" w:rsidRDefault="00817380">
          <w:pPr>
            <w:pStyle w:val="TOC1"/>
            <w:tabs>
              <w:tab w:val="right" w:leader="dot" w:pos="9062"/>
            </w:tabs>
            <w:rPr>
              <w:rFonts w:eastAsiaTheme="minorEastAsia"/>
              <w:noProof/>
              <w:lang w:eastAsia="en-GB"/>
            </w:rPr>
          </w:pPr>
          <w:hyperlink w:anchor="_Toc465076237" w:history="1">
            <w:r w:rsidR="003A4CF7" w:rsidRPr="0043018D">
              <w:rPr>
                <w:rStyle w:val="Hyperlink"/>
                <w:noProof/>
              </w:rPr>
              <w:t>Priority 10: A Union of Democratic Change</w:t>
            </w:r>
            <w:r w:rsidR="003A4CF7">
              <w:rPr>
                <w:noProof/>
                <w:webHidden/>
              </w:rPr>
              <w:tab/>
            </w:r>
            <w:r w:rsidR="003A4CF7">
              <w:rPr>
                <w:noProof/>
                <w:webHidden/>
              </w:rPr>
              <w:fldChar w:fldCharType="begin"/>
            </w:r>
            <w:r w:rsidR="003A4CF7">
              <w:rPr>
                <w:noProof/>
                <w:webHidden/>
              </w:rPr>
              <w:instrText xml:space="preserve"> PAGEREF _Toc465076237 \h </w:instrText>
            </w:r>
            <w:r w:rsidR="003A4CF7">
              <w:rPr>
                <w:noProof/>
                <w:webHidden/>
              </w:rPr>
            </w:r>
            <w:r w:rsidR="003A4CF7">
              <w:rPr>
                <w:noProof/>
                <w:webHidden/>
              </w:rPr>
              <w:fldChar w:fldCharType="separate"/>
            </w:r>
            <w:r>
              <w:rPr>
                <w:noProof/>
                <w:webHidden/>
              </w:rPr>
              <w:t>28</w:t>
            </w:r>
            <w:r w:rsidR="003A4CF7">
              <w:rPr>
                <w:noProof/>
                <w:webHidden/>
              </w:rPr>
              <w:fldChar w:fldCharType="end"/>
            </w:r>
          </w:hyperlink>
        </w:p>
        <w:p w:rsidR="00A47073" w:rsidRPr="00814BEA" w:rsidRDefault="00A47073">
          <w:pPr>
            <w:rPr>
              <w:color w:val="1F497D" w:themeColor="text2"/>
            </w:rPr>
          </w:pPr>
          <w:r w:rsidRPr="00814BEA">
            <w:rPr>
              <w:b/>
              <w:bCs/>
              <w:noProof/>
              <w:color w:val="1F497D" w:themeColor="text2"/>
            </w:rPr>
            <w:fldChar w:fldCharType="end"/>
          </w:r>
        </w:p>
      </w:sdtContent>
    </w:sdt>
    <w:p w:rsidR="00B3582B" w:rsidRDefault="00B3582B"/>
    <w:p w:rsidR="00B3582B" w:rsidRDefault="00B3582B"/>
    <w:p w:rsidR="00B3582B" w:rsidRDefault="00B3582B"/>
    <w:p w:rsidR="00B3582B" w:rsidRDefault="00B3582B"/>
    <w:p w:rsidR="00B3582B" w:rsidRDefault="00B3582B"/>
    <w:p w:rsidR="00B3582B" w:rsidRDefault="00B3582B"/>
    <w:p w:rsidR="00B3582B" w:rsidRDefault="00B3582B"/>
    <w:p w:rsidR="00B3582B" w:rsidRDefault="00B3582B"/>
    <w:p w:rsidR="00B3582B" w:rsidRDefault="00B3582B"/>
    <w:p w:rsidR="00B3582B" w:rsidRDefault="00B3582B"/>
    <w:p w:rsidR="00C8475C" w:rsidRDefault="00C8475C">
      <w:pPr>
        <w:rPr>
          <w:u w:val="single"/>
        </w:rPr>
      </w:pPr>
    </w:p>
    <w:p w:rsidR="00C8475C" w:rsidRDefault="00C8475C">
      <w:pPr>
        <w:rPr>
          <w:u w:val="single"/>
        </w:rPr>
      </w:pPr>
    </w:p>
    <w:p w:rsidR="00C8475C" w:rsidRDefault="00C8475C">
      <w:pPr>
        <w:rPr>
          <w:u w:val="single"/>
        </w:rPr>
      </w:pPr>
    </w:p>
    <w:p w:rsidR="00B3582B" w:rsidRPr="001D423A" w:rsidRDefault="00B3582B">
      <w:pPr>
        <w:rPr>
          <w:u w:val="single"/>
        </w:rPr>
      </w:pPr>
      <w:r w:rsidRPr="001D423A">
        <w:rPr>
          <w:u w:val="single"/>
        </w:rPr>
        <w:t xml:space="preserve">Note: </w:t>
      </w:r>
    </w:p>
    <w:p w:rsidR="00814BEA" w:rsidRDefault="00B3582B">
      <w:pPr>
        <w:rPr>
          <w:rFonts w:asciiTheme="majorHAnsi" w:eastAsiaTheme="majorEastAsia" w:hAnsiTheme="majorHAnsi" w:cstheme="majorBidi"/>
          <w:b/>
          <w:bCs/>
          <w:color w:val="365F91" w:themeColor="accent1" w:themeShade="BF"/>
          <w:sz w:val="40"/>
          <w:szCs w:val="40"/>
          <w:lang w:val="en"/>
        </w:rPr>
      </w:pPr>
      <w:r>
        <w:t xml:space="preserve">No REFIT </w:t>
      </w:r>
      <w:r w:rsidR="00C8475C">
        <w:t>initiatives</w:t>
      </w:r>
      <w:r>
        <w:t xml:space="preserve"> are currently implemented in priority </w:t>
      </w:r>
      <w:r w:rsidR="00C8475C">
        <w:t xml:space="preserve">9 - </w:t>
      </w:r>
      <w:r w:rsidR="00C8475C" w:rsidRPr="001D423A">
        <w:t>A Stronger Global Actor</w:t>
      </w:r>
      <w:r w:rsidR="00C8475C">
        <w:t>.</w:t>
      </w:r>
      <w:r w:rsidR="00814BEA">
        <w:br w:type="page"/>
      </w:r>
    </w:p>
    <w:p w:rsidR="00464DAC" w:rsidRDefault="00464DAC" w:rsidP="00464DAC">
      <w:pPr>
        <w:pStyle w:val="Heading1"/>
      </w:pPr>
      <w:bookmarkStart w:id="1" w:name="_Toc465076228"/>
      <w:r>
        <w:lastRenderedPageBreak/>
        <w:t>I</w:t>
      </w:r>
      <w:r w:rsidRPr="00464DAC">
        <w:t>ntroduction</w:t>
      </w:r>
      <w:bookmarkEnd w:id="1"/>
    </w:p>
    <w:p w:rsidR="00A549AA" w:rsidRPr="000135BE" w:rsidRDefault="00A549AA" w:rsidP="003A4CF7">
      <w:pPr>
        <w:spacing w:after="0"/>
        <w:jc w:val="both"/>
        <w:rPr>
          <w:lang w:val="en"/>
        </w:rPr>
      </w:pPr>
      <w:r w:rsidRPr="000135BE">
        <w:rPr>
          <w:lang w:val="en"/>
        </w:rPr>
        <w:t xml:space="preserve">This document presents the key developments and results of </w:t>
      </w:r>
      <w:r w:rsidR="00464DAC" w:rsidRPr="000135BE">
        <w:rPr>
          <w:lang w:val="en"/>
        </w:rPr>
        <w:t>REFIT</w:t>
      </w:r>
      <w:r w:rsidRPr="000135BE">
        <w:rPr>
          <w:lang w:val="en"/>
        </w:rPr>
        <w:t>,</w:t>
      </w:r>
      <w:r w:rsidR="002A1E42" w:rsidRPr="000135BE">
        <w:rPr>
          <w:lang w:val="en"/>
        </w:rPr>
        <w:t xml:space="preserve"> </w:t>
      </w:r>
      <w:r w:rsidR="00464DAC" w:rsidRPr="000135BE">
        <w:rPr>
          <w:lang w:val="en"/>
        </w:rPr>
        <w:t>the Regulatory Fitness and Performance programme</w:t>
      </w:r>
      <w:r w:rsidR="00002899">
        <w:rPr>
          <w:rStyle w:val="FootnoteReference"/>
          <w:lang w:val="en"/>
        </w:rPr>
        <w:footnoteReference w:id="1"/>
      </w:r>
      <w:r w:rsidR="00A40CD6" w:rsidRPr="000135BE">
        <w:rPr>
          <w:lang w:val="en"/>
        </w:rPr>
        <w:t>.</w:t>
      </w:r>
      <w:r w:rsidR="00464DAC" w:rsidRPr="000135BE">
        <w:rPr>
          <w:lang w:val="en"/>
        </w:rPr>
        <w:t xml:space="preserve"> </w:t>
      </w:r>
      <w:r w:rsidRPr="000135BE">
        <w:rPr>
          <w:lang w:val="en"/>
        </w:rPr>
        <w:t xml:space="preserve">It also contains detailed information on the first 22 REFIT Platform opinions and the way in which the Commission intends to follow-up on these.  </w:t>
      </w:r>
    </w:p>
    <w:p w:rsidR="00A549AA" w:rsidRPr="000135BE" w:rsidRDefault="00A549AA" w:rsidP="003A4CF7">
      <w:pPr>
        <w:spacing w:after="0"/>
        <w:jc w:val="both"/>
        <w:rPr>
          <w:lang w:val="en"/>
        </w:rPr>
      </w:pPr>
    </w:p>
    <w:p w:rsidR="00464DAC" w:rsidRPr="000135BE" w:rsidRDefault="00A549AA" w:rsidP="003A4CF7">
      <w:pPr>
        <w:spacing w:after="0"/>
        <w:jc w:val="both"/>
        <w:rPr>
          <w:lang w:val="en"/>
        </w:rPr>
      </w:pPr>
      <w:r w:rsidRPr="000135BE">
        <w:rPr>
          <w:lang w:val="en"/>
        </w:rPr>
        <w:t xml:space="preserve">REFIT </w:t>
      </w:r>
      <w:r w:rsidR="002A1E42" w:rsidRPr="000135BE">
        <w:rPr>
          <w:lang w:val="en"/>
        </w:rPr>
        <w:t>aims</w:t>
      </w:r>
      <w:r w:rsidR="00A40CD6" w:rsidRPr="000135BE">
        <w:rPr>
          <w:lang w:val="en"/>
        </w:rPr>
        <w:t xml:space="preserve"> </w:t>
      </w:r>
      <w:r w:rsidR="00464DAC" w:rsidRPr="000135BE">
        <w:rPr>
          <w:lang w:val="en"/>
        </w:rPr>
        <w:t>to make sure that EU law remains fit for purpose and delivers the results intended by policy makers in the most efficient and effective way</w:t>
      </w:r>
      <w:r w:rsidR="00A40CD6" w:rsidRPr="000135BE">
        <w:rPr>
          <w:lang w:val="en"/>
        </w:rPr>
        <w:t>. It targets</w:t>
      </w:r>
      <w:r w:rsidR="00464DAC" w:rsidRPr="000135BE">
        <w:rPr>
          <w:lang w:val="en"/>
        </w:rPr>
        <w:t xml:space="preserve"> removing red tape and lowering costs without compromising policy objectives</w:t>
      </w:r>
      <w:r w:rsidR="002F4541" w:rsidRPr="000135BE">
        <w:rPr>
          <w:lang w:val="en"/>
        </w:rPr>
        <w:t xml:space="preserve"> and EU high standards</w:t>
      </w:r>
      <w:r w:rsidR="00464DAC" w:rsidRPr="000135BE">
        <w:rPr>
          <w:lang w:val="en"/>
        </w:rPr>
        <w:t xml:space="preserve">. REFIT is about regulating better, making EU legislation </w:t>
      </w:r>
      <w:r w:rsidR="00ED66D5" w:rsidRPr="000135BE">
        <w:rPr>
          <w:lang w:val="en"/>
        </w:rPr>
        <w:t>fit for purpose</w:t>
      </w:r>
      <w:r w:rsidR="00464DAC" w:rsidRPr="000135BE">
        <w:rPr>
          <w:lang w:val="en"/>
        </w:rPr>
        <w:t xml:space="preserve">, simpler and </w:t>
      </w:r>
      <w:r w:rsidR="00ED66D5" w:rsidRPr="000135BE">
        <w:rPr>
          <w:lang w:val="en"/>
        </w:rPr>
        <w:t>less costly</w:t>
      </w:r>
      <w:r w:rsidRPr="000135BE">
        <w:rPr>
          <w:lang w:val="en"/>
        </w:rPr>
        <w:t>,</w:t>
      </w:r>
      <w:r w:rsidR="00ED66D5" w:rsidRPr="000135BE">
        <w:rPr>
          <w:lang w:val="en"/>
        </w:rPr>
        <w:t xml:space="preserve"> </w:t>
      </w:r>
      <w:r w:rsidR="009D7C86" w:rsidRPr="000135BE">
        <w:rPr>
          <w:lang w:val="en"/>
        </w:rPr>
        <w:t xml:space="preserve">aiming </w:t>
      </w:r>
      <w:r w:rsidR="00ED66D5" w:rsidRPr="000135BE">
        <w:rPr>
          <w:lang w:val="en"/>
        </w:rPr>
        <w:t xml:space="preserve">to ensure </w:t>
      </w:r>
      <w:r w:rsidR="00464DAC" w:rsidRPr="000135BE">
        <w:rPr>
          <w:lang w:val="en"/>
        </w:rPr>
        <w:t xml:space="preserve">a clear, stable and predictable regulatory framework supporting </w:t>
      </w:r>
      <w:r w:rsidR="009D7C86" w:rsidRPr="000135BE">
        <w:rPr>
          <w:lang w:val="en"/>
        </w:rPr>
        <w:t xml:space="preserve">the delivery </w:t>
      </w:r>
      <w:r w:rsidR="00ED66D5" w:rsidRPr="000135BE">
        <w:rPr>
          <w:lang w:val="en"/>
        </w:rPr>
        <w:t>of our common goals</w:t>
      </w:r>
      <w:r w:rsidR="002F4541" w:rsidRPr="000135BE">
        <w:rPr>
          <w:lang w:val="en"/>
        </w:rPr>
        <w:t xml:space="preserve"> and allowing businesses and our citizens more freedom to pursue their goals</w:t>
      </w:r>
      <w:r w:rsidR="00464DAC" w:rsidRPr="000135BE">
        <w:rPr>
          <w:lang w:val="en"/>
        </w:rPr>
        <w:t>.</w:t>
      </w:r>
    </w:p>
    <w:p w:rsidR="00464DAC" w:rsidRPr="000135BE" w:rsidRDefault="00464DAC" w:rsidP="003A4CF7">
      <w:pPr>
        <w:spacing w:after="0"/>
        <w:jc w:val="both"/>
        <w:rPr>
          <w:lang w:val="en"/>
        </w:rPr>
      </w:pPr>
    </w:p>
    <w:p w:rsidR="00F225E1" w:rsidRPr="000135BE" w:rsidRDefault="00F225E1" w:rsidP="003A4CF7">
      <w:pPr>
        <w:spacing w:after="0"/>
        <w:jc w:val="both"/>
        <w:rPr>
          <w:lang w:val="en"/>
        </w:rPr>
      </w:pPr>
      <w:r w:rsidRPr="000135BE">
        <w:rPr>
          <w:lang w:val="en"/>
        </w:rPr>
        <w:t>REFIT works on the basis of the systematic evaluation of the performance of existing EU legislation</w:t>
      </w:r>
      <w:r w:rsidR="009D7C86" w:rsidRPr="000135BE">
        <w:rPr>
          <w:lang w:val="en"/>
        </w:rPr>
        <w:t xml:space="preserve"> or policies</w:t>
      </w:r>
      <w:r w:rsidR="002F4541" w:rsidRPr="000135BE">
        <w:rPr>
          <w:lang w:val="en"/>
        </w:rPr>
        <w:t xml:space="preserve">. This evaluation serves </w:t>
      </w:r>
      <w:r w:rsidRPr="000135BE">
        <w:rPr>
          <w:lang w:val="en"/>
        </w:rPr>
        <w:t xml:space="preserve">to identify inefficiencies, burdens, inconsistencies and gaps across the EU acquis. </w:t>
      </w:r>
      <w:r w:rsidR="0021697D" w:rsidRPr="000135BE">
        <w:rPr>
          <w:lang w:val="en"/>
        </w:rPr>
        <w:t>Where considered necessary, f</w:t>
      </w:r>
      <w:r w:rsidRPr="000135BE">
        <w:rPr>
          <w:lang w:val="en"/>
        </w:rPr>
        <w:t>ollow up can take the form of legislative revisions, simplification and codification of regulatory measures, measures to improve implementation, repeals of regulation and withdraw</w:t>
      </w:r>
      <w:r w:rsidR="00A549AA" w:rsidRPr="000135BE">
        <w:rPr>
          <w:lang w:val="en"/>
        </w:rPr>
        <w:t xml:space="preserve">al </w:t>
      </w:r>
      <w:r w:rsidRPr="000135BE">
        <w:rPr>
          <w:lang w:val="en"/>
        </w:rPr>
        <w:t xml:space="preserve">of </w:t>
      </w:r>
      <w:r w:rsidR="007042D0" w:rsidRPr="000135BE">
        <w:rPr>
          <w:lang w:val="en"/>
        </w:rPr>
        <w:t>outdated</w:t>
      </w:r>
      <w:r w:rsidRPr="000135BE">
        <w:rPr>
          <w:lang w:val="en"/>
        </w:rPr>
        <w:t xml:space="preserve"> proposals. </w:t>
      </w:r>
    </w:p>
    <w:p w:rsidR="00F225E1" w:rsidRPr="000135BE" w:rsidRDefault="00F225E1" w:rsidP="003A4CF7">
      <w:pPr>
        <w:spacing w:after="0"/>
        <w:jc w:val="both"/>
        <w:rPr>
          <w:lang w:val="en"/>
        </w:rPr>
      </w:pPr>
    </w:p>
    <w:p w:rsidR="00464DAC" w:rsidRPr="000135BE" w:rsidRDefault="00464DAC" w:rsidP="003A4CF7">
      <w:pPr>
        <w:spacing w:after="0"/>
        <w:jc w:val="both"/>
        <w:rPr>
          <w:lang w:val="en"/>
        </w:rPr>
      </w:pPr>
      <w:r w:rsidRPr="000135BE">
        <w:rPr>
          <w:lang w:val="en"/>
        </w:rPr>
        <w:t xml:space="preserve">REFIT relies </w:t>
      </w:r>
      <w:r w:rsidR="002F4541" w:rsidRPr="000135BE">
        <w:rPr>
          <w:lang w:val="en"/>
        </w:rPr>
        <w:t xml:space="preserve">strongly </w:t>
      </w:r>
      <w:r w:rsidRPr="000135BE">
        <w:rPr>
          <w:lang w:val="en"/>
        </w:rPr>
        <w:t>on stakeholder input to focus its work</w:t>
      </w:r>
      <w:r w:rsidR="00A549AA" w:rsidRPr="000135BE">
        <w:rPr>
          <w:lang w:val="en"/>
        </w:rPr>
        <w:t>.</w:t>
      </w:r>
      <w:r w:rsidR="00403250" w:rsidRPr="000135BE">
        <w:rPr>
          <w:lang w:val="en"/>
        </w:rPr>
        <w:t xml:space="preserve"> </w:t>
      </w:r>
      <w:r w:rsidR="00A549AA" w:rsidRPr="000135BE">
        <w:rPr>
          <w:lang w:val="en"/>
        </w:rPr>
        <w:t>I</w:t>
      </w:r>
      <w:r w:rsidR="00403250" w:rsidRPr="000135BE">
        <w:rPr>
          <w:lang w:val="en"/>
        </w:rPr>
        <w:t xml:space="preserve">t is the citizens, the small entrepreneurs, the public administrators who </w:t>
      </w:r>
      <w:r w:rsidR="002F4541" w:rsidRPr="000135BE">
        <w:rPr>
          <w:lang w:val="en"/>
        </w:rPr>
        <w:t xml:space="preserve">benefit from </w:t>
      </w:r>
      <w:r w:rsidR="00403250" w:rsidRPr="000135BE">
        <w:rPr>
          <w:lang w:val="en"/>
        </w:rPr>
        <w:t xml:space="preserve">the advantages but also </w:t>
      </w:r>
      <w:r w:rsidR="002F4541" w:rsidRPr="000135BE">
        <w:rPr>
          <w:lang w:val="en"/>
        </w:rPr>
        <w:t xml:space="preserve">face </w:t>
      </w:r>
      <w:r w:rsidR="00403250" w:rsidRPr="000135BE">
        <w:rPr>
          <w:lang w:val="en"/>
        </w:rPr>
        <w:t>the inefficiencies of EU laws and their implementation by Member States</w:t>
      </w:r>
      <w:r w:rsidR="002F4541" w:rsidRPr="000135BE">
        <w:rPr>
          <w:lang w:val="en"/>
        </w:rPr>
        <w:t xml:space="preserve"> on a daily basis</w:t>
      </w:r>
      <w:r w:rsidR="0021697D" w:rsidRPr="000135BE">
        <w:rPr>
          <w:lang w:val="en"/>
        </w:rPr>
        <w:t xml:space="preserve">. They </w:t>
      </w:r>
      <w:r w:rsidR="004375A6" w:rsidRPr="000135BE">
        <w:rPr>
          <w:lang w:val="en"/>
        </w:rPr>
        <w:t xml:space="preserve">are </w:t>
      </w:r>
      <w:r w:rsidR="00A549AA" w:rsidRPr="000135BE">
        <w:rPr>
          <w:lang w:val="en"/>
        </w:rPr>
        <w:t xml:space="preserve">thus </w:t>
      </w:r>
      <w:r w:rsidR="004375A6" w:rsidRPr="000135BE">
        <w:rPr>
          <w:lang w:val="en"/>
        </w:rPr>
        <w:t xml:space="preserve">best placed to </w:t>
      </w:r>
      <w:r w:rsidR="00403250" w:rsidRPr="000135BE">
        <w:rPr>
          <w:lang w:val="en"/>
        </w:rPr>
        <w:t>suggest where improvements can make a real difference. To this end, in</w:t>
      </w:r>
      <w:r w:rsidRPr="000135BE">
        <w:rPr>
          <w:lang w:val="en"/>
        </w:rPr>
        <w:t xml:space="preserve"> 2015</w:t>
      </w:r>
      <w:r w:rsidR="00403250" w:rsidRPr="000135BE">
        <w:rPr>
          <w:lang w:val="en"/>
        </w:rPr>
        <w:t>,</w:t>
      </w:r>
      <w:r w:rsidRPr="000135BE">
        <w:rPr>
          <w:lang w:val="en"/>
        </w:rPr>
        <w:t xml:space="preserve"> the Commission set up the </w:t>
      </w:r>
      <w:hyperlink r:id="rId16" w:history="1">
        <w:r w:rsidRPr="000135BE">
          <w:rPr>
            <w:lang w:val="en"/>
          </w:rPr>
          <w:t xml:space="preserve">REFIT Platform </w:t>
        </w:r>
      </w:hyperlink>
      <w:r w:rsidRPr="000135BE">
        <w:rPr>
          <w:lang w:val="en"/>
        </w:rPr>
        <w:t xml:space="preserve"> to </w:t>
      </w:r>
      <w:r w:rsidR="009D7C86" w:rsidRPr="000135BE">
        <w:rPr>
          <w:lang w:val="en"/>
        </w:rPr>
        <w:t>further improve</w:t>
      </w:r>
      <w:r w:rsidRPr="000135BE">
        <w:rPr>
          <w:lang w:val="en"/>
        </w:rPr>
        <w:t xml:space="preserve"> </w:t>
      </w:r>
      <w:r w:rsidR="009D7C86" w:rsidRPr="000135BE">
        <w:rPr>
          <w:lang w:val="en"/>
        </w:rPr>
        <w:t xml:space="preserve">the </w:t>
      </w:r>
      <w:r w:rsidRPr="000135BE">
        <w:rPr>
          <w:lang w:val="en"/>
        </w:rPr>
        <w:t xml:space="preserve">ongoing dialogue with </w:t>
      </w:r>
      <w:r w:rsidR="00F225E1" w:rsidRPr="000135BE">
        <w:rPr>
          <w:lang w:val="en"/>
        </w:rPr>
        <w:t xml:space="preserve">stakeholders and </w:t>
      </w:r>
      <w:r w:rsidRPr="000135BE">
        <w:rPr>
          <w:lang w:val="en"/>
        </w:rPr>
        <w:t>Member States on improving EU legislation</w:t>
      </w:r>
      <w:r w:rsidR="00002899">
        <w:rPr>
          <w:rStyle w:val="FootnoteReference"/>
          <w:lang w:val="en"/>
        </w:rPr>
        <w:footnoteReference w:id="2"/>
      </w:r>
      <w:r w:rsidRPr="000135BE">
        <w:rPr>
          <w:lang w:val="en"/>
        </w:rPr>
        <w:t xml:space="preserve">. The Platform collects </w:t>
      </w:r>
      <w:r w:rsidR="00A549AA" w:rsidRPr="000135BE">
        <w:rPr>
          <w:lang w:val="en"/>
        </w:rPr>
        <w:t xml:space="preserve">and assesses </w:t>
      </w:r>
      <w:r w:rsidRPr="000135BE">
        <w:rPr>
          <w:lang w:val="en"/>
        </w:rPr>
        <w:t>suggestions for the reduction of regulatory and administrative burdens stemming from EU regulation or its implementation by Member States</w:t>
      </w:r>
      <w:r w:rsidR="00A549AA" w:rsidRPr="000135BE">
        <w:rPr>
          <w:lang w:val="en"/>
        </w:rPr>
        <w:t>. An online portal has been set up to this end</w:t>
      </w:r>
      <w:r w:rsidR="00002899">
        <w:rPr>
          <w:rStyle w:val="FootnoteReference"/>
          <w:lang w:val="en"/>
        </w:rPr>
        <w:footnoteReference w:id="3"/>
      </w:r>
      <w:r w:rsidR="00A549AA" w:rsidRPr="000135BE">
        <w:rPr>
          <w:lang w:val="en"/>
        </w:rPr>
        <w:t>.</w:t>
      </w:r>
      <w:r w:rsidR="00F225E1" w:rsidRPr="000135BE">
        <w:rPr>
          <w:lang w:val="en"/>
        </w:rPr>
        <w:t xml:space="preserve"> The Commission has committed itself to react to all the </w:t>
      </w:r>
      <w:r w:rsidR="00A549AA" w:rsidRPr="000135BE">
        <w:rPr>
          <w:lang w:val="en"/>
        </w:rPr>
        <w:t xml:space="preserve">resulting </w:t>
      </w:r>
      <w:r w:rsidR="00F225E1" w:rsidRPr="000135BE">
        <w:rPr>
          <w:lang w:val="en"/>
        </w:rPr>
        <w:t>Platform's suggestions and explain how it intends to follow up</w:t>
      </w:r>
      <w:r w:rsidR="00E405E8">
        <w:rPr>
          <w:rStyle w:val="FootnoteReference"/>
          <w:lang w:val="en"/>
        </w:rPr>
        <w:footnoteReference w:id="4"/>
      </w:r>
      <w:r w:rsidR="00F225E1" w:rsidRPr="000135BE">
        <w:rPr>
          <w:lang w:val="en"/>
        </w:rPr>
        <w:t>.</w:t>
      </w:r>
      <w:r w:rsidR="00A549AA" w:rsidRPr="000135BE">
        <w:rPr>
          <w:lang w:val="en"/>
        </w:rPr>
        <w:t xml:space="preserve"> </w:t>
      </w:r>
      <w:r w:rsidR="00F225E1" w:rsidRPr="000135BE">
        <w:rPr>
          <w:lang w:val="en"/>
        </w:rPr>
        <w:t xml:space="preserve"> </w:t>
      </w:r>
    </w:p>
    <w:p w:rsidR="00403250" w:rsidRPr="000135BE" w:rsidRDefault="00403250" w:rsidP="003A4CF7">
      <w:pPr>
        <w:spacing w:after="0"/>
        <w:jc w:val="both"/>
        <w:rPr>
          <w:lang w:val="en"/>
        </w:rPr>
      </w:pPr>
    </w:p>
    <w:p w:rsidR="00403250" w:rsidRPr="000135BE" w:rsidRDefault="00403250" w:rsidP="003A4CF7">
      <w:pPr>
        <w:spacing w:after="0"/>
        <w:jc w:val="both"/>
        <w:rPr>
          <w:lang w:val="en"/>
        </w:rPr>
      </w:pPr>
      <w:r w:rsidRPr="000135BE">
        <w:rPr>
          <w:lang w:val="en"/>
        </w:rPr>
        <w:t xml:space="preserve">REFIT requires a joint effort by all those involved in the design, approval, implementation and enforcement of EU law: the European Parliament, </w:t>
      </w:r>
      <w:r w:rsidR="004A714D" w:rsidRPr="000135BE">
        <w:rPr>
          <w:lang w:val="en"/>
        </w:rPr>
        <w:t>the Council</w:t>
      </w:r>
      <w:r w:rsidRPr="000135BE">
        <w:rPr>
          <w:lang w:val="en"/>
        </w:rPr>
        <w:t xml:space="preserve">, </w:t>
      </w:r>
      <w:r w:rsidR="004A714D" w:rsidRPr="000135BE">
        <w:rPr>
          <w:lang w:val="en"/>
        </w:rPr>
        <w:t>the Commission</w:t>
      </w:r>
      <w:r w:rsidRPr="000135BE">
        <w:rPr>
          <w:lang w:val="en"/>
        </w:rPr>
        <w:t xml:space="preserve"> and </w:t>
      </w:r>
      <w:r w:rsidR="006C307F" w:rsidRPr="000135BE">
        <w:rPr>
          <w:lang w:val="en"/>
        </w:rPr>
        <w:t xml:space="preserve">the </w:t>
      </w:r>
      <w:r w:rsidRPr="000135BE">
        <w:rPr>
          <w:lang w:val="en"/>
        </w:rPr>
        <w:t xml:space="preserve">Member States and all </w:t>
      </w:r>
      <w:r w:rsidR="006C307F" w:rsidRPr="000135BE">
        <w:rPr>
          <w:lang w:val="en"/>
        </w:rPr>
        <w:t xml:space="preserve">other </w:t>
      </w:r>
      <w:r w:rsidRPr="000135BE">
        <w:rPr>
          <w:lang w:val="en"/>
        </w:rPr>
        <w:t>level</w:t>
      </w:r>
      <w:r w:rsidR="006C307F" w:rsidRPr="000135BE">
        <w:rPr>
          <w:lang w:val="en"/>
        </w:rPr>
        <w:t>s</w:t>
      </w:r>
      <w:r w:rsidRPr="000135BE">
        <w:rPr>
          <w:lang w:val="en"/>
        </w:rPr>
        <w:t xml:space="preserve"> of government. </w:t>
      </w:r>
    </w:p>
    <w:p w:rsidR="00403250" w:rsidRPr="000135BE" w:rsidRDefault="00403250" w:rsidP="003A4CF7">
      <w:pPr>
        <w:spacing w:after="0"/>
        <w:jc w:val="both"/>
        <w:rPr>
          <w:lang w:val="en"/>
        </w:rPr>
      </w:pPr>
    </w:p>
    <w:p w:rsidR="00F0075C" w:rsidRPr="000135BE" w:rsidRDefault="00A549AA" w:rsidP="003A4CF7">
      <w:pPr>
        <w:spacing w:after="0"/>
        <w:jc w:val="both"/>
        <w:rPr>
          <w:lang w:val="en"/>
        </w:rPr>
      </w:pPr>
      <w:r w:rsidRPr="000135BE">
        <w:rPr>
          <w:lang w:val="en"/>
        </w:rPr>
        <w:t>This document summarizes the key elements of the REFIT scoreboard</w:t>
      </w:r>
      <w:r w:rsidR="003A4CF7">
        <w:rPr>
          <w:rStyle w:val="FootnoteReference"/>
          <w:lang w:val="en"/>
        </w:rPr>
        <w:footnoteReference w:id="5"/>
      </w:r>
      <w:r w:rsidRPr="000135BE">
        <w:rPr>
          <w:lang w:val="en"/>
        </w:rPr>
        <w:t xml:space="preserve">, the information tool through which the Commission regularly tracks and </w:t>
      </w:r>
      <w:r w:rsidR="00BE0D1A" w:rsidRPr="000135BE">
        <w:rPr>
          <w:lang w:val="en"/>
        </w:rPr>
        <w:t>presents</w:t>
      </w:r>
      <w:r w:rsidRPr="000135BE">
        <w:rPr>
          <w:lang w:val="en"/>
        </w:rPr>
        <w:t xml:space="preserve"> </w:t>
      </w:r>
      <w:r w:rsidR="00403250" w:rsidRPr="000135BE">
        <w:rPr>
          <w:lang w:val="en"/>
        </w:rPr>
        <w:t xml:space="preserve">the progress of REFIT actions throughout the </w:t>
      </w:r>
      <w:r w:rsidR="00BE0D1A" w:rsidRPr="000135BE">
        <w:rPr>
          <w:lang w:val="en"/>
        </w:rPr>
        <w:lastRenderedPageBreak/>
        <w:t xml:space="preserve">whole </w:t>
      </w:r>
      <w:r w:rsidR="00403250" w:rsidRPr="000135BE">
        <w:rPr>
          <w:lang w:val="en"/>
        </w:rPr>
        <w:t>policy cycle from evaluation</w:t>
      </w:r>
      <w:r w:rsidR="006C307F" w:rsidRPr="000135BE">
        <w:rPr>
          <w:lang w:val="en"/>
        </w:rPr>
        <w:t>, to adoption</w:t>
      </w:r>
      <w:r w:rsidR="00403250" w:rsidRPr="000135BE">
        <w:rPr>
          <w:lang w:val="en"/>
        </w:rPr>
        <w:t xml:space="preserve"> </w:t>
      </w:r>
      <w:r w:rsidR="006C307F" w:rsidRPr="000135BE">
        <w:rPr>
          <w:lang w:val="en"/>
        </w:rPr>
        <w:t>and</w:t>
      </w:r>
      <w:r w:rsidR="00403250" w:rsidRPr="000135BE">
        <w:rPr>
          <w:lang w:val="en"/>
        </w:rPr>
        <w:t xml:space="preserve"> implementation</w:t>
      </w:r>
      <w:r w:rsidR="004A714D" w:rsidRPr="000135BE">
        <w:rPr>
          <w:lang w:val="en"/>
        </w:rPr>
        <w:t>, providing</w:t>
      </w:r>
      <w:r w:rsidR="00403250" w:rsidRPr="000135BE">
        <w:rPr>
          <w:lang w:val="en"/>
        </w:rPr>
        <w:t xml:space="preserve"> </w:t>
      </w:r>
      <w:r w:rsidR="006C307F" w:rsidRPr="000135BE">
        <w:rPr>
          <w:lang w:val="en"/>
        </w:rPr>
        <w:t xml:space="preserve">as much information as available </w:t>
      </w:r>
      <w:r w:rsidR="00403250" w:rsidRPr="000135BE">
        <w:rPr>
          <w:lang w:val="en"/>
        </w:rPr>
        <w:t xml:space="preserve"> on </w:t>
      </w:r>
      <w:r w:rsidR="006C307F" w:rsidRPr="000135BE">
        <w:rPr>
          <w:lang w:val="en"/>
        </w:rPr>
        <w:t xml:space="preserve">the </w:t>
      </w:r>
      <w:r w:rsidR="00403250" w:rsidRPr="000135BE">
        <w:rPr>
          <w:lang w:val="en"/>
        </w:rPr>
        <w:t xml:space="preserve">final results compared to initial </w:t>
      </w:r>
      <w:r w:rsidR="006C307F" w:rsidRPr="000135BE">
        <w:rPr>
          <w:lang w:val="en"/>
        </w:rPr>
        <w:t xml:space="preserve">(simplification and savings) </w:t>
      </w:r>
      <w:r w:rsidR="00403250" w:rsidRPr="000135BE">
        <w:rPr>
          <w:lang w:val="en"/>
        </w:rPr>
        <w:t>objectives</w:t>
      </w:r>
      <w:r w:rsidR="006C307F" w:rsidRPr="000135BE">
        <w:rPr>
          <w:lang w:val="en"/>
        </w:rPr>
        <w:t>.</w:t>
      </w:r>
      <w:r w:rsidR="00403250" w:rsidRPr="000135BE">
        <w:rPr>
          <w:lang w:val="en"/>
        </w:rPr>
        <w:t xml:space="preserve"> </w:t>
      </w:r>
    </w:p>
    <w:p w:rsidR="00464DAC" w:rsidRPr="000135BE" w:rsidRDefault="00464DAC" w:rsidP="003A4CF7">
      <w:pPr>
        <w:spacing w:after="0"/>
        <w:jc w:val="both"/>
        <w:rPr>
          <w:lang w:val="en"/>
        </w:rPr>
      </w:pPr>
    </w:p>
    <w:p w:rsidR="00464DAC" w:rsidRPr="000135BE" w:rsidRDefault="002A211F">
      <w:pPr>
        <w:jc w:val="both"/>
        <w:rPr>
          <w:lang w:val="en"/>
        </w:rPr>
      </w:pPr>
      <w:r w:rsidRPr="000135BE">
        <w:rPr>
          <w:lang w:val="en"/>
        </w:rPr>
        <w:t xml:space="preserve">Since 2012, two screenings of the EU's regulatory acquis have been carried out to assess the performance of EU regulation and identify where REFIT actions can best be focused. </w:t>
      </w:r>
      <w:r w:rsidR="00464DAC" w:rsidRPr="000135BE">
        <w:rPr>
          <w:lang w:val="en"/>
        </w:rPr>
        <w:t>Almost 200 initiatives for burden reduction and simplification have been launched, including withdrawals, repeals</w:t>
      </w:r>
      <w:r w:rsidR="00093B56" w:rsidRPr="000135BE">
        <w:rPr>
          <w:lang w:val="en"/>
        </w:rPr>
        <w:t>,</w:t>
      </w:r>
      <w:r w:rsidR="00464DAC" w:rsidRPr="000135BE">
        <w:rPr>
          <w:lang w:val="en"/>
        </w:rPr>
        <w:t xml:space="preserve"> evaluations </w:t>
      </w:r>
      <w:r w:rsidR="00093B56" w:rsidRPr="000135BE">
        <w:rPr>
          <w:lang w:val="en"/>
        </w:rPr>
        <w:t xml:space="preserve">and impact assessments </w:t>
      </w:r>
      <w:r w:rsidR="00464DAC" w:rsidRPr="000135BE">
        <w:rPr>
          <w:lang w:val="en"/>
        </w:rPr>
        <w:t xml:space="preserve">to identify further </w:t>
      </w:r>
      <w:r w:rsidR="00093B56" w:rsidRPr="000135BE">
        <w:rPr>
          <w:lang w:val="en"/>
        </w:rPr>
        <w:t>possibilities</w:t>
      </w:r>
      <w:r w:rsidR="00464DAC" w:rsidRPr="000135BE">
        <w:rPr>
          <w:lang w:val="en"/>
        </w:rPr>
        <w:t>.</w:t>
      </w:r>
      <w:r w:rsidR="00F225E1" w:rsidRPr="000135BE">
        <w:rPr>
          <w:lang w:val="en"/>
        </w:rPr>
        <w:t xml:space="preserve"> </w:t>
      </w:r>
      <w:r w:rsidRPr="000135BE">
        <w:rPr>
          <w:lang w:val="en"/>
        </w:rPr>
        <w:t xml:space="preserve">Under the Juncker Commission, </w:t>
      </w:r>
      <w:r w:rsidR="007E762A" w:rsidRPr="000135BE">
        <w:rPr>
          <w:lang w:val="en"/>
        </w:rPr>
        <w:t>119</w:t>
      </w:r>
      <w:r w:rsidRPr="000135BE">
        <w:rPr>
          <w:lang w:val="en"/>
        </w:rPr>
        <w:t xml:space="preserve"> </w:t>
      </w:r>
      <w:r w:rsidR="00464DAC" w:rsidRPr="000135BE">
        <w:rPr>
          <w:lang w:val="en"/>
        </w:rPr>
        <w:t>REFIT actions were included in the Commission Work programme</w:t>
      </w:r>
      <w:r w:rsidRPr="000135BE">
        <w:rPr>
          <w:lang w:val="en"/>
        </w:rPr>
        <w:t>s</w:t>
      </w:r>
      <w:r w:rsidR="00464DAC" w:rsidRPr="000135BE">
        <w:rPr>
          <w:lang w:val="en"/>
        </w:rPr>
        <w:t xml:space="preserve"> for </w:t>
      </w:r>
      <w:r w:rsidR="006C307F" w:rsidRPr="000135BE">
        <w:rPr>
          <w:lang w:val="en"/>
        </w:rPr>
        <w:t xml:space="preserve">2015 and </w:t>
      </w:r>
      <w:r w:rsidR="00464DAC" w:rsidRPr="000135BE">
        <w:rPr>
          <w:lang w:val="en"/>
        </w:rPr>
        <w:t>2016</w:t>
      </w:r>
      <w:r w:rsidRPr="000135BE">
        <w:rPr>
          <w:lang w:val="en"/>
        </w:rPr>
        <w:t xml:space="preserve"> and </w:t>
      </w:r>
      <w:r w:rsidR="007E762A" w:rsidRPr="000135BE">
        <w:rPr>
          <w:lang w:val="en"/>
        </w:rPr>
        <w:t>93</w:t>
      </w:r>
      <w:r w:rsidR="00464DAC" w:rsidRPr="000135BE">
        <w:rPr>
          <w:lang w:val="en"/>
        </w:rPr>
        <w:t xml:space="preserve"> proposals in the EU legislative procedure have been identified for withdrawal, </w:t>
      </w:r>
      <w:r w:rsidR="007E762A" w:rsidRPr="000135BE">
        <w:rPr>
          <w:lang w:val="en"/>
        </w:rPr>
        <w:t>90</w:t>
      </w:r>
      <w:r w:rsidRPr="000135BE">
        <w:rPr>
          <w:lang w:val="en"/>
        </w:rPr>
        <w:t xml:space="preserve"> of which have </w:t>
      </w:r>
      <w:r w:rsidR="00464DAC" w:rsidRPr="000135BE">
        <w:rPr>
          <w:lang w:val="en"/>
        </w:rPr>
        <w:t xml:space="preserve">already been withdrawn. This work </w:t>
      </w:r>
      <w:r w:rsidR="00BE0D1A" w:rsidRPr="000135BE">
        <w:rPr>
          <w:lang w:val="en"/>
        </w:rPr>
        <w:t xml:space="preserve">will </w:t>
      </w:r>
      <w:r w:rsidR="00464DAC" w:rsidRPr="000135BE">
        <w:rPr>
          <w:lang w:val="en"/>
        </w:rPr>
        <w:t>continue in 2017 and it is strengthened by the</w:t>
      </w:r>
      <w:r w:rsidR="00596E11" w:rsidRPr="000135BE">
        <w:rPr>
          <w:lang w:val="en"/>
        </w:rPr>
        <w:t xml:space="preserve"> recent</w:t>
      </w:r>
      <w:r w:rsidR="00464DAC" w:rsidRPr="000135BE">
        <w:rPr>
          <w:lang w:val="en"/>
        </w:rPr>
        <w:t xml:space="preserve"> </w:t>
      </w:r>
      <w:r w:rsidR="00596E11" w:rsidRPr="000135BE">
        <w:rPr>
          <w:lang w:val="en"/>
        </w:rPr>
        <w:t xml:space="preserve">work </w:t>
      </w:r>
      <w:r w:rsidR="00464DAC" w:rsidRPr="000135BE">
        <w:rPr>
          <w:lang w:val="en"/>
        </w:rPr>
        <w:t>of the REFIT platform which issued 22 opinions</w:t>
      </w:r>
      <w:r w:rsidR="00BE0D1A" w:rsidRPr="000135BE">
        <w:rPr>
          <w:lang w:val="en"/>
        </w:rPr>
        <w:t xml:space="preserve"> to date</w:t>
      </w:r>
      <w:r w:rsidR="00464DAC" w:rsidRPr="000135BE">
        <w:rPr>
          <w:lang w:val="en"/>
        </w:rPr>
        <w:t xml:space="preserve">. The Commission Work </w:t>
      </w:r>
      <w:r w:rsidR="00464DAC" w:rsidRPr="001A6606">
        <w:rPr>
          <w:lang w:val="en"/>
        </w:rPr>
        <w:t>Programme lists (</w:t>
      </w:r>
      <w:r w:rsidR="00FA42C1">
        <w:rPr>
          <w:lang w:val="en"/>
        </w:rPr>
        <w:t>34</w:t>
      </w:r>
      <w:r w:rsidR="00464DAC" w:rsidRPr="001A6606">
        <w:rPr>
          <w:lang w:val="en"/>
        </w:rPr>
        <w:t xml:space="preserve"> legislative initiatives under REFIT, </w:t>
      </w:r>
      <w:r w:rsidR="007E762A" w:rsidRPr="001A6606">
        <w:rPr>
          <w:lang w:val="en"/>
        </w:rPr>
        <w:t>19</w:t>
      </w:r>
      <w:r w:rsidR="00464DAC" w:rsidRPr="001A6606">
        <w:rPr>
          <w:lang w:val="en"/>
        </w:rPr>
        <w:t xml:space="preserve"> withdrawals, </w:t>
      </w:r>
      <w:r w:rsidR="007E762A" w:rsidRPr="001A6606">
        <w:rPr>
          <w:lang w:val="en"/>
        </w:rPr>
        <w:t>16</w:t>
      </w:r>
      <w:r w:rsidR="00464DAC" w:rsidRPr="001A6606">
        <w:rPr>
          <w:lang w:val="en"/>
        </w:rPr>
        <w:t xml:space="preserve"> repeals). It answers to the recommendations of the REFIT Platform </w:t>
      </w:r>
      <w:r w:rsidRPr="001A6606">
        <w:rPr>
          <w:lang w:val="en"/>
        </w:rPr>
        <w:t>by envisaging follow up for 21 out of 22 opinions issued to date</w:t>
      </w:r>
      <w:r w:rsidR="0044453A" w:rsidRPr="001A6606">
        <w:rPr>
          <w:lang w:val="en"/>
        </w:rPr>
        <w:t xml:space="preserve"> (in 1</w:t>
      </w:r>
      <w:r w:rsidR="007E762A" w:rsidRPr="001A6606">
        <w:rPr>
          <w:lang w:val="en"/>
        </w:rPr>
        <w:t>5</w:t>
      </w:r>
      <w:r w:rsidR="0044453A" w:rsidRPr="001A6606">
        <w:rPr>
          <w:lang w:val="en"/>
        </w:rPr>
        <w:t xml:space="preserve"> cases under this year's work programme). T</w:t>
      </w:r>
      <w:r w:rsidRPr="001A6606">
        <w:rPr>
          <w:lang w:val="en"/>
        </w:rPr>
        <w:t xml:space="preserve">he sole exception </w:t>
      </w:r>
      <w:r w:rsidR="0044453A" w:rsidRPr="001A6606">
        <w:rPr>
          <w:lang w:val="en"/>
        </w:rPr>
        <w:t xml:space="preserve">regards </w:t>
      </w:r>
      <w:r w:rsidRPr="001A6606">
        <w:rPr>
          <w:lang w:val="en"/>
        </w:rPr>
        <w:t>the Platform recommendation for a standard VAT declaration, on which an earlier Commission proposal had to be withdrawn this year due to lack of support from the Council in the legislative</w:t>
      </w:r>
      <w:r w:rsidRPr="000135BE">
        <w:rPr>
          <w:lang w:val="en"/>
        </w:rPr>
        <w:t xml:space="preserve"> procedure. Information on the exact content of the Commission follow up will continue to be tracked and communicated as the relevant Commission initiatives are finalized. </w:t>
      </w:r>
    </w:p>
    <w:p w:rsidR="00464DAC" w:rsidRDefault="00464DAC">
      <w:pPr>
        <w:rPr>
          <w:rFonts w:asciiTheme="majorHAnsi" w:eastAsiaTheme="majorEastAsia" w:hAnsiTheme="majorHAnsi" w:cstheme="majorBidi"/>
          <w:b/>
          <w:bCs/>
          <w:color w:val="365F91" w:themeColor="accent1" w:themeShade="BF"/>
          <w:sz w:val="40"/>
          <w:szCs w:val="40"/>
        </w:rPr>
      </w:pPr>
      <w:r>
        <w:br w:type="page"/>
      </w:r>
    </w:p>
    <w:p w:rsidR="00CA72FD" w:rsidRPr="004925B6" w:rsidRDefault="00393F1B" w:rsidP="00CA72FD">
      <w:pPr>
        <w:pStyle w:val="Heading1"/>
      </w:pPr>
      <w:bookmarkStart w:id="2" w:name="_Toc465076229"/>
      <w:r>
        <w:lastRenderedPageBreak/>
        <w:t xml:space="preserve">Priority 1: </w:t>
      </w:r>
      <w:r w:rsidR="00CA72FD" w:rsidRPr="00CA72FD">
        <w:t>A New Boost for Jobs, Growth and Investment</w:t>
      </w:r>
      <w:bookmarkEnd w:id="2"/>
      <w:r w:rsidR="00CA72FD" w:rsidRPr="004925B6">
        <w:t xml:space="preserve"> </w:t>
      </w:r>
    </w:p>
    <w:p w:rsidR="00121C79" w:rsidRPr="00A47073" w:rsidRDefault="00121C79" w:rsidP="00A47073">
      <w:pPr>
        <w:pStyle w:val="Heading4"/>
        <w:numPr>
          <w:ilvl w:val="0"/>
          <w:numId w:val="32"/>
        </w:numPr>
        <w:rPr>
          <w:bCs w:val="0"/>
          <w:i w:val="0"/>
          <w:color w:val="365F91" w:themeColor="accent1" w:themeShade="BF"/>
          <w:sz w:val="28"/>
          <w:szCs w:val="28"/>
        </w:rPr>
      </w:pPr>
      <w:r w:rsidRPr="00A47073">
        <w:rPr>
          <w:bCs w:val="0"/>
          <w:i w:val="0"/>
          <w:color w:val="365F91" w:themeColor="accent1" w:themeShade="BF"/>
          <w:sz w:val="28"/>
          <w:szCs w:val="28"/>
        </w:rPr>
        <w:t>Context</w:t>
      </w:r>
    </w:p>
    <w:p w:rsidR="00121C79" w:rsidRPr="00A1682B" w:rsidRDefault="006C275F">
      <w:pPr>
        <w:tabs>
          <w:tab w:val="left" w:pos="284"/>
        </w:tabs>
        <w:spacing w:after="240"/>
        <w:jc w:val="both"/>
        <w:rPr>
          <w:lang w:val="en"/>
        </w:rPr>
      </w:pPr>
      <w:r>
        <w:rPr>
          <w:lang w:val="en"/>
        </w:rPr>
        <w:br/>
      </w:r>
      <w:r w:rsidR="002F4541">
        <w:rPr>
          <w:lang w:val="en"/>
        </w:rPr>
        <w:t>Boosting jobs, growth and investment i</w:t>
      </w:r>
      <w:r w:rsidR="00257EA1">
        <w:rPr>
          <w:lang w:val="en"/>
        </w:rPr>
        <w:t xml:space="preserve">n a sustainable manner is </w:t>
      </w:r>
      <w:r w:rsidR="002F4541">
        <w:rPr>
          <w:lang w:val="en"/>
        </w:rPr>
        <w:t>key to further reduce unacceptable high unemployment</w:t>
      </w:r>
      <w:r w:rsidR="00257EA1">
        <w:rPr>
          <w:lang w:val="en"/>
        </w:rPr>
        <w:t xml:space="preserve"> and increase the welfare of Europe's citizens and the competitiveness of its businesses</w:t>
      </w:r>
      <w:r w:rsidR="002F4541">
        <w:rPr>
          <w:lang w:val="en"/>
        </w:rPr>
        <w:t xml:space="preserve">.  </w:t>
      </w:r>
      <w:r w:rsidR="00257EA1">
        <w:rPr>
          <w:lang w:val="en"/>
        </w:rPr>
        <w:t>Achieving these goals not only requires launching new initiatives but also making sure that the existing EU legislation is kept fit for purpose, unnecessary costs eliminated and rules simplified where possible. This is the purpose of the REFIT programme</w:t>
      </w:r>
      <w:r w:rsidR="00A62AE9">
        <w:rPr>
          <w:lang w:val="en"/>
        </w:rPr>
        <w:t>.</w:t>
      </w:r>
    </w:p>
    <w:p w:rsidR="00631047" w:rsidRPr="00A47073" w:rsidRDefault="00194FE3" w:rsidP="00A47073">
      <w:pPr>
        <w:pStyle w:val="Heading4"/>
        <w:numPr>
          <w:ilvl w:val="0"/>
          <w:numId w:val="32"/>
        </w:numPr>
        <w:rPr>
          <w:bCs w:val="0"/>
          <w:i w:val="0"/>
          <w:color w:val="365F91" w:themeColor="accent1" w:themeShade="BF"/>
          <w:sz w:val="28"/>
          <w:szCs w:val="28"/>
        </w:rPr>
      </w:pPr>
      <w:r w:rsidRPr="00A47073">
        <w:rPr>
          <w:bCs w:val="0"/>
          <w:i w:val="0"/>
          <w:color w:val="365F91" w:themeColor="accent1" w:themeShade="BF"/>
          <w:sz w:val="28"/>
          <w:szCs w:val="28"/>
        </w:rPr>
        <w:t xml:space="preserve">New </w:t>
      </w:r>
      <w:r w:rsidR="00E46706">
        <w:rPr>
          <w:bCs w:val="0"/>
          <w:i w:val="0"/>
          <w:color w:val="365F91" w:themeColor="accent1" w:themeShade="BF"/>
          <w:sz w:val="28"/>
          <w:szCs w:val="28"/>
        </w:rPr>
        <w:t xml:space="preserve">REFIT </w:t>
      </w:r>
      <w:r w:rsidRPr="00A47073">
        <w:rPr>
          <w:bCs w:val="0"/>
          <w:i w:val="0"/>
          <w:color w:val="365F91" w:themeColor="accent1" w:themeShade="BF"/>
          <w:sz w:val="28"/>
          <w:szCs w:val="28"/>
        </w:rPr>
        <w:t>Initiatives</w:t>
      </w:r>
    </w:p>
    <w:p w:rsidR="00631047" w:rsidRPr="003A4CF7" w:rsidRDefault="006C275F" w:rsidP="003A4CF7">
      <w:pPr>
        <w:pStyle w:val="NormalWeb"/>
        <w:spacing w:line="276" w:lineRule="auto"/>
        <w:jc w:val="both"/>
        <w:rPr>
          <w:rFonts w:asciiTheme="minorHAnsi" w:eastAsiaTheme="minorHAnsi" w:hAnsiTheme="minorHAnsi" w:cstheme="minorBidi"/>
          <w:sz w:val="22"/>
          <w:szCs w:val="22"/>
          <w:lang w:val="en"/>
        </w:rPr>
      </w:pPr>
      <w:r>
        <w:rPr>
          <w:lang w:val="en"/>
        </w:rPr>
        <w:br/>
      </w:r>
      <w:r w:rsidR="00BF1986" w:rsidRPr="003A4CF7">
        <w:rPr>
          <w:rFonts w:asciiTheme="minorHAnsi" w:hAnsiTheme="minorHAnsi"/>
          <w:b/>
          <w:i/>
          <w:sz w:val="22"/>
          <w:szCs w:val="22"/>
          <w:u w:val="single"/>
          <w:lang w:val="en"/>
        </w:rPr>
        <w:t>During</w:t>
      </w:r>
      <w:r w:rsidR="0012194F" w:rsidRPr="003A4CF7">
        <w:rPr>
          <w:rFonts w:asciiTheme="minorHAnsi" w:eastAsiaTheme="minorHAnsi" w:hAnsiTheme="minorHAnsi" w:cstheme="minorBidi"/>
          <w:b/>
          <w:i/>
          <w:sz w:val="22"/>
          <w:szCs w:val="22"/>
          <w:u w:val="single"/>
          <w:lang w:val="en" w:eastAsia="en-US"/>
        </w:rPr>
        <w:t xml:space="preserve"> </w:t>
      </w:r>
      <w:r w:rsidR="00631047" w:rsidRPr="003A4CF7">
        <w:rPr>
          <w:rFonts w:asciiTheme="minorHAnsi" w:eastAsiaTheme="minorHAnsi" w:hAnsiTheme="minorHAnsi" w:cstheme="minorBidi"/>
          <w:b/>
          <w:i/>
          <w:sz w:val="22"/>
          <w:szCs w:val="22"/>
          <w:u w:val="single"/>
          <w:lang w:val="en" w:eastAsia="en-US"/>
        </w:rPr>
        <w:t>2017</w:t>
      </w:r>
      <w:r w:rsidR="00631047" w:rsidRPr="003A4CF7">
        <w:rPr>
          <w:rFonts w:asciiTheme="minorHAnsi" w:eastAsiaTheme="minorHAnsi" w:hAnsiTheme="minorHAnsi" w:cstheme="minorBidi"/>
          <w:sz w:val="22"/>
          <w:szCs w:val="22"/>
          <w:lang w:val="en" w:eastAsia="en-US"/>
        </w:rPr>
        <w:t xml:space="preserve">, the Commission will </w:t>
      </w:r>
      <w:r w:rsidR="0012194F" w:rsidRPr="003A4CF7">
        <w:rPr>
          <w:rFonts w:asciiTheme="minorHAnsi" w:eastAsiaTheme="minorHAnsi" w:hAnsiTheme="minorHAnsi" w:cstheme="minorBidi"/>
          <w:sz w:val="22"/>
          <w:szCs w:val="22"/>
          <w:lang w:val="en" w:eastAsia="en-US"/>
        </w:rPr>
        <w:t xml:space="preserve">follow-up on the seven opinions issued </w:t>
      </w:r>
      <w:r w:rsidR="00BF1986" w:rsidRPr="003A4CF7">
        <w:rPr>
          <w:rFonts w:asciiTheme="minorHAnsi" w:hAnsiTheme="minorHAnsi"/>
          <w:sz w:val="22"/>
          <w:szCs w:val="22"/>
          <w:lang w:val="en"/>
        </w:rPr>
        <w:t>by</w:t>
      </w:r>
      <w:r w:rsidR="0012194F" w:rsidRPr="003A4CF7">
        <w:rPr>
          <w:rFonts w:asciiTheme="minorHAnsi" w:eastAsiaTheme="minorHAnsi" w:hAnsiTheme="minorHAnsi" w:cstheme="minorBidi"/>
          <w:sz w:val="22"/>
          <w:szCs w:val="22"/>
          <w:lang w:val="en" w:eastAsia="en-US"/>
        </w:rPr>
        <w:t xml:space="preserve"> the REFIT Platform. On the basis of an evaluation </w:t>
      </w:r>
      <w:r w:rsidR="00631047" w:rsidRPr="00686B7B">
        <w:rPr>
          <w:rFonts w:asciiTheme="minorHAnsi" w:eastAsiaTheme="minorHAnsi" w:hAnsiTheme="minorHAnsi" w:cstheme="minorBidi"/>
          <w:sz w:val="22"/>
          <w:szCs w:val="22"/>
          <w:lang w:val="en" w:eastAsia="en-US"/>
        </w:rPr>
        <w:t xml:space="preserve">of the Drinking Water Directive and the European Citizen's Initiative 'Right2Water', the Commission will </w:t>
      </w:r>
      <w:r w:rsidR="0012194F" w:rsidRPr="00686B7B">
        <w:rPr>
          <w:rFonts w:asciiTheme="minorHAnsi" w:eastAsiaTheme="minorHAnsi" w:hAnsiTheme="minorHAnsi" w:cstheme="minorBidi"/>
          <w:sz w:val="22"/>
          <w:szCs w:val="22"/>
          <w:lang w:val="en" w:eastAsia="en-US"/>
        </w:rPr>
        <w:t>present a REFIT revision of</w:t>
      </w:r>
      <w:r w:rsidR="00631047" w:rsidRPr="00686B7B">
        <w:rPr>
          <w:rFonts w:asciiTheme="minorHAnsi" w:eastAsiaTheme="minorHAnsi" w:hAnsiTheme="minorHAnsi" w:cstheme="minorBidi"/>
          <w:sz w:val="22"/>
          <w:szCs w:val="22"/>
          <w:lang w:val="en" w:eastAsia="en-US"/>
        </w:rPr>
        <w:t xml:space="preserve"> the Drinking Water Directive in 2017 to adapt quality standards and risk prevention, improve access to information and transparency.</w:t>
      </w:r>
      <w:r w:rsidR="00BF1986" w:rsidRPr="00686B7B">
        <w:rPr>
          <w:rFonts w:asciiTheme="minorHAnsi" w:eastAsiaTheme="minorHAnsi" w:hAnsiTheme="minorHAnsi" w:cstheme="minorBidi"/>
          <w:sz w:val="22"/>
          <w:szCs w:val="22"/>
          <w:lang w:val="en" w:eastAsia="en-US"/>
        </w:rPr>
        <w:br/>
      </w:r>
    </w:p>
    <w:p w:rsidR="004A520D" w:rsidRDefault="004A520D" w:rsidP="004A520D">
      <w:pPr>
        <w:pBdr>
          <w:top w:val="single" w:sz="4" w:space="1" w:color="auto"/>
          <w:left w:val="single" w:sz="4" w:space="4" w:color="auto"/>
          <w:bottom w:val="single" w:sz="4" w:space="1" w:color="auto"/>
          <w:right w:val="single" w:sz="4" w:space="4" w:color="auto"/>
        </w:pBdr>
        <w:jc w:val="both"/>
      </w:pPr>
      <w:r w:rsidRPr="00002899">
        <w:rPr>
          <w:b/>
          <w:i/>
          <w:u w:val="single"/>
        </w:rPr>
        <w:t>Follow-Up to REFIT Platform Opinions</w:t>
      </w:r>
      <w:r w:rsidRPr="001A283E">
        <w:rPr>
          <w:b/>
          <w:i/>
        </w:rPr>
        <w:t xml:space="preserve">: </w:t>
      </w:r>
      <w:r w:rsidRPr="001A283E">
        <w:t>Prompted by stakeholder submissions, the REFIT Platform issued s</w:t>
      </w:r>
      <w:r w:rsidR="00916D22">
        <w:t>even</w:t>
      </w:r>
      <w:r w:rsidRPr="001A283E">
        <w:t xml:space="preserve"> opinions in this priority area which will be followed up by the Commission with initiatives in 2017. </w:t>
      </w:r>
    </w:p>
    <w:p w:rsidR="004A520D" w:rsidRDefault="004A520D" w:rsidP="004A520D">
      <w:pPr>
        <w:pBdr>
          <w:top w:val="single" w:sz="4" w:space="1" w:color="auto"/>
          <w:left w:val="single" w:sz="4" w:space="4" w:color="auto"/>
          <w:bottom w:val="single" w:sz="4" w:space="1" w:color="auto"/>
          <w:right w:val="single" w:sz="4" w:space="4" w:color="auto"/>
        </w:pBdr>
        <w:jc w:val="both"/>
      </w:pPr>
      <w:r w:rsidRPr="001A283E">
        <w:t xml:space="preserve">On the </w:t>
      </w:r>
      <w:r w:rsidRPr="00002899">
        <w:rPr>
          <w:b/>
          <w:i/>
        </w:rPr>
        <w:t>Common Agricultural Policy</w:t>
      </w:r>
      <w:r w:rsidRPr="001A283E">
        <w:t xml:space="preserve">, the REFIT Platform issued three opinions on the efficiency of the CAP, </w:t>
      </w:r>
      <w:r w:rsidRPr="007909C3">
        <w:t xml:space="preserve">cross compliance </w:t>
      </w:r>
      <w:r w:rsidRPr="000E5CFA">
        <w:t xml:space="preserve">and overlaps between Pillars I and II. The REFIT Platform Stakeholder group </w:t>
      </w:r>
      <w:r w:rsidR="00A377C3" w:rsidRPr="00696BF7">
        <w:t>recommended to carry out a more strategic review of the CAP with a view to ensuring</w:t>
      </w:r>
      <w:r w:rsidRPr="00475F50">
        <w:t xml:space="preserve"> the effectiveness and efficiency of the CAP</w:t>
      </w:r>
      <w:r w:rsidRPr="00FC3B9E">
        <w:t xml:space="preserve">, while the Government group </w:t>
      </w:r>
      <w:r w:rsidR="00A377C3" w:rsidRPr="00696BF7">
        <w:t>objected to such a review and, instead</w:t>
      </w:r>
      <w:r w:rsidR="00A377C3" w:rsidRPr="007909C3">
        <w:t xml:space="preserve"> </w:t>
      </w:r>
      <w:r w:rsidRPr="00475F50">
        <w:t xml:space="preserve">recommended </w:t>
      </w:r>
      <w:r w:rsidR="00A377C3" w:rsidRPr="000E5CFA">
        <w:t>to follow</w:t>
      </w:r>
      <w:r w:rsidR="006364BA" w:rsidRPr="00A41506">
        <w:t xml:space="preserve"> </w:t>
      </w:r>
      <w:r w:rsidRPr="00A41506">
        <w:t>the existing evaluation plan</w:t>
      </w:r>
      <w:r w:rsidR="00771498" w:rsidRPr="00A41506">
        <w:t>ning</w:t>
      </w:r>
      <w:r w:rsidRPr="00A41506">
        <w:t xml:space="preserve"> established by Regulation 1306/2013. </w:t>
      </w:r>
      <w:r w:rsidR="00B14626">
        <w:t>T</w:t>
      </w:r>
      <w:r w:rsidR="00A377C3" w:rsidRPr="00475F50">
        <w:t xml:space="preserve">he </w:t>
      </w:r>
      <w:r w:rsidRPr="00FC3B9E">
        <w:t>Commission</w:t>
      </w:r>
      <w:r w:rsidRPr="001A283E">
        <w:t xml:space="preserve"> will</w:t>
      </w:r>
      <w:r w:rsidR="007909C3">
        <w:t xml:space="preserve"> be</w:t>
      </w:r>
      <w:r w:rsidRPr="001A283E">
        <w:t xml:space="preserve"> consulting </w:t>
      </w:r>
      <w:r w:rsidR="007909C3">
        <w:t xml:space="preserve">the public </w:t>
      </w:r>
      <w:r w:rsidR="00E839EC" w:rsidRPr="00E839EC">
        <w:t>throughout 2017</w:t>
      </w:r>
      <w:r w:rsidR="00E46706">
        <w:t xml:space="preserve"> </w:t>
      </w:r>
      <w:r w:rsidRPr="001A283E">
        <w:t xml:space="preserve">on the </w:t>
      </w:r>
      <w:r w:rsidR="00E839EC">
        <w:t xml:space="preserve">simplification and </w:t>
      </w:r>
      <w:r w:rsidRPr="001A283E">
        <w:t>modernisation of the Common Agricultural Policy (CAP)</w:t>
      </w:r>
      <w:r w:rsidR="00E46706">
        <w:t xml:space="preserve"> </w:t>
      </w:r>
      <w:r w:rsidR="00E839EC">
        <w:t xml:space="preserve">to </w:t>
      </w:r>
      <w:r w:rsidR="00686B7B">
        <w:t xml:space="preserve">maximize its contribution to the Commission's ten priorities and to </w:t>
      </w:r>
      <w:r w:rsidR="00E46706">
        <w:t>the</w:t>
      </w:r>
      <w:r w:rsidRPr="001A283E">
        <w:t xml:space="preserve"> Sustainable Development Goals.</w:t>
      </w:r>
      <w:r w:rsidR="00686B7B">
        <w:t xml:space="preserve"> This will focus on specific policy priorities for the future, taking account of the opinions of the Refit Platform </w:t>
      </w:r>
    </w:p>
    <w:p w:rsidR="009434B3" w:rsidRDefault="00295C86" w:rsidP="004A520D">
      <w:pPr>
        <w:pBdr>
          <w:top w:val="single" w:sz="4" w:space="1" w:color="auto"/>
          <w:left w:val="single" w:sz="4" w:space="4" w:color="auto"/>
          <w:bottom w:val="single" w:sz="4" w:space="1" w:color="auto"/>
          <w:right w:val="single" w:sz="4" w:space="4" w:color="auto"/>
        </w:pBdr>
        <w:jc w:val="both"/>
      </w:pPr>
      <w:r w:rsidRPr="001A283E">
        <w:t xml:space="preserve">In its opinion on </w:t>
      </w:r>
      <w:r w:rsidRPr="00002899">
        <w:rPr>
          <w:b/>
          <w:i/>
        </w:rPr>
        <w:t>Waste electrical and electronic equipment (WEEE)</w:t>
      </w:r>
      <w:r w:rsidR="00E839EC" w:rsidRPr="00002899">
        <w:rPr>
          <w:b/>
          <w:i/>
        </w:rPr>
        <w:t>,</w:t>
      </w:r>
      <w:r w:rsidRPr="001A283E">
        <w:t xml:space="preserve"> the REFIT Platform recommends action to implement a common harmonised reporting and registration system that takes enforcement and manageability into account without adding unnecessary burden on the Member States. </w:t>
      </w:r>
      <w:r w:rsidR="00A377C3">
        <w:t>In order to address this recommendation, t</w:t>
      </w:r>
      <w:r w:rsidRPr="001A283E">
        <w:t xml:space="preserve">he Commission is planning </w:t>
      </w:r>
      <w:r w:rsidR="00A377C3">
        <w:t>to propose a</w:t>
      </w:r>
      <w:r w:rsidR="009434B3">
        <w:t>n</w:t>
      </w:r>
      <w:r w:rsidR="00A377C3">
        <w:t xml:space="preserve"> i</w:t>
      </w:r>
      <w:r w:rsidR="00A377C3" w:rsidRPr="00696BF7">
        <w:t>mplementing act on a standard format and frequency of reporting</w:t>
      </w:r>
      <w:r w:rsidRPr="001A283E">
        <w:t xml:space="preserve"> </w:t>
      </w:r>
      <w:r>
        <w:t>by the end</w:t>
      </w:r>
      <w:r w:rsidRPr="001A283E">
        <w:t xml:space="preserve"> of 2017. </w:t>
      </w:r>
    </w:p>
    <w:p w:rsidR="004A520D" w:rsidRDefault="004A520D" w:rsidP="004A520D">
      <w:pPr>
        <w:pBdr>
          <w:top w:val="single" w:sz="4" w:space="1" w:color="auto"/>
          <w:left w:val="single" w:sz="4" w:space="4" w:color="auto"/>
          <w:bottom w:val="single" w:sz="4" w:space="1" w:color="auto"/>
          <w:right w:val="single" w:sz="4" w:space="4" w:color="auto"/>
        </w:pBdr>
        <w:jc w:val="both"/>
      </w:pPr>
      <w:r w:rsidRPr="001A283E">
        <w:t xml:space="preserve">The Platform adopted 2 opinions on the </w:t>
      </w:r>
      <w:r w:rsidRPr="00002899">
        <w:rPr>
          <w:b/>
          <w:i/>
        </w:rPr>
        <w:t>Common Provision Regulation governing the Cohesion Fund, ERDF and ESF</w:t>
      </w:r>
      <w:r w:rsidRPr="001A283E">
        <w:t>. It recommends that far-reaching legislative changes should be avoided in the interest of legal certainty, but that small changes to clarify rules, simplify implementation and remove inconsistencies should be envisaged</w:t>
      </w:r>
      <w:r w:rsidR="00920444">
        <w:t xml:space="preserve"> and that this opinion be sent</w:t>
      </w:r>
      <w:r w:rsidRPr="001A283E">
        <w:t xml:space="preserve"> to the High Level Group on Simplification of the ESI Funds. </w:t>
      </w:r>
      <w:r w:rsidR="00920444">
        <w:t>T</w:t>
      </w:r>
      <w:r w:rsidRPr="001A283E">
        <w:t xml:space="preserve">he European Commission has </w:t>
      </w:r>
      <w:r w:rsidR="00920444">
        <w:t>transmitted this opinion to this</w:t>
      </w:r>
      <w:r w:rsidRPr="001A283E">
        <w:t xml:space="preserve"> group, which is currently preparing its reply to the Platform.</w:t>
      </w:r>
    </w:p>
    <w:p w:rsidR="00916D22" w:rsidRPr="001A283E" w:rsidRDefault="00E839EC" w:rsidP="004A520D">
      <w:pPr>
        <w:pBdr>
          <w:top w:val="single" w:sz="4" w:space="1" w:color="auto"/>
          <w:left w:val="single" w:sz="4" w:space="4" w:color="auto"/>
          <w:bottom w:val="single" w:sz="4" w:space="1" w:color="auto"/>
          <w:right w:val="single" w:sz="4" w:space="4" w:color="auto"/>
        </w:pBdr>
        <w:jc w:val="both"/>
      </w:pPr>
      <w:r w:rsidRPr="00002899">
        <w:rPr>
          <w:b/>
          <w:i/>
        </w:rPr>
        <w:lastRenderedPageBreak/>
        <w:t xml:space="preserve">Concerning overlaps </w:t>
      </w:r>
      <w:r w:rsidR="00916D22" w:rsidRPr="00002899">
        <w:rPr>
          <w:b/>
          <w:i/>
        </w:rPr>
        <w:t>in legislation on chemicals and safety and health at work</w:t>
      </w:r>
      <w:r w:rsidRPr="00002899">
        <w:t xml:space="preserve">, the </w:t>
      </w:r>
      <w:r w:rsidR="00916D22" w:rsidRPr="00002899">
        <w:t>REFIT</w:t>
      </w:r>
      <w:r w:rsidR="00916D22" w:rsidRPr="00916D22">
        <w:t xml:space="preserve"> Platform considered that the Commission should raise awareness and issue guidance on the implementation of legislation in these areas. In response, the Commission </w:t>
      </w:r>
      <w:r w:rsidR="00771498">
        <w:t>plans to issue</w:t>
      </w:r>
      <w:r w:rsidR="00916D22" w:rsidRPr="00916D22">
        <w:t xml:space="preserve"> a Common Understanding explaining the interface between REACH and OSH legislation. In addition, several evaluations in this area will conclude during 2017 and assess </w:t>
      </w:r>
      <w:r>
        <w:t xml:space="preserve">the </w:t>
      </w:r>
      <w:r w:rsidR="00916D22" w:rsidRPr="00916D22">
        <w:t>need for</w:t>
      </w:r>
      <w:r w:rsidR="00771498">
        <w:t xml:space="preserve"> </w:t>
      </w:r>
      <w:r w:rsidR="00916D22" w:rsidRPr="00916D22">
        <w:t>further action.</w:t>
      </w:r>
      <w:r>
        <w:t xml:space="preserve"> </w:t>
      </w:r>
    </w:p>
    <w:p w:rsidR="00121C79" w:rsidRPr="00A47073" w:rsidRDefault="00194FE3" w:rsidP="00A47073">
      <w:pPr>
        <w:pStyle w:val="Heading4"/>
        <w:numPr>
          <w:ilvl w:val="0"/>
          <w:numId w:val="32"/>
        </w:numPr>
        <w:rPr>
          <w:bCs w:val="0"/>
          <w:i w:val="0"/>
          <w:color w:val="365F91" w:themeColor="accent1" w:themeShade="BF"/>
          <w:sz w:val="28"/>
          <w:szCs w:val="28"/>
        </w:rPr>
      </w:pPr>
      <w:r w:rsidRPr="00A47073">
        <w:rPr>
          <w:bCs w:val="0"/>
          <w:i w:val="0"/>
          <w:color w:val="365F91" w:themeColor="accent1" w:themeShade="BF"/>
          <w:sz w:val="28"/>
          <w:szCs w:val="28"/>
        </w:rPr>
        <w:t>Progress and Results</w:t>
      </w:r>
    </w:p>
    <w:p w:rsidR="00E51129" w:rsidRPr="00253AE9" w:rsidRDefault="00E05E50">
      <w:pPr>
        <w:jc w:val="both"/>
      </w:pPr>
      <w:r>
        <w:rPr>
          <w:lang w:val="en"/>
        </w:rPr>
        <w:br/>
      </w:r>
      <w:r w:rsidR="00916D22" w:rsidRPr="00002899">
        <w:rPr>
          <w:b/>
          <w:i/>
          <w:u w:val="single"/>
          <w:lang w:val="en"/>
        </w:rPr>
        <w:t xml:space="preserve">Evaluations and </w:t>
      </w:r>
      <w:r w:rsidR="00E405E8" w:rsidRPr="00002899">
        <w:rPr>
          <w:b/>
          <w:i/>
          <w:u w:val="single"/>
          <w:lang w:val="en"/>
        </w:rPr>
        <w:t>f</w:t>
      </w:r>
      <w:r w:rsidR="00916D22" w:rsidRPr="00002899">
        <w:rPr>
          <w:b/>
          <w:i/>
          <w:u w:val="single"/>
          <w:lang w:val="en"/>
        </w:rPr>
        <w:t>ollow-up:</w:t>
      </w:r>
      <w:r w:rsidR="00E51129" w:rsidRPr="00475F50">
        <w:rPr>
          <w:b/>
          <w:i/>
          <w:lang w:val="en"/>
        </w:rPr>
        <w:t xml:space="preserve"> </w:t>
      </w:r>
      <w:r w:rsidR="007909C3" w:rsidRPr="00696BF7">
        <w:rPr>
          <w:noProof/>
        </w:rPr>
        <w:t xml:space="preserve">Following a </w:t>
      </w:r>
      <w:r w:rsidR="007909C3" w:rsidRPr="00002899">
        <w:rPr>
          <w:b/>
          <w:i/>
          <w:noProof/>
        </w:rPr>
        <w:t xml:space="preserve">review of Greening obligations under the </w:t>
      </w:r>
      <w:r w:rsidR="007909C3" w:rsidRPr="00002899">
        <w:rPr>
          <w:b/>
          <w:i/>
          <w:lang w:val="en"/>
        </w:rPr>
        <w:t>Common Agricultural Policy</w:t>
      </w:r>
      <w:r w:rsidR="007909C3" w:rsidRPr="00696BF7">
        <w:rPr>
          <w:lang w:val="en"/>
        </w:rPr>
        <w:t xml:space="preserve"> </w:t>
      </w:r>
      <w:r w:rsidR="007909C3" w:rsidRPr="00696BF7">
        <w:rPr>
          <w:noProof/>
        </w:rPr>
        <w:t xml:space="preserve">after the first year of implementation, the Commission is working on targeted modifications to relevant delegated and implementing acts </w:t>
      </w:r>
      <w:r w:rsidR="007909C3" w:rsidRPr="00696BF7">
        <w:t>simplifying certain greening rules for farmers and national administrations in order to increase the acceptance of greening by farmers and to improve its environmental performance. A comprehensive evaluation of greening measures will be carried out in 2017.</w:t>
      </w:r>
    </w:p>
    <w:p w:rsidR="00295C86" w:rsidRDefault="00295C86" w:rsidP="00295C86">
      <w:pPr>
        <w:jc w:val="both"/>
      </w:pPr>
      <w:r w:rsidRPr="005F7871">
        <w:t xml:space="preserve">The Commission is currently taking stock of </w:t>
      </w:r>
      <w:r w:rsidRPr="00002899">
        <w:rPr>
          <w:b/>
          <w:i/>
        </w:rPr>
        <w:t>reporting obligations across the environment acquis</w:t>
      </w:r>
      <w:r w:rsidRPr="005F7871">
        <w:t xml:space="preserve"> covering about 60 pieces of legislation and approximately 170 reporting obligations. In this context, the Commission </w:t>
      </w:r>
      <w:r w:rsidR="00920444">
        <w:t>plans to</w:t>
      </w:r>
      <w:r w:rsidR="00920444" w:rsidRPr="005F7871">
        <w:t xml:space="preserve"> </w:t>
      </w:r>
      <w:r w:rsidRPr="005F7871">
        <w:t xml:space="preserve">propose the </w:t>
      </w:r>
      <w:r>
        <w:t>repeal of the S</w:t>
      </w:r>
      <w:r w:rsidR="00EB5BEF">
        <w:t xml:space="preserve">tandardised </w:t>
      </w:r>
      <w:r>
        <w:t>R</w:t>
      </w:r>
      <w:r w:rsidR="00EB5BEF">
        <w:t xml:space="preserve">eporting </w:t>
      </w:r>
      <w:r>
        <w:t>D</w:t>
      </w:r>
      <w:r w:rsidR="00EB5BEF">
        <w:t>irective</w:t>
      </w:r>
      <w:r>
        <w:t xml:space="preserve"> and its associated reporting obligations</w:t>
      </w:r>
      <w:r w:rsidRPr="005F7871">
        <w:rPr>
          <w:rStyle w:val="FootnoteReference"/>
        </w:rPr>
        <w:footnoteReference w:id="6"/>
      </w:r>
      <w:r w:rsidRPr="005F7871">
        <w:t>. Following on these preparatory activities, the Commission will take further</w:t>
      </w:r>
      <w:r>
        <w:t xml:space="preserve"> action </w:t>
      </w:r>
      <w:r w:rsidRPr="005F7871">
        <w:t>to streamline reporting requirements</w:t>
      </w:r>
      <w:r w:rsidRPr="005F7871">
        <w:rPr>
          <w:rStyle w:val="FootnoteReference"/>
        </w:rPr>
        <w:footnoteReference w:id="7"/>
      </w:r>
      <w:r w:rsidRPr="005F7871">
        <w:t>.</w:t>
      </w:r>
    </w:p>
    <w:p w:rsidR="00E51129" w:rsidRPr="005F7871" w:rsidRDefault="00295C86" w:rsidP="00916D22">
      <w:pPr>
        <w:jc w:val="both"/>
      </w:pPr>
      <w:r>
        <w:t xml:space="preserve">In the area of environment, the results of not less than 11 evaluations are expected </w:t>
      </w:r>
      <w:r w:rsidR="008E63D2">
        <w:t>before the end of</w:t>
      </w:r>
      <w:r>
        <w:t xml:space="preserve"> 2017.</w:t>
      </w:r>
      <w:r w:rsidR="0023538C">
        <w:t xml:space="preserve"> The </w:t>
      </w:r>
      <w:r w:rsidR="0023538C" w:rsidRPr="00002899">
        <w:rPr>
          <w:b/>
          <w:i/>
        </w:rPr>
        <w:t xml:space="preserve">fitness check on </w:t>
      </w:r>
      <w:r w:rsidR="009D7C86" w:rsidRPr="00002899">
        <w:rPr>
          <w:b/>
          <w:i/>
        </w:rPr>
        <w:t>the Birds and Habitat</w:t>
      </w:r>
      <w:r w:rsidR="009D7C86">
        <w:t xml:space="preserve"> directives</w:t>
      </w:r>
      <w:r w:rsidR="0023538C">
        <w:t xml:space="preserve"> is expected to be completed </w:t>
      </w:r>
      <w:r w:rsidR="0023538C" w:rsidRPr="000135BE">
        <w:t>by the end of 2016</w:t>
      </w:r>
      <w:r w:rsidR="0023538C">
        <w:t>.</w:t>
      </w:r>
    </w:p>
    <w:p w:rsidR="007027DD" w:rsidRPr="005F7871" w:rsidRDefault="007D4B40" w:rsidP="001A283E">
      <w:pPr>
        <w:jc w:val="both"/>
        <w:rPr>
          <w:lang w:val="en"/>
        </w:rPr>
      </w:pPr>
      <w:r w:rsidRPr="00002899">
        <w:rPr>
          <w:b/>
          <w:i/>
          <w:u w:val="single"/>
          <w:lang w:val="en"/>
        </w:rPr>
        <w:t xml:space="preserve">Pending </w:t>
      </w:r>
      <w:r w:rsidR="00E405E8" w:rsidRPr="00002899">
        <w:rPr>
          <w:b/>
          <w:i/>
          <w:u w:val="single"/>
          <w:lang w:val="en"/>
        </w:rPr>
        <w:t xml:space="preserve">proposals </w:t>
      </w:r>
      <w:r w:rsidRPr="00002899">
        <w:rPr>
          <w:b/>
          <w:i/>
          <w:u w:val="single"/>
          <w:lang w:val="en"/>
        </w:rPr>
        <w:t xml:space="preserve">and </w:t>
      </w:r>
      <w:r w:rsidR="00E405E8" w:rsidRPr="00002899">
        <w:rPr>
          <w:b/>
          <w:i/>
          <w:u w:val="single"/>
          <w:lang w:val="en"/>
        </w:rPr>
        <w:t>a</w:t>
      </w:r>
      <w:r w:rsidRPr="00002899">
        <w:rPr>
          <w:b/>
          <w:i/>
          <w:u w:val="single"/>
          <w:lang w:val="en"/>
        </w:rPr>
        <w:t>dopted legal acts</w:t>
      </w:r>
      <w:r w:rsidR="00E51129" w:rsidRPr="00002899">
        <w:rPr>
          <w:b/>
          <w:i/>
          <w:u w:val="single"/>
          <w:lang w:val="en"/>
        </w:rPr>
        <w:t>:</w:t>
      </w:r>
      <w:r w:rsidR="00E51129">
        <w:rPr>
          <w:lang w:val="en"/>
        </w:rPr>
        <w:t xml:space="preserve"> </w:t>
      </w:r>
      <w:r w:rsidR="007027DD">
        <w:rPr>
          <w:lang w:val="en"/>
        </w:rPr>
        <w:t xml:space="preserve">The Commission continues a </w:t>
      </w:r>
      <w:r w:rsidR="007027DD" w:rsidRPr="00002899">
        <w:rPr>
          <w:b/>
          <w:i/>
          <w:lang w:val="en"/>
        </w:rPr>
        <w:t>comprehensive simplification of the Common Market Organization</w:t>
      </w:r>
      <w:r w:rsidR="007027DD">
        <w:rPr>
          <w:lang w:val="en"/>
        </w:rPr>
        <w:t xml:space="preserve"> under the Common Agricultural Policy. The initiative should be completed in 2017 leading to </w:t>
      </w:r>
      <w:r w:rsidR="00920444">
        <w:rPr>
          <w:lang w:val="en"/>
        </w:rPr>
        <w:t xml:space="preserve">the </w:t>
      </w:r>
      <w:r w:rsidR="007027DD">
        <w:rPr>
          <w:lang w:val="en"/>
        </w:rPr>
        <w:t xml:space="preserve">reduction of </w:t>
      </w:r>
      <w:r w:rsidR="007027DD" w:rsidRPr="005F7871">
        <w:rPr>
          <w:lang w:val="en"/>
        </w:rPr>
        <w:t>200 implementing and delegated acts to around 40</w:t>
      </w:r>
      <w:r w:rsidR="007909C3">
        <w:rPr>
          <w:rStyle w:val="FootnoteReference"/>
          <w:lang w:val="en"/>
        </w:rPr>
        <w:footnoteReference w:id="8"/>
      </w:r>
      <w:r w:rsidR="007027DD" w:rsidRPr="005F7871">
        <w:rPr>
          <w:lang w:val="en"/>
        </w:rPr>
        <w:t xml:space="preserve">. </w:t>
      </w:r>
      <w:r w:rsidR="007027DD">
        <w:rPr>
          <w:lang w:val="en"/>
        </w:rPr>
        <w:t xml:space="preserve">So far </w:t>
      </w:r>
      <w:r w:rsidR="007027DD" w:rsidRPr="005F7871">
        <w:rPr>
          <w:lang w:val="en"/>
        </w:rPr>
        <w:t xml:space="preserve">8 new delegated regulations and 6 new implementing regulations have been adopted, 30 regulations have been repealed, 57 regulations have been declared obsolete and a further </w:t>
      </w:r>
      <w:r w:rsidR="001704B6">
        <w:rPr>
          <w:lang w:val="en"/>
        </w:rPr>
        <w:t xml:space="preserve">18 delegated </w:t>
      </w:r>
      <w:r w:rsidR="00C36D2D">
        <w:rPr>
          <w:lang w:val="en"/>
        </w:rPr>
        <w:t xml:space="preserve">and </w:t>
      </w:r>
      <w:r w:rsidR="00C36D2D" w:rsidRPr="005F7871">
        <w:rPr>
          <w:lang w:val="en"/>
        </w:rPr>
        <w:t>implementing</w:t>
      </w:r>
      <w:r w:rsidR="007027DD" w:rsidRPr="005F7871">
        <w:rPr>
          <w:lang w:val="en"/>
        </w:rPr>
        <w:t xml:space="preserve"> </w:t>
      </w:r>
      <w:r w:rsidR="001704B6">
        <w:rPr>
          <w:lang w:val="en"/>
        </w:rPr>
        <w:t xml:space="preserve">acts </w:t>
      </w:r>
      <w:r w:rsidR="007027DD" w:rsidRPr="005F7871">
        <w:rPr>
          <w:lang w:val="en"/>
        </w:rPr>
        <w:t>are planned for adoption by the end of 2016.</w:t>
      </w:r>
    </w:p>
    <w:p w:rsidR="00C36D2D" w:rsidRDefault="007027DD" w:rsidP="001A283E">
      <w:pPr>
        <w:jc w:val="both"/>
        <w:rPr>
          <w:lang w:val="en"/>
        </w:rPr>
      </w:pPr>
      <w:r>
        <w:rPr>
          <w:lang w:val="en"/>
        </w:rPr>
        <w:t xml:space="preserve">A proposal </w:t>
      </w:r>
      <w:r w:rsidR="0025355F">
        <w:rPr>
          <w:lang w:val="en"/>
        </w:rPr>
        <w:t xml:space="preserve">made in 2014 </w:t>
      </w:r>
      <w:r>
        <w:rPr>
          <w:lang w:val="en"/>
        </w:rPr>
        <w:t xml:space="preserve">to simplify </w:t>
      </w:r>
      <w:r w:rsidRPr="00002899">
        <w:rPr>
          <w:b/>
          <w:i/>
          <w:lang w:val="en"/>
        </w:rPr>
        <w:t>organic farming</w:t>
      </w:r>
      <w:r>
        <w:rPr>
          <w:lang w:val="en"/>
        </w:rPr>
        <w:t xml:space="preserve"> provisions is pending in legislative procedure.</w:t>
      </w:r>
      <w:r w:rsidR="0025355F">
        <w:rPr>
          <w:lang w:val="en"/>
        </w:rPr>
        <w:t xml:space="preserve"> </w:t>
      </w:r>
      <w:r w:rsidR="0025355F" w:rsidRPr="001A283E">
        <w:rPr>
          <w:lang w:val="en"/>
        </w:rPr>
        <w:t>The initiative will modernise and harmonise the rules for organic production</w:t>
      </w:r>
      <w:r w:rsidR="00C36D2D" w:rsidRPr="001A283E">
        <w:rPr>
          <w:lang w:val="en"/>
        </w:rPr>
        <w:t xml:space="preserve"> and improve </w:t>
      </w:r>
      <w:r w:rsidR="0025355F" w:rsidRPr="001A283E">
        <w:rPr>
          <w:lang w:val="en"/>
        </w:rPr>
        <w:t>consumer confidence by exclu</w:t>
      </w:r>
      <w:r w:rsidR="00C36D2D" w:rsidRPr="001A283E">
        <w:rPr>
          <w:lang w:val="en"/>
        </w:rPr>
        <w:t xml:space="preserve">ding </w:t>
      </w:r>
      <w:r w:rsidR="0025355F" w:rsidRPr="001A283E">
        <w:rPr>
          <w:lang w:val="en"/>
        </w:rPr>
        <w:t>contaminated products and aligning controls.</w:t>
      </w:r>
      <w:r w:rsidR="00C36D2D" w:rsidRPr="001A283E">
        <w:rPr>
          <w:lang w:val="en"/>
        </w:rPr>
        <w:t xml:space="preserve"> The proposal foresees the elimination of 37 of the current 135 information obligations </w:t>
      </w:r>
      <w:r w:rsidR="0054733E">
        <w:rPr>
          <w:lang w:val="en"/>
        </w:rPr>
        <w:t>for</w:t>
      </w:r>
      <w:r w:rsidR="0054733E" w:rsidRPr="001A283E">
        <w:rPr>
          <w:lang w:val="en"/>
        </w:rPr>
        <w:t xml:space="preserve"> </w:t>
      </w:r>
      <w:r w:rsidR="00C36D2D" w:rsidRPr="001A283E">
        <w:rPr>
          <w:lang w:val="en"/>
        </w:rPr>
        <w:t>operators.</w:t>
      </w:r>
    </w:p>
    <w:p w:rsidR="004C6C15" w:rsidRPr="004C6C15" w:rsidRDefault="004C6C15" w:rsidP="004C6C15">
      <w:pPr>
        <w:jc w:val="both"/>
        <w:rPr>
          <w:lang w:val="en"/>
        </w:rPr>
      </w:pPr>
      <w:r w:rsidRPr="00696BF7">
        <w:rPr>
          <w:lang w:val="en"/>
        </w:rPr>
        <w:t xml:space="preserve">In </w:t>
      </w:r>
      <w:r>
        <w:rPr>
          <w:lang w:val="en"/>
        </w:rPr>
        <w:t xml:space="preserve">the area of </w:t>
      </w:r>
      <w:r w:rsidRPr="00002899">
        <w:rPr>
          <w:b/>
          <w:i/>
          <w:lang w:val="en"/>
        </w:rPr>
        <w:t>fisheries</w:t>
      </w:r>
      <w:r w:rsidRPr="00696BF7">
        <w:rPr>
          <w:lang w:val="en"/>
        </w:rPr>
        <w:t xml:space="preserve">, the </w:t>
      </w:r>
      <w:r w:rsidRPr="004C6C15">
        <w:rPr>
          <w:lang w:val="en"/>
        </w:rPr>
        <w:t xml:space="preserve">Commission proposed a set of </w:t>
      </w:r>
      <w:r w:rsidRPr="000135BE">
        <w:rPr>
          <w:lang w:val="en"/>
        </w:rPr>
        <w:t>simplified technical rules for the protection of marine organisms</w:t>
      </w:r>
      <w:r w:rsidRPr="00E405E8">
        <w:rPr>
          <w:lang w:val="en"/>
        </w:rPr>
        <w:t xml:space="preserve"> to support a sustainable fishing policy with rules easier to follow and better enforceable. In addition, the Commission adopted a simplified framework for </w:t>
      </w:r>
      <w:r w:rsidRPr="000135BE">
        <w:rPr>
          <w:lang w:val="en"/>
        </w:rPr>
        <w:t xml:space="preserve">fishing </w:t>
      </w:r>
      <w:r w:rsidRPr="000135BE">
        <w:rPr>
          <w:lang w:val="en"/>
        </w:rPr>
        <w:lastRenderedPageBreak/>
        <w:t>authorizations</w:t>
      </w:r>
      <w:r w:rsidRPr="004C6C15">
        <w:rPr>
          <w:lang w:val="en"/>
        </w:rPr>
        <w:t xml:space="preserve"> with the objective of reducing costs to ship owners and national authorities and allow for effective and efficient enforcement of rules. </w:t>
      </w:r>
    </w:p>
    <w:p w:rsidR="00121C79" w:rsidRPr="005F7871" w:rsidRDefault="00916D22" w:rsidP="00121C79">
      <w:pPr>
        <w:jc w:val="both"/>
        <w:rPr>
          <w:lang w:val="en"/>
        </w:rPr>
      </w:pPr>
      <w:r w:rsidRPr="00002899">
        <w:rPr>
          <w:b/>
          <w:i/>
          <w:u w:val="single"/>
          <w:lang w:val="en"/>
        </w:rPr>
        <w:t>Implementation on the ground</w:t>
      </w:r>
      <w:r w:rsidRPr="001A283E">
        <w:rPr>
          <w:b/>
          <w:i/>
          <w:lang w:val="en"/>
        </w:rPr>
        <w:t>:</w:t>
      </w:r>
      <w:r w:rsidR="00E51129">
        <w:rPr>
          <w:b/>
          <w:i/>
          <w:lang w:val="en"/>
        </w:rPr>
        <w:t xml:space="preserve"> </w:t>
      </w:r>
      <w:r w:rsidR="00121C79" w:rsidRPr="005F7871">
        <w:rPr>
          <w:lang w:val="en"/>
        </w:rPr>
        <w:t>Considerable cost savings to business, consumers and public administrations have been estimated for several initiatives in this priority area</w:t>
      </w:r>
      <w:r w:rsidR="00E839EC">
        <w:rPr>
          <w:lang w:val="en"/>
        </w:rPr>
        <w:t xml:space="preserve"> and confirmed by </w:t>
      </w:r>
      <w:r w:rsidR="00121C79" w:rsidRPr="005F7871">
        <w:rPr>
          <w:lang w:val="en"/>
        </w:rPr>
        <w:t xml:space="preserve">feedback </w:t>
      </w:r>
      <w:r w:rsidR="00E839EC">
        <w:rPr>
          <w:lang w:val="en"/>
        </w:rPr>
        <w:t xml:space="preserve">from </w:t>
      </w:r>
      <w:r w:rsidR="00121C79" w:rsidRPr="005F7871">
        <w:rPr>
          <w:lang w:val="en"/>
        </w:rPr>
        <w:t>Member States and stakeholders</w:t>
      </w:r>
      <w:r w:rsidR="00E839EC">
        <w:rPr>
          <w:lang w:val="en"/>
        </w:rPr>
        <w:t>:</w:t>
      </w:r>
    </w:p>
    <w:p w:rsidR="007027DD" w:rsidRPr="001A283E" w:rsidRDefault="00121C79" w:rsidP="001A283E">
      <w:pPr>
        <w:pStyle w:val="ListParagraph"/>
        <w:numPr>
          <w:ilvl w:val="0"/>
          <w:numId w:val="6"/>
        </w:numPr>
        <w:jc w:val="both"/>
      </w:pPr>
      <w:r w:rsidRPr="00002899">
        <w:rPr>
          <w:b/>
          <w:i/>
        </w:rPr>
        <w:t>Shipments of Waste</w:t>
      </w:r>
      <w:r w:rsidRPr="001A283E">
        <w:rPr>
          <w:i/>
        </w:rPr>
        <w:t>:</w:t>
      </w:r>
      <w:r w:rsidRPr="001A283E">
        <w:t xml:space="preserve"> Cost reductions on the ground have reached up to 70%</w:t>
      </w:r>
      <w:r w:rsidR="0054733E">
        <w:t>,</w:t>
      </w:r>
      <w:r w:rsidRPr="001A283E">
        <w:t xml:space="preserve"> exceeding initial estimations of 50% or </w:t>
      </w:r>
      <w:r w:rsidR="008D2B20">
        <w:t xml:space="preserve">EUR </w:t>
      </w:r>
      <w:r w:rsidRPr="001A283E">
        <w:t xml:space="preserve">44 </w:t>
      </w:r>
      <w:r w:rsidR="008D2B20">
        <w:t xml:space="preserve">million </w:t>
      </w:r>
      <w:r w:rsidRPr="001A283E">
        <w:t xml:space="preserve">per year. </w:t>
      </w:r>
    </w:p>
    <w:p w:rsidR="00121C79" w:rsidRDefault="00121C79" w:rsidP="001A283E">
      <w:pPr>
        <w:pStyle w:val="ListParagraph"/>
        <w:numPr>
          <w:ilvl w:val="0"/>
          <w:numId w:val="6"/>
        </w:numPr>
        <w:jc w:val="both"/>
      </w:pPr>
      <w:r w:rsidRPr="00002899">
        <w:rPr>
          <w:b/>
          <w:i/>
        </w:rPr>
        <w:t>Environmental Impact Assessments:</w:t>
      </w:r>
      <w:r w:rsidRPr="001A283E">
        <w:t xml:space="preserve"> Annual</w:t>
      </w:r>
      <w:r w:rsidRPr="005F7871">
        <w:t xml:space="preserve"> direct savings are estimated a</w:t>
      </w:r>
      <w:r w:rsidR="0054733E">
        <w:t>t</w:t>
      </w:r>
      <w:r w:rsidRPr="005F7871">
        <w:t xml:space="preserve"> </w:t>
      </w:r>
      <w:r w:rsidR="008D2B20">
        <w:t xml:space="preserve">EUR </w:t>
      </w:r>
      <w:r w:rsidRPr="005F7871">
        <w:t xml:space="preserve">21.4 </w:t>
      </w:r>
      <w:r w:rsidR="008D2B20">
        <w:t>million</w:t>
      </w:r>
      <w:r w:rsidR="008D2B20" w:rsidRPr="005F7871">
        <w:t xml:space="preserve"> </w:t>
      </w:r>
      <w:r w:rsidRPr="005F7871">
        <w:t xml:space="preserve">for business and up to 5.3 million </w:t>
      </w:r>
      <w:r w:rsidR="0054733E">
        <w:t>for</w:t>
      </w:r>
      <w:r w:rsidR="0054733E" w:rsidRPr="005F7871">
        <w:t xml:space="preserve"> </w:t>
      </w:r>
      <w:r w:rsidRPr="005F7871">
        <w:t>public administrations. Savings will be checked on the ground through an evaluation planned for 2018.</w:t>
      </w:r>
    </w:p>
    <w:p w:rsidR="002C573A" w:rsidRPr="005F7871" w:rsidRDefault="002C573A" w:rsidP="001A283E">
      <w:pPr>
        <w:pStyle w:val="ListParagraph"/>
        <w:numPr>
          <w:ilvl w:val="0"/>
          <w:numId w:val="6"/>
        </w:numPr>
        <w:jc w:val="both"/>
      </w:pPr>
      <w:r w:rsidRPr="00002899">
        <w:rPr>
          <w:b/>
          <w:i/>
        </w:rPr>
        <w:t>Egg Labelling</w:t>
      </w:r>
      <w:r w:rsidRPr="001A283E">
        <w:rPr>
          <w:i/>
        </w:rPr>
        <w:t>:</w:t>
      </w:r>
      <w:r>
        <w:t xml:space="preserve"> Member States who </w:t>
      </w:r>
      <w:r w:rsidRPr="001A283E">
        <w:t>fully implemented the requir</w:t>
      </w:r>
      <w:r w:rsidR="0025355F">
        <w:t>e</w:t>
      </w:r>
      <w:r w:rsidRPr="001A283E">
        <w:t>ments estimated cost reductions between 9% and 63% while initial estimations by the Commission amounted to 44% or approximately EUR 600 million.</w:t>
      </w:r>
    </w:p>
    <w:p w:rsidR="00121C79" w:rsidRDefault="007027DD" w:rsidP="00121C79">
      <w:pPr>
        <w:jc w:val="both"/>
        <w:rPr>
          <w:lang w:val="en"/>
        </w:rPr>
      </w:pPr>
      <w:r w:rsidRPr="001A283E">
        <w:t xml:space="preserve">However, in the case of </w:t>
      </w:r>
      <w:r w:rsidRPr="00002899">
        <w:rPr>
          <w:b/>
          <w:i/>
        </w:rPr>
        <w:t>W</w:t>
      </w:r>
      <w:r w:rsidRPr="00002899">
        <w:rPr>
          <w:b/>
          <w:i/>
          <w:lang w:val="en"/>
        </w:rPr>
        <w:t>aste of electrical and electronic equipment (WEEE)</w:t>
      </w:r>
      <w:r w:rsidRPr="001A283E">
        <w:rPr>
          <w:lang w:val="en"/>
        </w:rPr>
        <w:t xml:space="preserve"> s</w:t>
      </w:r>
      <w:r w:rsidR="00121C79" w:rsidRPr="007027DD">
        <w:rPr>
          <w:lang w:val="en"/>
        </w:rPr>
        <w:t>implification benefits could not fully be realized as Council and Parliament did not maintain the Commission's proposal for a single registration for all EU obligations</w:t>
      </w:r>
      <w:r w:rsidR="0054733E">
        <w:rPr>
          <w:lang w:val="en"/>
        </w:rPr>
        <w:t>,</w:t>
      </w:r>
      <w:r w:rsidR="00121C79" w:rsidRPr="007027DD">
        <w:rPr>
          <w:lang w:val="en"/>
        </w:rPr>
        <w:t xml:space="preserve"> with interoperability and data-transfer between Member State producer registers.</w:t>
      </w:r>
      <w:r w:rsidR="00E839EC">
        <w:rPr>
          <w:lang w:val="en"/>
        </w:rPr>
        <w:t xml:space="preserve"> </w:t>
      </w:r>
      <w:r w:rsidR="00A377C3">
        <w:rPr>
          <w:lang w:val="en"/>
        </w:rPr>
        <w:t>In 2017, the Commission will propose an i</w:t>
      </w:r>
      <w:r w:rsidR="00A377C3" w:rsidRPr="00696BF7">
        <w:rPr>
          <w:lang w:val="en"/>
        </w:rPr>
        <w:t>mplementing act on a standard format and frequency of reporting.</w:t>
      </w:r>
    </w:p>
    <w:p w:rsidR="00BE3012" w:rsidRDefault="00BE3012">
      <w:pPr>
        <w:rPr>
          <w:rFonts w:asciiTheme="majorHAnsi" w:eastAsiaTheme="majorEastAsia" w:hAnsiTheme="majorHAnsi" w:cstheme="majorBidi"/>
          <w:b/>
          <w:bCs/>
          <w:color w:val="365F91" w:themeColor="accent1" w:themeShade="BF"/>
          <w:sz w:val="40"/>
          <w:szCs w:val="40"/>
          <w:lang w:val="en"/>
        </w:rPr>
      </w:pPr>
      <w:r>
        <w:br w:type="page"/>
      </w:r>
    </w:p>
    <w:p w:rsidR="00464DAC" w:rsidRPr="002917E7" w:rsidRDefault="00464DAC" w:rsidP="002917E7">
      <w:pPr>
        <w:pStyle w:val="Heading1"/>
      </w:pPr>
      <w:bookmarkStart w:id="3" w:name="_Toc465076230"/>
      <w:r w:rsidRPr="002917E7">
        <w:lastRenderedPageBreak/>
        <w:t>Priority 2: A Connected Digital Single Market</w:t>
      </w:r>
      <w:bookmarkEnd w:id="3"/>
    </w:p>
    <w:p w:rsidR="00464DAC" w:rsidRPr="00A47073" w:rsidRDefault="00464DAC" w:rsidP="00A47073">
      <w:pPr>
        <w:pStyle w:val="Heading4"/>
        <w:numPr>
          <w:ilvl w:val="0"/>
          <w:numId w:val="39"/>
        </w:numPr>
        <w:rPr>
          <w:bCs w:val="0"/>
          <w:i w:val="0"/>
          <w:color w:val="365F91" w:themeColor="accent1" w:themeShade="BF"/>
          <w:sz w:val="28"/>
          <w:szCs w:val="28"/>
        </w:rPr>
      </w:pPr>
      <w:r w:rsidRPr="00A47073">
        <w:rPr>
          <w:bCs w:val="0"/>
          <w:i w:val="0"/>
          <w:color w:val="365F91" w:themeColor="accent1" w:themeShade="BF"/>
          <w:sz w:val="28"/>
          <w:szCs w:val="28"/>
        </w:rPr>
        <w:t>Context</w:t>
      </w:r>
    </w:p>
    <w:p w:rsidR="00F0075C" w:rsidRPr="00002899" w:rsidRDefault="00E05E50" w:rsidP="00464DAC">
      <w:pPr>
        <w:jc w:val="both"/>
        <w:rPr>
          <w:lang w:val="en"/>
        </w:rPr>
      </w:pPr>
      <w:r>
        <w:rPr>
          <w:lang w:val="en"/>
        </w:rPr>
        <w:br/>
      </w:r>
      <w:r w:rsidR="00464DAC" w:rsidRPr="002B7FD7">
        <w:rPr>
          <w:lang w:val="en"/>
        </w:rPr>
        <w:t>The Commission aims to create a Digital Single Market</w:t>
      </w:r>
      <w:r w:rsidR="00464DAC">
        <w:rPr>
          <w:lang w:val="en"/>
        </w:rPr>
        <w:t xml:space="preserve"> to make the EU's Single Market fit for the digital age</w:t>
      </w:r>
      <w:r w:rsidR="00464DAC" w:rsidRPr="00706358">
        <w:t xml:space="preserve"> </w:t>
      </w:r>
      <w:r w:rsidR="00464DAC" w:rsidRPr="00706358">
        <w:rPr>
          <w:lang w:val="en"/>
        </w:rPr>
        <w:t xml:space="preserve">– tearing down regulatory walls and moving from 28 national markets to a single </w:t>
      </w:r>
      <w:r w:rsidR="00390A46">
        <w:rPr>
          <w:lang w:val="en"/>
        </w:rPr>
        <w:t>European market</w:t>
      </w:r>
      <w:r w:rsidR="00464DAC" w:rsidRPr="00706358">
        <w:rPr>
          <w:lang w:val="en"/>
        </w:rPr>
        <w:t xml:space="preserve">. This could contribute </w:t>
      </w:r>
      <w:r w:rsidR="0054733E">
        <w:rPr>
          <w:lang w:val="en"/>
        </w:rPr>
        <w:t>EUR</w:t>
      </w:r>
      <w:r w:rsidR="007E762A">
        <w:rPr>
          <w:lang w:val="en"/>
        </w:rPr>
        <w:t xml:space="preserve"> </w:t>
      </w:r>
      <w:r w:rsidR="00464DAC" w:rsidRPr="00706358">
        <w:rPr>
          <w:lang w:val="en"/>
        </w:rPr>
        <w:t xml:space="preserve">415 billion per </w:t>
      </w:r>
      <w:r w:rsidR="00002899" w:rsidRPr="00706358">
        <w:rPr>
          <w:lang w:val="en"/>
        </w:rPr>
        <w:t>year</w:t>
      </w:r>
      <w:r w:rsidR="00DC32ED">
        <w:rPr>
          <w:lang w:val="en"/>
        </w:rPr>
        <w:t xml:space="preserve"> to</w:t>
      </w:r>
      <w:r w:rsidR="00002899" w:rsidRPr="00706358">
        <w:rPr>
          <w:lang w:val="en"/>
        </w:rPr>
        <w:t xml:space="preserve"> the</w:t>
      </w:r>
      <w:r w:rsidR="0054733E">
        <w:rPr>
          <w:lang w:val="en"/>
        </w:rPr>
        <w:t xml:space="preserve"> EU</w:t>
      </w:r>
      <w:r w:rsidR="0054733E" w:rsidRPr="00706358">
        <w:rPr>
          <w:lang w:val="en"/>
        </w:rPr>
        <w:t xml:space="preserve"> </w:t>
      </w:r>
      <w:r w:rsidR="00464DAC" w:rsidRPr="00706358">
        <w:rPr>
          <w:lang w:val="en"/>
        </w:rPr>
        <w:t>economy and create hundreds of thousands of new jobs</w:t>
      </w:r>
      <w:r w:rsidR="00464DAC">
        <w:rPr>
          <w:lang w:val="en"/>
        </w:rPr>
        <w:t xml:space="preserve">. </w:t>
      </w:r>
      <w:r w:rsidR="00464DAC" w:rsidRPr="00416514">
        <w:rPr>
          <w:rFonts w:cs="Arial"/>
          <w:lang w:val="en"/>
        </w:rPr>
        <w:t xml:space="preserve">Regulatory </w:t>
      </w:r>
      <w:r w:rsidR="00464DAC" w:rsidRPr="00416514">
        <w:rPr>
          <w:lang w:val="en"/>
        </w:rPr>
        <w:t xml:space="preserve">Fitness initiatives contribute to this objective </w:t>
      </w:r>
      <w:r w:rsidR="00464DAC">
        <w:rPr>
          <w:lang w:val="en"/>
        </w:rPr>
        <w:t>by b</w:t>
      </w:r>
      <w:r w:rsidR="00464DAC" w:rsidRPr="00574C3E">
        <w:rPr>
          <w:lang w:val="en"/>
        </w:rPr>
        <w:t>ringin</w:t>
      </w:r>
      <w:r w:rsidR="00464DAC">
        <w:rPr>
          <w:lang w:val="en"/>
        </w:rPr>
        <w:t>g down barriers and removing unnecessary costs, making the EU legislation fit for purpose. This leads to new opportunities for businesses and improves the offer to consumers.</w:t>
      </w:r>
      <w:r w:rsidR="00F0075C">
        <w:rPr>
          <w:lang w:val="en"/>
        </w:rPr>
        <w:t xml:space="preserve"> </w:t>
      </w:r>
      <w:r w:rsidR="00F0075C" w:rsidRPr="00002899">
        <w:rPr>
          <w:lang w:val="en"/>
        </w:rPr>
        <w:t>In order to release the full growth potential of a connected Digital Single Market, the Commission will deliver in 2017 a VAT package covering proposals on e-commerce, e-publications and e-books and initiatives on advancing the data economy.</w:t>
      </w:r>
    </w:p>
    <w:p w:rsidR="00464DAC" w:rsidRPr="00A47073" w:rsidRDefault="00464DAC" w:rsidP="00A47073">
      <w:pPr>
        <w:pStyle w:val="Heading4"/>
        <w:numPr>
          <w:ilvl w:val="0"/>
          <w:numId w:val="39"/>
        </w:numPr>
        <w:rPr>
          <w:bCs w:val="0"/>
          <w:i w:val="0"/>
          <w:color w:val="365F91" w:themeColor="accent1" w:themeShade="BF"/>
          <w:sz w:val="28"/>
          <w:szCs w:val="28"/>
        </w:rPr>
      </w:pPr>
      <w:r w:rsidRPr="00A47073">
        <w:rPr>
          <w:bCs w:val="0"/>
          <w:i w:val="0"/>
          <w:color w:val="365F91" w:themeColor="accent1" w:themeShade="BF"/>
          <w:sz w:val="28"/>
          <w:szCs w:val="28"/>
        </w:rPr>
        <w:t>New REFIT Initiatives</w:t>
      </w:r>
    </w:p>
    <w:p w:rsidR="00464DAC" w:rsidRPr="00B16775" w:rsidRDefault="006C275F" w:rsidP="003A4CF7">
      <w:pPr>
        <w:pStyle w:val="NormalWeb"/>
        <w:spacing w:line="276" w:lineRule="auto"/>
        <w:jc w:val="both"/>
        <w:rPr>
          <w:rFonts w:asciiTheme="minorHAnsi" w:hAnsiTheme="minorHAnsi" w:cs="Arial"/>
          <w:sz w:val="22"/>
          <w:szCs w:val="22"/>
        </w:rPr>
      </w:pPr>
      <w:r>
        <w:rPr>
          <w:lang w:val="en"/>
        </w:rPr>
        <w:br/>
      </w:r>
      <w:r w:rsidR="00EA2549" w:rsidRPr="00B16775">
        <w:rPr>
          <w:rFonts w:asciiTheme="minorHAnsi" w:hAnsiTheme="minorHAnsi"/>
          <w:b/>
          <w:i/>
          <w:sz w:val="22"/>
          <w:szCs w:val="22"/>
          <w:u w:val="single"/>
          <w:lang w:val="en"/>
        </w:rPr>
        <w:t xml:space="preserve">In its </w:t>
      </w:r>
      <w:r w:rsidR="00464DAC" w:rsidRPr="00B16775">
        <w:rPr>
          <w:rFonts w:asciiTheme="minorHAnsi" w:hAnsiTheme="minorHAnsi"/>
          <w:b/>
          <w:i/>
          <w:sz w:val="22"/>
          <w:szCs w:val="22"/>
          <w:u w:val="single"/>
          <w:lang w:val="en"/>
        </w:rPr>
        <w:t xml:space="preserve">Work Programme </w:t>
      </w:r>
      <w:r w:rsidR="00EA2549" w:rsidRPr="00B16775">
        <w:rPr>
          <w:rFonts w:asciiTheme="minorHAnsi" w:hAnsiTheme="minorHAnsi"/>
          <w:b/>
          <w:i/>
          <w:sz w:val="22"/>
          <w:szCs w:val="22"/>
          <w:u w:val="single"/>
          <w:lang w:val="en"/>
        </w:rPr>
        <w:t xml:space="preserve">for </w:t>
      </w:r>
      <w:r w:rsidR="00464DAC" w:rsidRPr="00B16775">
        <w:rPr>
          <w:rFonts w:asciiTheme="minorHAnsi" w:hAnsiTheme="minorHAnsi"/>
          <w:b/>
          <w:i/>
          <w:sz w:val="22"/>
          <w:szCs w:val="22"/>
          <w:u w:val="single"/>
          <w:lang w:val="en"/>
        </w:rPr>
        <w:t>2017</w:t>
      </w:r>
      <w:r w:rsidR="00464DAC" w:rsidRPr="00B16775">
        <w:rPr>
          <w:rFonts w:asciiTheme="minorHAnsi" w:hAnsiTheme="minorHAnsi"/>
          <w:sz w:val="22"/>
          <w:szCs w:val="22"/>
          <w:lang w:val="en"/>
        </w:rPr>
        <w:t xml:space="preserve">, the Commission </w:t>
      </w:r>
      <w:r w:rsidR="00EA2549" w:rsidRPr="00B16775">
        <w:rPr>
          <w:rFonts w:asciiTheme="minorHAnsi" w:hAnsiTheme="minorHAnsi"/>
          <w:sz w:val="22"/>
          <w:szCs w:val="22"/>
          <w:lang w:val="en"/>
        </w:rPr>
        <w:t xml:space="preserve">plans to </w:t>
      </w:r>
      <w:r w:rsidR="00464DAC" w:rsidRPr="00B16775">
        <w:rPr>
          <w:rFonts w:asciiTheme="minorHAnsi" w:hAnsiTheme="minorHAnsi"/>
          <w:sz w:val="22"/>
          <w:szCs w:val="22"/>
          <w:lang w:val="en"/>
        </w:rPr>
        <w:t>carry-out a legislative revision of the R</w:t>
      </w:r>
      <w:r w:rsidR="00464DAC" w:rsidRPr="00B16775">
        <w:rPr>
          <w:rFonts w:asciiTheme="minorHAnsi" w:hAnsiTheme="minorHAnsi"/>
          <w:noProof/>
          <w:sz w:val="22"/>
          <w:szCs w:val="22"/>
        </w:rPr>
        <w:t>egulations on</w:t>
      </w:r>
      <w:r w:rsidR="0079637A" w:rsidRPr="00B16775">
        <w:rPr>
          <w:rFonts w:asciiTheme="minorHAnsi" w:hAnsiTheme="minorHAnsi"/>
          <w:noProof/>
          <w:sz w:val="22"/>
          <w:szCs w:val="22"/>
        </w:rPr>
        <w:t xml:space="preserve"> the </w:t>
      </w:r>
      <w:r w:rsidR="0079637A" w:rsidRPr="00B16775">
        <w:rPr>
          <w:rFonts w:asciiTheme="minorHAnsi" w:hAnsiTheme="minorHAnsi"/>
          <w:b/>
          <w:i/>
          <w:noProof/>
          <w:sz w:val="22"/>
          <w:szCs w:val="22"/>
        </w:rPr>
        <w:t>European Agency for Network and Information Security (ENISA)</w:t>
      </w:r>
      <w:r w:rsidR="0079637A" w:rsidRPr="00B16775">
        <w:rPr>
          <w:rFonts w:asciiTheme="minorHAnsi" w:hAnsiTheme="minorHAnsi"/>
          <w:noProof/>
          <w:sz w:val="22"/>
          <w:szCs w:val="22"/>
        </w:rPr>
        <w:t xml:space="preserve"> and </w:t>
      </w:r>
      <w:r w:rsidR="0079637A" w:rsidRPr="007D6610">
        <w:rPr>
          <w:rFonts w:asciiTheme="minorHAnsi" w:hAnsiTheme="minorHAnsi"/>
          <w:noProof/>
          <w:sz w:val="22"/>
          <w:szCs w:val="22"/>
        </w:rPr>
        <w:t>o</w:t>
      </w:r>
      <w:r w:rsidR="007D6610" w:rsidRPr="007D6610">
        <w:rPr>
          <w:rFonts w:asciiTheme="minorHAnsi" w:hAnsiTheme="minorHAnsi"/>
          <w:noProof/>
          <w:sz w:val="22"/>
          <w:szCs w:val="22"/>
        </w:rPr>
        <w:t>n</w:t>
      </w:r>
      <w:r w:rsidR="007D6610" w:rsidRPr="00094D02">
        <w:rPr>
          <w:rFonts w:asciiTheme="minorHAnsi" w:hAnsiTheme="minorHAnsi"/>
          <w:noProof/>
          <w:sz w:val="22"/>
          <w:szCs w:val="22"/>
        </w:rPr>
        <w:t xml:space="preserve"> the</w:t>
      </w:r>
      <w:r w:rsidR="007D6610">
        <w:rPr>
          <w:rFonts w:asciiTheme="minorHAnsi" w:hAnsiTheme="minorHAnsi"/>
          <w:i/>
          <w:noProof/>
          <w:sz w:val="22"/>
          <w:szCs w:val="22"/>
        </w:rPr>
        <w:t xml:space="preserve"> </w:t>
      </w:r>
      <w:r w:rsidR="00464DAC" w:rsidRPr="00094D02">
        <w:rPr>
          <w:rFonts w:asciiTheme="minorHAnsi" w:hAnsiTheme="minorHAnsi"/>
          <w:b/>
          <w:i/>
          <w:noProof/>
          <w:sz w:val="22"/>
          <w:szCs w:val="22"/>
        </w:rPr>
        <w:t>“.eu” top-level domain</w:t>
      </w:r>
      <w:r w:rsidR="00464DAC" w:rsidRPr="00B16775">
        <w:rPr>
          <w:rFonts w:asciiTheme="minorHAnsi" w:hAnsiTheme="minorHAnsi"/>
          <w:noProof/>
          <w:sz w:val="22"/>
          <w:szCs w:val="22"/>
        </w:rPr>
        <w:t xml:space="preserve"> </w:t>
      </w:r>
      <w:r w:rsidR="0054733E" w:rsidRPr="00B16775">
        <w:rPr>
          <w:rFonts w:asciiTheme="minorHAnsi" w:hAnsiTheme="minorHAnsi"/>
          <w:noProof/>
          <w:sz w:val="22"/>
          <w:szCs w:val="22"/>
        </w:rPr>
        <w:t xml:space="preserve">which </w:t>
      </w:r>
      <w:r w:rsidR="00464DAC" w:rsidRPr="00B16775">
        <w:rPr>
          <w:rFonts w:asciiTheme="minorHAnsi" w:hAnsiTheme="minorHAnsi"/>
          <w:noProof/>
          <w:sz w:val="22"/>
          <w:szCs w:val="22"/>
        </w:rPr>
        <w:t>will be updated to changing marke</w:t>
      </w:r>
      <w:r w:rsidR="0054733E" w:rsidRPr="00B16775">
        <w:rPr>
          <w:rFonts w:asciiTheme="minorHAnsi" w:hAnsiTheme="minorHAnsi"/>
          <w:noProof/>
          <w:sz w:val="22"/>
          <w:szCs w:val="22"/>
        </w:rPr>
        <w:t>t</w:t>
      </w:r>
      <w:r w:rsidR="00464DAC" w:rsidRPr="00B16775">
        <w:rPr>
          <w:rFonts w:asciiTheme="minorHAnsi" w:hAnsiTheme="minorHAnsi"/>
          <w:noProof/>
          <w:sz w:val="22"/>
          <w:szCs w:val="22"/>
        </w:rPr>
        <w:t xml:space="preserve"> circumstances.</w:t>
      </w:r>
      <w:r w:rsidR="0003098F" w:rsidRPr="00B16775">
        <w:rPr>
          <w:rFonts w:asciiTheme="minorHAnsi" w:hAnsiTheme="minorHAnsi"/>
          <w:noProof/>
          <w:sz w:val="22"/>
          <w:szCs w:val="22"/>
        </w:rPr>
        <w:t xml:space="preserve"> The planned </w:t>
      </w:r>
      <w:r w:rsidR="00967200" w:rsidRPr="00B16775">
        <w:rPr>
          <w:rFonts w:asciiTheme="minorHAnsi" w:hAnsiTheme="minorHAnsi"/>
          <w:noProof/>
          <w:sz w:val="22"/>
          <w:szCs w:val="22"/>
        </w:rPr>
        <w:t xml:space="preserve">mid term </w:t>
      </w:r>
      <w:r w:rsidR="0003098F" w:rsidRPr="00B16775">
        <w:rPr>
          <w:rFonts w:asciiTheme="minorHAnsi" w:hAnsiTheme="minorHAnsi"/>
          <w:noProof/>
          <w:sz w:val="22"/>
          <w:szCs w:val="22"/>
        </w:rPr>
        <w:t xml:space="preserve">review of the implementation of the Digital Single market Agenda may identify further necessary proposals for the revision of existing legislation.  </w:t>
      </w:r>
    </w:p>
    <w:p w:rsidR="00B16775" w:rsidRPr="00B16775" w:rsidRDefault="00B16775" w:rsidP="003A4CF7">
      <w:pPr>
        <w:pStyle w:val="NormalWeb"/>
        <w:spacing w:line="276" w:lineRule="auto"/>
        <w:jc w:val="both"/>
        <w:rPr>
          <w:rFonts w:asciiTheme="minorHAnsi" w:hAnsiTheme="minorHAnsi" w:cs="Arial"/>
          <w:sz w:val="22"/>
          <w:szCs w:val="22"/>
        </w:rPr>
      </w:pPr>
      <w:r w:rsidRPr="00094D02">
        <w:rPr>
          <w:rFonts w:ascii="Calibri" w:hAnsi="Calibri" w:cs="Arial"/>
          <w:sz w:val="22"/>
          <w:szCs w:val="22"/>
          <w:u w:val="single"/>
          <w:lang w:val="en"/>
        </w:rPr>
        <w:t>New evaluations</w:t>
      </w:r>
      <w:r w:rsidRPr="00094D02">
        <w:rPr>
          <w:rFonts w:ascii="Calibri" w:hAnsi="Calibri" w:cs="Arial"/>
          <w:sz w:val="22"/>
          <w:szCs w:val="22"/>
          <w:lang w:val="en"/>
        </w:rPr>
        <w:t xml:space="preserve">:  In 2017, the Commission will carry out an evaluation of </w:t>
      </w:r>
      <w:r>
        <w:rPr>
          <w:rFonts w:ascii="Calibri" w:hAnsi="Calibri" w:cs="Arial"/>
          <w:sz w:val="22"/>
          <w:szCs w:val="22"/>
          <w:lang w:val="en"/>
        </w:rPr>
        <w:t>EU legislation on the legal protection of databases</w:t>
      </w:r>
      <w:r w:rsidRPr="00094D02">
        <w:rPr>
          <w:rFonts w:ascii="Calibri" w:hAnsi="Calibri" w:cs="Arial"/>
          <w:sz w:val="22"/>
          <w:szCs w:val="22"/>
          <w:lang w:val="en"/>
        </w:rPr>
        <w:t>.</w:t>
      </w:r>
    </w:p>
    <w:p w:rsidR="00464DAC" w:rsidRPr="00A47073" w:rsidRDefault="00464DAC" w:rsidP="00A47073">
      <w:pPr>
        <w:pStyle w:val="Heading4"/>
        <w:numPr>
          <w:ilvl w:val="0"/>
          <w:numId w:val="39"/>
        </w:numPr>
        <w:rPr>
          <w:bCs w:val="0"/>
          <w:i w:val="0"/>
          <w:color w:val="365F91" w:themeColor="accent1" w:themeShade="BF"/>
          <w:sz w:val="28"/>
          <w:szCs w:val="28"/>
        </w:rPr>
      </w:pPr>
      <w:r w:rsidRPr="00A47073">
        <w:rPr>
          <w:bCs w:val="0"/>
          <w:i w:val="0"/>
          <w:color w:val="365F91" w:themeColor="accent1" w:themeShade="BF"/>
          <w:sz w:val="28"/>
          <w:szCs w:val="28"/>
        </w:rPr>
        <w:t>Progress and Results</w:t>
      </w:r>
    </w:p>
    <w:p w:rsidR="00464DAC" w:rsidRPr="00E05E50" w:rsidRDefault="00E05E50" w:rsidP="00464DAC">
      <w:pPr>
        <w:jc w:val="both"/>
        <w:rPr>
          <w:rFonts w:eastAsia="Times New Roman"/>
          <w:b/>
          <w:i/>
          <w:lang w:val="en" w:eastAsia="en-GB"/>
        </w:rPr>
      </w:pPr>
      <w:r>
        <w:rPr>
          <w:lang w:val="en"/>
        </w:rPr>
        <w:br/>
      </w:r>
      <w:r w:rsidR="00464DAC" w:rsidRPr="00002899">
        <w:rPr>
          <w:rFonts w:eastAsia="Times New Roman"/>
          <w:b/>
          <w:i/>
          <w:u w:val="single"/>
          <w:lang w:val="en" w:eastAsia="en-GB"/>
        </w:rPr>
        <w:t xml:space="preserve">Evaluations and </w:t>
      </w:r>
      <w:r w:rsidR="00E405E8" w:rsidRPr="00002899">
        <w:rPr>
          <w:rFonts w:eastAsia="Times New Roman"/>
          <w:b/>
          <w:i/>
          <w:u w:val="single"/>
          <w:lang w:val="en" w:eastAsia="en-GB"/>
        </w:rPr>
        <w:t>f</w:t>
      </w:r>
      <w:r w:rsidR="00464DAC" w:rsidRPr="00002899">
        <w:rPr>
          <w:rFonts w:eastAsia="Times New Roman"/>
          <w:b/>
          <w:i/>
          <w:u w:val="single"/>
          <w:lang w:val="en" w:eastAsia="en-GB"/>
        </w:rPr>
        <w:t>ollow-up</w:t>
      </w:r>
      <w:r w:rsidR="00464DAC" w:rsidRPr="00E05E50">
        <w:rPr>
          <w:rFonts w:eastAsia="Times New Roman"/>
          <w:b/>
          <w:i/>
          <w:lang w:val="en" w:eastAsia="en-GB"/>
        </w:rPr>
        <w:t xml:space="preserve">: </w:t>
      </w:r>
      <w:r w:rsidR="00464DAC" w:rsidRPr="00E05E50">
        <w:rPr>
          <w:rFonts w:eastAsia="Times New Roman"/>
          <w:lang w:val="en" w:eastAsia="en-GB"/>
        </w:rPr>
        <w:t xml:space="preserve">Four regulatory evaluations have delivered results during 2016 and </w:t>
      </w:r>
      <w:r w:rsidR="003E41DF">
        <w:rPr>
          <w:rFonts w:eastAsia="Times New Roman"/>
          <w:lang w:val="en" w:eastAsia="en-GB"/>
        </w:rPr>
        <w:t xml:space="preserve">will </w:t>
      </w:r>
      <w:r w:rsidR="00464DAC" w:rsidRPr="00E05E50">
        <w:rPr>
          <w:rFonts w:eastAsia="Times New Roman"/>
          <w:lang w:val="en" w:eastAsia="en-GB"/>
        </w:rPr>
        <w:t xml:space="preserve">all </w:t>
      </w:r>
      <w:r w:rsidR="003E41DF">
        <w:rPr>
          <w:rFonts w:eastAsia="Times New Roman"/>
          <w:lang w:val="en" w:eastAsia="en-GB"/>
        </w:rPr>
        <w:t xml:space="preserve">be </w:t>
      </w:r>
      <w:r w:rsidR="00464DAC" w:rsidRPr="00E05E50">
        <w:rPr>
          <w:rFonts w:eastAsia="Times New Roman"/>
          <w:lang w:val="en" w:eastAsia="en-GB"/>
        </w:rPr>
        <w:t>followed-up by legislative reviews</w:t>
      </w:r>
      <w:r w:rsidR="003E41DF">
        <w:rPr>
          <w:rFonts w:eastAsia="Times New Roman"/>
          <w:lang w:val="en" w:eastAsia="en-GB"/>
        </w:rPr>
        <w:t xml:space="preserve"> within the year</w:t>
      </w:r>
      <w:r w:rsidR="00464DAC" w:rsidRPr="00E05E50">
        <w:rPr>
          <w:rFonts w:eastAsia="Times New Roman"/>
          <w:lang w:val="en" w:eastAsia="en-GB"/>
        </w:rPr>
        <w:t xml:space="preserve">. This concerns </w:t>
      </w:r>
      <w:r w:rsidR="003E41DF">
        <w:rPr>
          <w:rFonts w:eastAsia="Times New Roman"/>
          <w:lang w:val="en" w:eastAsia="en-GB"/>
        </w:rPr>
        <w:t xml:space="preserve">the following </w:t>
      </w:r>
      <w:r w:rsidR="00464DAC" w:rsidRPr="00E05E50">
        <w:rPr>
          <w:rFonts w:eastAsia="Times New Roman"/>
          <w:lang w:val="en" w:eastAsia="en-GB"/>
        </w:rPr>
        <w:t>Directives</w:t>
      </w:r>
      <w:r w:rsidR="003E41DF">
        <w:rPr>
          <w:rFonts w:eastAsia="Times New Roman"/>
          <w:lang w:val="en" w:eastAsia="en-GB"/>
        </w:rPr>
        <w:t>:</w:t>
      </w:r>
    </w:p>
    <w:p w:rsidR="00464DAC" w:rsidRPr="00E05E50" w:rsidRDefault="00464DAC" w:rsidP="003A4CF7">
      <w:pPr>
        <w:pStyle w:val="ListParagraph"/>
        <w:numPr>
          <w:ilvl w:val="0"/>
          <w:numId w:val="7"/>
        </w:numPr>
        <w:spacing w:after="0"/>
        <w:ind w:left="714" w:hanging="357"/>
        <w:jc w:val="both"/>
        <w:rPr>
          <w:rFonts w:asciiTheme="minorHAnsi" w:hAnsiTheme="minorHAnsi"/>
        </w:rPr>
      </w:pPr>
      <w:r w:rsidRPr="00002899">
        <w:rPr>
          <w:rFonts w:asciiTheme="minorHAnsi" w:hAnsiTheme="minorHAnsi"/>
          <w:b/>
          <w:i/>
        </w:rPr>
        <w:t>Mini One-Stop-Shop</w:t>
      </w:r>
      <w:r w:rsidR="00967200" w:rsidRPr="00BE3012">
        <w:t xml:space="preserve">: </w:t>
      </w:r>
      <w:r w:rsidR="00083C04">
        <w:t xml:space="preserve">The existing one-stop shop </w:t>
      </w:r>
      <w:r w:rsidRPr="00475F50">
        <w:t>allow</w:t>
      </w:r>
      <w:r w:rsidR="00472CBC">
        <w:t>s</w:t>
      </w:r>
      <w:r w:rsidRPr="000E5CFA">
        <w:t xml:space="preserve"> businesses in the areas of</w:t>
      </w:r>
      <w:r w:rsidRPr="00E05E50">
        <w:t xml:space="preserve"> telecom, broadcasting and electronic consumer services to declare and pay VAT in the Member State where they are established rather than where their customers are resident. </w:t>
      </w:r>
      <w:r w:rsidRPr="00E05E50">
        <w:rPr>
          <w:rFonts w:asciiTheme="minorHAnsi" w:hAnsiTheme="minorHAnsi"/>
        </w:rPr>
        <w:t xml:space="preserve">By the end of 2016, the Commission will present a </w:t>
      </w:r>
      <w:r w:rsidR="00083C04">
        <w:rPr>
          <w:rFonts w:asciiTheme="minorHAnsi" w:hAnsiTheme="minorHAnsi"/>
        </w:rPr>
        <w:t xml:space="preserve">further </w:t>
      </w:r>
      <w:r w:rsidRPr="00E05E50">
        <w:rPr>
          <w:rFonts w:asciiTheme="minorHAnsi" w:hAnsiTheme="minorHAnsi"/>
        </w:rPr>
        <w:t>legislative proposal to modernise and simplify VAT for cross-border e-commerce, in particular for SMEs. This will include</w:t>
      </w:r>
      <w:r w:rsidRPr="00E05E50">
        <w:rPr>
          <w:rFonts w:asciiTheme="minorHAnsi" w:hAnsiTheme="minorHAnsi"/>
          <w:color w:val="000000"/>
        </w:rPr>
        <w:t xml:space="preserve"> </w:t>
      </w:r>
      <w:r w:rsidRPr="00E05E50">
        <w:rPr>
          <w:rFonts w:asciiTheme="minorHAnsi" w:hAnsiTheme="minorHAnsi"/>
        </w:rPr>
        <w:t>extending the One</w:t>
      </w:r>
      <w:r w:rsidR="0054733E">
        <w:rPr>
          <w:rFonts w:asciiTheme="minorHAnsi" w:hAnsiTheme="minorHAnsi"/>
        </w:rPr>
        <w:t>-</w:t>
      </w:r>
      <w:r w:rsidRPr="00E05E50">
        <w:rPr>
          <w:rFonts w:asciiTheme="minorHAnsi" w:hAnsiTheme="minorHAnsi"/>
        </w:rPr>
        <w:t>Stop</w:t>
      </w:r>
      <w:r w:rsidR="0054733E">
        <w:rPr>
          <w:rFonts w:asciiTheme="minorHAnsi" w:hAnsiTheme="minorHAnsi"/>
        </w:rPr>
        <w:t>-</w:t>
      </w:r>
      <w:r w:rsidRPr="00E05E50">
        <w:rPr>
          <w:rFonts w:asciiTheme="minorHAnsi" w:hAnsiTheme="minorHAnsi"/>
        </w:rPr>
        <w:t xml:space="preserve">Shop to online sales of tangible goods to final consumers. The estimated saving to business is </w:t>
      </w:r>
      <w:r w:rsidR="0054733E">
        <w:rPr>
          <w:rFonts w:asciiTheme="minorHAnsi" w:hAnsiTheme="minorHAnsi"/>
        </w:rPr>
        <w:t>EUR</w:t>
      </w:r>
      <w:r w:rsidRPr="00E05E50">
        <w:rPr>
          <w:rFonts w:asciiTheme="minorHAnsi" w:hAnsiTheme="minorHAnsi"/>
        </w:rPr>
        <w:t xml:space="preserve"> 2.3 billion a year. </w:t>
      </w:r>
    </w:p>
    <w:p w:rsidR="00464DAC" w:rsidRPr="00E05E50" w:rsidRDefault="00464DAC" w:rsidP="003A4CF7">
      <w:pPr>
        <w:pStyle w:val="ListParagraph"/>
        <w:numPr>
          <w:ilvl w:val="0"/>
          <w:numId w:val="7"/>
        </w:numPr>
        <w:ind w:left="714" w:hanging="357"/>
        <w:jc w:val="both"/>
        <w:rPr>
          <w:rFonts w:asciiTheme="minorHAnsi" w:hAnsiTheme="minorHAnsi"/>
        </w:rPr>
      </w:pPr>
      <w:r w:rsidRPr="00002899">
        <w:rPr>
          <w:rFonts w:asciiTheme="minorHAnsi" w:hAnsiTheme="minorHAnsi"/>
          <w:b/>
          <w:i/>
        </w:rPr>
        <w:t>Audio-visual Media Services</w:t>
      </w:r>
      <w:r w:rsidRPr="00E05E50">
        <w:rPr>
          <w:rFonts w:asciiTheme="minorHAnsi" w:hAnsiTheme="minorHAnsi"/>
          <w:i/>
        </w:rPr>
        <w:t>:</w:t>
      </w:r>
      <w:r w:rsidRPr="00E05E50">
        <w:rPr>
          <w:rFonts w:asciiTheme="minorHAnsi" w:hAnsiTheme="minorHAnsi"/>
        </w:rPr>
        <w:t xml:space="preserve"> The Commission proposal</w:t>
      </w:r>
      <w:r w:rsidR="003E41DF">
        <w:rPr>
          <w:rFonts w:asciiTheme="minorHAnsi" w:hAnsiTheme="minorHAnsi"/>
        </w:rPr>
        <w:t xml:space="preserve"> [</w:t>
      </w:r>
      <w:r w:rsidR="00BE3012" w:rsidRPr="00475F50">
        <w:rPr>
          <w:rFonts w:asciiTheme="minorHAnsi" w:hAnsiTheme="minorHAnsi"/>
        </w:rPr>
        <w:t>COM(2016)287</w:t>
      </w:r>
      <w:r w:rsidR="003E41DF">
        <w:rPr>
          <w:rFonts w:asciiTheme="minorHAnsi" w:hAnsiTheme="minorHAnsi"/>
        </w:rPr>
        <w:t>]</w:t>
      </w:r>
      <w:r w:rsidRPr="00E05E50">
        <w:rPr>
          <w:rFonts w:asciiTheme="minorHAnsi" w:hAnsiTheme="minorHAnsi"/>
        </w:rPr>
        <w:t xml:space="preserve"> will bring simplification and more flexibility to current rules. T</w:t>
      </w:r>
      <w:r w:rsidRPr="00E05E50">
        <w:rPr>
          <w:rFonts w:asciiTheme="minorHAnsi" w:eastAsia="Times New Roman" w:hAnsiTheme="minorHAnsi"/>
          <w:noProof/>
        </w:rPr>
        <w:t xml:space="preserve">he economic benefit could amount to EUR 122 million for a single TV broadcaster or to </w:t>
      </w:r>
      <w:r w:rsidR="0054733E">
        <w:rPr>
          <w:rFonts w:asciiTheme="minorHAnsi" w:eastAsia="Times New Roman" w:hAnsiTheme="minorHAnsi"/>
          <w:noProof/>
        </w:rPr>
        <w:t xml:space="preserve">EUR </w:t>
      </w:r>
      <w:r w:rsidRPr="00E05E50">
        <w:rPr>
          <w:rFonts w:asciiTheme="minorHAnsi" w:eastAsia="Times New Roman" w:hAnsiTheme="minorHAnsi"/>
          <w:noProof/>
        </w:rPr>
        <w:t>441 million per year EU-wide for sponsorship.</w:t>
      </w:r>
    </w:p>
    <w:p w:rsidR="00464DAC" w:rsidRPr="00782BA0" w:rsidRDefault="00464DAC" w:rsidP="003A4CF7">
      <w:pPr>
        <w:pStyle w:val="ListParagraph"/>
        <w:numPr>
          <w:ilvl w:val="0"/>
          <w:numId w:val="7"/>
        </w:numPr>
        <w:ind w:left="714" w:hanging="357"/>
        <w:jc w:val="both"/>
        <w:rPr>
          <w:rFonts w:asciiTheme="minorHAnsi" w:hAnsiTheme="minorHAnsi"/>
        </w:rPr>
      </w:pPr>
      <w:r w:rsidRPr="00002899">
        <w:rPr>
          <w:rFonts w:asciiTheme="minorHAnsi" w:hAnsiTheme="minorHAnsi"/>
          <w:b/>
          <w:i/>
        </w:rPr>
        <w:t>The Satellite and Cable Directive</w:t>
      </w:r>
      <w:r w:rsidR="00BE3012" w:rsidRPr="00475F50">
        <w:rPr>
          <w:rFonts w:asciiTheme="minorHAnsi" w:hAnsiTheme="minorHAnsi"/>
          <w:i/>
        </w:rPr>
        <w:t>:</w:t>
      </w:r>
      <w:r w:rsidR="003E41DF">
        <w:rPr>
          <w:rFonts w:asciiTheme="minorHAnsi" w:hAnsiTheme="minorHAnsi"/>
        </w:rPr>
        <w:t xml:space="preserve"> </w:t>
      </w:r>
      <w:r w:rsidR="00967200">
        <w:rPr>
          <w:rFonts w:asciiTheme="minorHAnsi" w:hAnsiTheme="minorHAnsi"/>
        </w:rPr>
        <w:t xml:space="preserve">The initiative </w:t>
      </w:r>
      <w:r w:rsidR="00390A46" w:rsidRPr="000135BE">
        <w:rPr>
          <w:rFonts w:asciiTheme="minorHAnsi" w:hAnsiTheme="minorHAnsi"/>
        </w:rPr>
        <w:t>[COM(2016)594]</w:t>
      </w:r>
      <w:r w:rsidR="00390A46">
        <w:rPr>
          <w:rFonts w:asciiTheme="minorHAnsi" w:hAnsiTheme="minorHAnsi"/>
        </w:rPr>
        <w:t xml:space="preserve"> </w:t>
      </w:r>
      <w:r w:rsidRPr="00782BA0">
        <w:rPr>
          <w:rFonts w:asciiTheme="minorHAnsi" w:hAnsiTheme="minorHAnsi"/>
        </w:rPr>
        <w:t xml:space="preserve">aims to enhance cross-border access to broadcasting and related online services across the EU. Removing barriers in the digital single market will reward creators and creativity and strengthen the EU's </w:t>
      </w:r>
      <w:r w:rsidRPr="00782BA0">
        <w:rPr>
          <w:rFonts w:asciiTheme="minorHAnsi" w:hAnsiTheme="minorHAnsi"/>
        </w:rPr>
        <w:lastRenderedPageBreak/>
        <w:t xml:space="preserve">broadcasting sector while giving consumers access to a wider variety of content across borders. </w:t>
      </w:r>
    </w:p>
    <w:p w:rsidR="00464DAC" w:rsidRPr="00781D31" w:rsidRDefault="00464DAC" w:rsidP="003A4CF7">
      <w:pPr>
        <w:pStyle w:val="ListParagraph"/>
        <w:numPr>
          <w:ilvl w:val="0"/>
          <w:numId w:val="7"/>
        </w:numPr>
        <w:spacing w:after="0"/>
        <w:ind w:left="714" w:hanging="357"/>
        <w:jc w:val="both"/>
        <w:rPr>
          <w:rFonts w:asciiTheme="minorHAnsi" w:hAnsiTheme="minorHAnsi"/>
          <w:sz w:val="24"/>
          <w:szCs w:val="24"/>
        </w:rPr>
      </w:pPr>
      <w:r w:rsidRPr="00002899">
        <w:rPr>
          <w:rFonts w:asciiTheme="minorHAnsi" w:hAnsiTheme="minorHAnsi"/>
          <w:b/>
          <w:i/>
        </w:rPr>
        <w:t>The Telecoms regulatory framework</w:t>
      </w:r>
      <w:r w:rsidR="00967200">
        <w:rPr>
          <w:rFonts w:asciiTheme="minorHAnsi" w:hAnsiTheme="minorHAnsi"/>
          <w:i/>
        </w:rPr>
        <w:t>:</w:t>
      </w:r>
      <w:r w:rsidRPr="0055542D">
        <w:rPr>
          <w:rFonts w:asciiTheme="minorHAnsi" w:hAnsiTheme="minorHAnsi"/>
        </w:rPr>
        <w:t xml:space="preserve"> </w:t>
      </w:r>
      <w:r w:rsidR="00967200">
        <w:rPr>
          <w:rFonts w:asciiTheme="minorHAnsi" w:hAnsiTheme="minorHAnsi"/>
        </w:rPr>
        <w:t xml:space="preserve">This </w:t>
      </w:r>
      <w:r w:rsidRPr="0055542D">
        <w:rPr>
          <w:rFonts w:asciiTheme="minorHAnsi" w:hAnsiTheme="minorHAnsi"/>
        </w:rPr>
        <w:t xml:space="preserve">has been reviewed </w:t>
      </w:r>
      <w:r w:rsidR="003E41DF">
        <w:rPr>
          <w:rFonts w:asciiTheme="minorHAnsi" w:hAnsiTheme="minorHAnsi"/>
        </w:rPr>
        <w:t>[</w:t>
      </w:r>
      <w:r w:rsidR="00475F50" w:rsidRPr="00475F50">
        <w:rPr>
          <w:rFonts w:asciiTheme="minorHAnsi" w:hAnsiTheme="minorHAnsi"/>
        </w:rPr>
        <w:t>COM(2016)590</w:t>
      </w:r>
      <w:r w:rsidR="003E41DF">
        <w:rPr>
          <w:rFonts w:asciiTheme="minorHAnsi" w:hAnsiTheme="minorHAnsi"/>
        </w:rPr>
        <w:t>]</w:t>
      </w:r>
      <w:r w:rsidR="00475F50">
        <w:rPr>
          <w:rFonts w:asciiTheme="minorHAnsi" w:hAnsiTheme="minorHAnsi"/>
        </w:rPr>
        <w:t xml:space="preserve"> </w:t>
      </w:r>
      <w:r w:rsidRPr="0055542D">
        <w:rPr>
          <w:rFonts w:asciiTheme="minorHAnsi" w:hAnsiTheme="minorHAnsi"/>
        </w:rPr>
        <w:t>to keep up with technological progress such as 5G. Costs resulting from market reviews could be reduced by 10-15%.</w:t>
      </w:r>
    </w:p>
    <w:p w:rsidR="00464DAC" w:rsidRPr="00781D31" w:rsidRDefault="00475F50" w:rsidP="000135BE">
      <w:pPr>
        <w:jc w:val="both"/>
      </w:pPr>
      <w:r>
        <w:rPr>
          <w:rFonts w:eastAsia="Times New Roman"/>
          <w:b/>
          <w:i/>
          <w:lang w:val="en" w:eastAsia="en-GB"/>
        </w:rPr>
        <w:br/>
      </w:r>
      <w:r w:rsidR="00E405E8" w:rsidRPr="00002899">
        <w:rPr>
          <w:rFonts w:eastAsia="Times New Roman"/>
          <w:b/>
          <w:i/>
          <w:u w:val="single"/>
          <w:lang w:val="en" w:eastAsia="en-GB"/>
        </w:rPr>
        <w:t>Pending p</w:t>
      </w:r>
      <w:r w:rsidR="007D4B40" w:rsidRPr="00002899">
        <w:rPr>
          <w:rFonts w:eastAsia="Times New Roman"/>
          <w:b/>
          <w:i/>
          <w:u w:val="single"/>
          <w:lang w:val="en" w:eastAsia="en-GB"/>
        </w:rPr>
        <w:t xml:space="preserve">roposals and </w:t>
      </w:r>
      <w:r w:rsidR="00E405E8" w:rsidRPr="00002899">
        <w:rPr>
          <w:rFonts w:eastAsia="Times New Roman"/>
          <w:b/>
          <w:i/>
          <w:u w:val="single"/>
          <w:lang w:val="en" w:eastAsia="en-GB"/>
        </w:rPr>
        <w:t>a</w:t>
      </w:r>
      <w:r w:rsidR="00306026" w:rsidRPr="00002899">
        <w:rPr>
          <w:rFonts w:eastAsia="Times New Roman"/>
          <w:b/>
          <w:i/>
          <w:u w:val="single"/>
          <w:lang w:val="en" w:eastAsia="en-GB"/>
        </w:rPr>
        <w:t xml:space="preserve">dopted </w:t>
      </w:r>
      <w:r w:rsidR="00E405E8" w:rsidRPr="00002899">
        <w:rPr>
          <w:rFonts w:eastAsia="Times New Roman"/>
          <w:b/>
          <w:i/>
          <w:u w:val="single"/>
          <w:lang w:val="en" w:eastAsia="en-GB"/>
        </w:rPr>
        <w:t>legal acts</w:t>
      </w:r>
      <w:r w:rsidR="00464DAC">
        <w:rPr>
          <w:rFonts w:eastAsia="Times New Roman"/>
          <w:b/>
          <w:i/>
          <w:lang w:val="en" w:eastAsia="en-GB"/>
        </w:rPr>
        <w:t>:</w:t>
      </w:r>
      <w:r w:rsidR="00464DAC">
        <w:t xml:space="preserve"> In 2016, the legislator adopted the Commission's proposal on </w:t>
      </w:r>
      <w:bookmarkStart w:id="4" w:name="NIS_Summary"/>
      <w:r w:rsidR="00464DAC" w:rsidRPr="00781D31">
        <w:t xml:space="preserve">Strengthening </w:t>
      </w:r>
      <w:r w:rsidR="00464DAC" w:rsidRPr="00002899">
        <w:rPr>
          <w:b/>
          <w:i/>
        </w:rPr>
        <w:t>Network and Information Security</w:t>
      </w:r>
      <w:bookmarkEnd w:id="4"/>
      <w:r w:rsidR="00464DAC">
        <w:t xml:space="preserve">. The new Directive for </w:t>
      </w:r>
      <w:r w:rsidR="00464DAC" w:rsidRPr="00002899">
        <w:rPr>
          <w:b/>
          <w:i/>
        </w:rPr>
        <w:t xml:space="preserve">collective rights management </w:t>
      </w:r>
      <w:r w:rsidR="00873C48" w:rsidRPr="00002899">
        <w:rPr>
          <w:b/>
          <w:i/>
        </w:rPr>
        <w:t xml:space="preserve">of </w:t>
      </w:r>
      <w:r w:rsidR="00464DAC" w:rsidRPr="00002899">
        <w:rPr>
          <w:b/>
          <w:i/>
        </w:rPr>
        <w:t>musical works (CRM Directive)</w:t>
      </w:r>
      <w:r w:rsidR="00464DAC">
        <w:t xml:space="preserve"> had to be transposed by Member States by April 2016.</w:t>
      </w:r>
    </w:p>
    <w:p w:rsidR="00464DAC" w:rsidRDefault="00464DAC" w:rsidP="003A4CF7">
      <w:pPr>
        <w:pStyle w:val="ListParagraph"/>
        <w:numPr>
          <w:ilvl w:val="0"/>
          <w:numId w:val="7"/>
        </w:numPr>
        <w:spacing w:after="0"/>
        <w:ind w:left="714" w:hanging="357"/>
        <w:jc w:val="both"/>
        <w:rPr>
          <w:rFonts w:asciiTheme="minorHAnsi" w:hAnsiTheme="minorHAnsi"/>
        </w:rPr>
      </w:pPr>
      <w:r w:rsidRPr="00002899">
        <w:rPr>
          <w:rFonts w:asciiTheme="minorHAnsi" w:hAnsiTheme="minorHAnsi"/>
          <w:b/>
          <w:i/>
        </w:rPr>
        <w:t>Network and Information Security (NIS):</w:t>
      </w:r>
      <w:r w:rsidRPr="00781D31">
        <w:rPr>
          <w:rFonts w:asciiTheme="minorHAnsi" w:hAnsiTheme="minorHAnsi"/>
          <w:i/>
        </w:rPr>
        <w:t xml:space="preserve"> </w:t>
      </w:r>
      <w:r w:rsidRPr="00781D31">
        <w:rPr>
          <w:rFonts w:asciiTheme="minorHAnsi" w:hAnsiTheme="minorHAnsi"/>
        </w:rPr>
        <w:t xml:space="preserve">The </w:t>
      </w:r>
      <w:r w:rsidRPr="003C5E84">
        <w:rPr>
          <w:rFonts w:asciiTheme="minorHAnsi" w:hAnsiTheme="minorHAnsi"/>
        </w:rPr>
        <w:t xml:space="preserve">new act will </w:t>
      </w:r>
      <w:r w:rsidRPr="00781D31">
        <w:rPr>
          <w:rFonts w:asciiTheme="minorHAnsi" w:hAnsiTheme="minorHAnsi"/>
        </w:rPr>
        <w:t>reinforc</w:t>
      </w:r>
      <w:r w:rsidRPr="003C5E84">
        <w:rPr>
          <w:rFonts w:asciiTheme="minorHAnsi" w:hAnsiTheme="minorHAnsi"/>
        </w:rPr>
        <w:t>e</w:t>
      </w:r>
      <w:r w:rsidRPr="0057736A">
        <w:rPr>
          <w:rFonts w:asciiTheme="minorHAnsi" w:hAnsiTheme="minorHAnsi"/>
        </w:rPr>
        <w:t xml:space="preserve"> cyber-security</w:t>
      </w:r>
      <w:r w:rsidRPr="00750012">
        <w:rPr>
          <w:rFonts w:asciiTheme="minorHAnsi" w:hAnsiTheme="minorHAnsi"/>
        </w:rPr>
        <w:t xml:space="preserve"> and increase confidence in the digital economy</w:t>
      </w:r>
      <w:r w:rsidRPr="00781D31">
        <w:rPr>
          <w:rFonts w:asciiTheme="minorHAnsi" w:hAnsiTheme="minorHAnsi"/>
        </w:rPr>
        <w:t>.  Micro-enterprises have been exempted from some notification requirements.</w:t>
      </w:r>
    </w:p>
    <w:p w:rsidR="00464DAC" w:rsidRPr="00781D31" w:rsidRDefault="00464DAC" w:rsidP="003A4CF7">
      <w:pPr>
        <w:pStyle w:val="ListParagraph"/>
        <w:numPr>
          <w:ilvl w:val="0"/>
          <w:numId w:val="7"/>
        </w:numPr>
        <w:spacing w:after="0"/>
        <w:ind w:left="714" w:hanging="357"/>
        <w:jc w:val="both"/>
        <w:rPr>
          <w:rFonts w:asciiTheme="minorHAnsi" w:hAnsiTheme="minorHAnsi"/>
          <w:i/>
        </w:rPr>
      </w:pPr>
      <w:r w:rsidRPr="001D1110">
        <w:rPr>
          <w:rFonts w:asciiTheme="minorHAnsi" w:hAnsiTheme="minorHAnsi"/>
          <w:b/>
          <w:i/>
        </w:rPr>
        <w:t>The Directive on Collective Rights Management (CRM)</w:t>
      </w:r>
      <w:r w:rsidR="00873C48" w:rsidRPr="001D1110">
        <w:rPr>
          <w:rFonts w:asciiTheme="minorHAnsi" w:hAnsiTheme="minorHAnsi"/>
          <w:b/>
          <w:i/>
        </w:rPr>
        <w:t>:</w:t>
      </w:r>
      <w:r w:rsidRPr="00EE793F">
        <w:rPr>
          <w:rFonts w:asciiTheme="minorHAnsi" w:hAnsiTheme="minorHAnsi"/>
          <w:i/>
        </w:rPr>
        <w:t xml:space="preserve"> </w:t>
      </w:r>
      <w:r w:rsidRPr="00273A79">
        <w:rPr>
          <w:rFonts w:asciiTheme="minorHAnsi" w:hAnsiTheme="minorHAnsi"/>
        </w:rPr>
        <w:t xml:space="preserve"> </w:t>
      </w:r>
      <w:r w:rsidR="00967200">
        <w:rPr>
          <w:rFonts w:asciiTheme="minorHAnsi" w:hAnsiTheme="minorHAnsi"/>
        </w:rPr>
        <w:t>T</w:t>
      </w:r>
      <w:r w:rsidRPr="00273A79">
        <w:rPr>
          <w:rFonts w:asciiTheme="minorHAnsi" w:hAnsiTheme="minorHAnsi"/>
        </w:rPr>
        <w:t xml:space="preserve">he functioning of Collective Rights Management Organisations (CMOs) </w:t>
      </w:r>
      <w:r w:rsidR="00967200">
        <w:rPr>
          <w:rFonts w:asciiTheme="minorHAnsi" w:hAnsiTheme="minorHAnsi"/>
        </w:rPr>
        <w:t xml:space="preserve">will be improved </w:t>
      </w:r>
      <w:r w:rsidRPr="00273A79">
        <w:rPr>
          <w:rFonts w:asciiTheme="minorHAnsi" w:hAnsiTheme="minorHAnsi"/>
        </w:rPr>
        <w:t>by increasing their transparency and accountability towards their members and right holders. The Commission proposed an optional micro exemption for setting up a supervisory function and for certain financial reporting obligations which was not retained in</w:t>
      </w:r>
      <w:r w:rsidR="002917E7" w:rsidRPr="00273A79">
        <w:rPr>
          <w:rFonts w:asciiTheme="minorHAnsi" w:hAnsiTheme="minorHAnsi"/>
        </w:rPr>
        <w:t xml:space="preserve"> </w:t>
      </w:r>
      <w:r w:rsidRPr="00273A79">
        <w:rPr>
          <w:rFonts w:asciiTheme="minorHAnsi" w:hAnsiTheme="minorHAnsi"/>
        </w:rPr>
        <w:t>legislative procedure</w:t>
      </w:r>
      <w:r w:rsidRPr="00781D31">
        <w:rPr>
          <w:rFonts w:asciiTheme="minorHAnsi" w:hAnsiTheme="minorHAnsi"/>
          <w:i/>
        </w:rPr>
        <w:t>.</w:t>
      </w:r>
    </w:p>
    <w:p w:rsidR="00464DAC" w:rsidRDefault="00464DAC" w:rsidP="00464DAC">
      <w:pPr>
        <w:pStyle w:val="ListParagraph"/>
        <w:rPr>
          <w:rFonts w:ascii="Times New Roman" w:hAnsi="Times New Roman"/>
          <w:noProof/>
        </w:rPr>
      </w:pPr>
    </w:p>
    <w:p w:rsidR="000E5CFA" w:rsidRDefault="00464DAC" w:rsidP="000E5CFA">
      <w:pPr>
        <w:pBdr>
          <w:top w:val="single" w:sz="4" w:space="1" w:color="auto"/>
          <w:left w:val="single" w:sz="4" w:space="4" w:color="auto"/>
          <w:bottom w:val="single" w:sz="4" w:space="1" w:color="auto"/>
          <w:right w:val="single" w:sz="4" w:space="4" w:color="auto"/>
        </w:pBdr>
        <w:jc w:val="both"/>
      </w:pPr>
      <w:r>
        <w:rPr>
          <w:b/>
          <w:i/>
        </w:rPr>
        <w:t xml:space="preserve">VAT </w:t>
      </w:r>
      <w:r w:rsidRPr="00781D31">
        <w:rPr>
          <w:b/>
          <w:i/>
        </w:rPr>
        <w:t>Mini One</w:t>
      </w:r>
      <w:r w:rsidR="00F6499A">
        <w:rPr>
          <w:b/>
          <w:i/>
        </w:rPr>
        <w:t>-</w:t>
      </w:r>
      <w:r w:rsidRPr="00781D31">
        <w:rPr>
          <w:b/>
          <w:i/>
        </w:rPr>
        <w:t>Stop</w:t>
      </w:r>
      <w:r w:rsidR="00F6499A">
        <w:rPr>
          <w:b/>
          <w:i/>
        </w:rPr>
        <w:t>-</w:t>
      </w:r>
      <w:r w:rsidRPr="00781D31">
        <w:rPr>
          <w:b/>
          <w:i/>
        </w:rPr>
        <w:t>Shop:</w:t>
      </w:r>
      <w:r w:rsidRPr="00781D31">
        <w:rPr>
          <w:b/>
        </w:rPr>
        <w:t xml:space="preserve"> </w:t>
      </w:r>
      <w:r w:rsidRPr="00781D31">
        <w:t>Doing business in more than one Member State often means dealing with several tax administrations in different languages. Dealing with multiple VAT obligations can be very burdensome and costly for companies. The implementation on 1 January 2015 of a mini One</w:t>
      </w:r>
      <w:r w:rsidR="009E0DFF">
        <w:t>-</w:t>
      </w:r>
      <w:r w:rsidRPr="00781D31">
        <w:t>Stop</w:t>
      </w:r>
      <w:r w:rsidR="009E0DFF">
        <w:t>-</w:t>
      </w:r>
      <w:r w:rsidRPr="00781D31">
        <w:t xml:space="preserve">Shop for the EU providers of telecommunications, broadcasting and electronic services to consumers (Council Directive 2008/8/EC) </w:t>
      </w:r>
      <w:r w:rsidR="003E41DF">
        <w:t>was</w:t>
      </w:r>
      <w:r w:rsidR="003E41DF" w:rsidRPr="00781D31">
        <w:t xml:space="preserve"> </w:t>
      </w:r>
      <w:r w:rsidRPr="00781D31">
        <w:t>a big step forward in simplifying VAT compliance rules in the EU. The initial One</w:t>
      </w:r>
      <w:r w:rsidR="009E0DFF">
        <w:t>-</w:t>
      </w:r>
      <w:r w:rsidRPr="00781D31">
        <w:t>Stop</w:t>
      </w:r>
      <w:r w:rsidR="009E0DFF">
        <w:t>-</w:t>
      </w:r>
      <w:r w:rsidRPr="00781D31">
        <w:t xml:space="preserve">Shop system that was limited to non-EU providers of electronic services is now extended to EU businesses and to broadcasting and telecom services. It allows businesses to declare and pay the VAT in the Member State where they are established rather than where their </w:t>
      </w:r>
      <w:r w:rsidR="000E5CFA" w:rsidRPr="00781D31">
        <w:t>customers</w:t>
      </w:r>
      <w:r w:rsidR="000E5CFA">
        <w:t xml:space="preserve"> are</w:t>
      </w:r>
      <w:r w:rsidR="009E0DFF">
        <w:t xml:space="preserve"> located</w:t>
      </w:r>
      <w:r w:rsidRPr="00781D31">
        <w:t xml:space="preserve">. The estimated annual savings on administrative burden today are </w:t>
      </w:r>
      <w:r w:rsidR="0054733E">
        <w:t>EUR</w:t>
      </w:r>
      <w:r w:rsidR="009E0DFF">
        <w:t xml:space="preserve"> </w:t>
      </w:r>
      <w:r w:rsidRPr="00781D31">
        <w:t>500 million. The portal is currently used by more than 14 000 businesses.</w:t>
      </w:r>
      <w:r w:rsidR="00475F50">
        <w:t xml:space="preserve"> </w:t>
      </w:r>
      <w:r w:rsidR="000E5CFA">
        <w:t>Building on the existing set-up, the Commission will extend the Mini One-Stop-Shop in 2017 to cross-border online sales of goods to consumers, introducing a common VAT threshold to help start-up e-commerce businesses.</w:t>
      </w:r>
    </w:p>
    <w:p w:rsidR="00464DAC" w:rsidRPr="006B66CD" w:rsidRDefault="00464DAC" w:rsidP="006B66CD">
      <w:pPr>
        <w:pBdr>
          <w:top w:val="single" w:sz="4" w:space="1" w:color="auto"/>
          <w:left w:val="single" w:sz="4" w:space="4" w:color="auto"/>
          <w:bottom w:val="single" w:sz="4" w:space="1" w:color="auto"/>
          <w:right w:val="single" w:sz="4" w:space="4" w:color="auto"/>
        </w:pBdr>
        <w:jc w:val="both"/>
      </w:pPr>
      <w:r>
        <w:rPr>
          <w:noProof/>
          <w:lang w:eastAsia="en-GB"/>
        </w:rPr>
        <w:lastRenderedPageBreak/>
        <w:drawing>
          <wp:inline distT="0" distB="0" distL="0" distR="0" wp14:anchorId="29C2BFD3" wp14:editId="2F45B820">
            <wp:extent cx="5657850" cy="2257425"/>
            <wp:effectExtent l="0" t="38100" r="0" b="1047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b/>
          <w:u w:val="single"/>
        </w:rPr>
        <w:br w:type="page"/>
      </w:r>
    </w:p>
    <w:p w:rsidR="00464DAC" w:rsidRPr="004925B6" w:rsidRDefault="00464DAC" w:rsidP="00464DAC">
      <w:pPr>
        <w:pStyle w:val="Heading1"/>
      </w:pPr>
      <w:bookmarkStart w:id="5" w:name="_Toc465076231"/>
      <w:r w:rsidRPr="004925B6">
        <w:lastRenderedPageBreak/>
        <w:t xml:space="preserve">Priority </w:t>
      </w:r>
      <w:r>
        <w:t>3: A resilient Energy Union with a Forward-Looking Climate Change Policy</w:t>
      </w:r>
      <w:bookmarkEnd w:id="5"/>
      <w:r>
        <w:t xml:space="preserve"> </w:t>
      </w:r>
    </w:p>
    <w:p w:rsidR="00464DAC" w:rsidRPr="00A47073" w:rsidRDefault="00464DAC" w:rsidP="00A47073">
      <w:pPr>
        <w:pStyle w:val="Heading4"/>
        <w:numPr>
          <w:ilvl w:val="0"/>
          <w:numId w:val="40"/>
        </w:numPr>
        <w:rPr>
          <w:bCs w:val="0"/>
          <w:i w:val="0"/>
          <w:color w:val="365F91" w:themeColor="accent1" w:themeShade="BF"/>
          <w:sz w:val="28"/>
          <w:szCs w:val="28"/>
        </w:rPr>
      </w:pPr>
      <w:r w:rsidRPr="00A47073">
        <w:rPr>
          <w:bCs w:val="0"/>
          <w:i w:val="0"/>
          <w:color w:val="365F91" w:themeColor="accent1" w:themeShade="BF"/>
          <w:sz w:val="28"/>
          <w:szCs w:val="28"/>
        </w:rPr>
        <w:t>Context</w:t>
      </w:r>
    </w:p>
    <w:p w:rsidR="00464DAC" w:rsidRPr="00416514" w:rsidRDefault="009542E5" w:rsidP="003A4CF7">
      <w:pPr>
        <w:pStyle w:val="NormalWeb"/>
        <w:spacing w:line="276" w:lineRule="auto"/>
        <w:jc w:val="both"/>
        <w:rPr>
          <w:rFonts w:asciiTheme="minorHAnsi" w:hAnsiTheme="minorHAnsi" w:cs="Arial"/>
          <w:sz w:val="22"/>
          <w:szCs w:val="22"/>
          <w:lang w:val="en"/>
        </w:rPr>
      </w:pPr>
      <w:r>
        <w:rPr>
          <w:lang w:val="en"/>
        </w:rPr>
        <w:br/>
      </w:r>
      <w:r w:rsidR="00464DAC" w:rsidRPr="00FC0F45">
        <w:rPr>
          <w:rFonts w:asciiTheme="minorHAnsi" w:hAnsiTheme="minorHAnsi" w:cs="Arial"/>
          <w:sz w:val="22"/>
          <w:szCs w:val="22"/>
          <w:lang w:val="en"/>
        </w:rPr>
        <w:t xml:space="preserve">A European Energy Union will ensure that Europe has secure, affordable and climate-friendly energy. </w:t>
      </w:r>
      <w:r w:rsidR="00464DAC">
        <w:rPr>
          <w:rFonts w:asciiTheme="minorHAnsi" w:hAnsiTheme="minorHAnsi" w:cs="Arial"/>
          <w:sz w:val="22"/>
          <w:szCs w:val="22"/>
          <w:lang w:val="en"/>
        </w:rPr>
        <w:t>Wiser energy use while fighting climate change is both a spur for new jobs and growth and an investment in Europe's future.</w:t>
      </w:r>
      <w:r w:rsidR="00464DAC" w:rsidRPr="00871F4E">
        <w:rPr>
          <w:rFonts w:asciiTheme="minorHAnsi" w:hAnsiTheme="minorHAnsi" w:cs="Arial"/>
          <w:sz w:val="22"/>
          <w:szCs w:val="22"/>
          <w:lang w:val="en"/>
        </w:rPr>
        <w:t xml:space="preserve"> </w:t>
      </w:r>
      <w:r w:rsidR="00306026">
        <w:rPr>
          <w:rFonts w:asciiTheme="minorHAnsi" w:hAnsiTheme="minorHAnsi" w:cs="Arial"/>
          <w:sz w:val="22"/>
          <w:szCs w:val="22"/>
          <w:lang w:val="en"/>
        </w:rPr>
        <w:t xml:space="preserve">Building an Energy Union also requires looking at existing legislation and making sure it is fit for purpose, as simple as possible and with no </w:t>
      </w:r>
      <w:r w:rsidR="00464DAC" w:rsidRPr="00416514">
        <w:rPr>
          <w:rFonts w:asciiTheme="minorHAnsi" w:hAnsiTheme="minorHAnsi"/>
          <w:sz w:val="22"/>
          <w:szCs w:val="22"/>
          <w:lang w:val="en"/>
        </w:rPr>
        <w:t>unnecessary costs</w:t>
      </w:r>
      <w:r w:rsidR="00464DAC">
        <w:rPr>
          <w:rFonts w:asciiTheme="minorHAnsi" w:hAnsiTheme="minorHAnsi"/>
          <w:sz w:val="22"/>
          <w:szCs w:val="22"/>
          <w:lang w:val="en"/>
        </w:rPr>
        <w:t xml:space="preserve"> and burdens,</w:t>
      </w:r>
      <w:r w:rsidR="00464DAC" w:rsidRPr="00416514">
        <w:rPr>
          <w:rFonts w:asciiTheme="minorHAnsi" w:hAnsiTheme="minorHAnsi"/>
          <w:sz w:val="22"/>
          <w:szCs w:val="22"/>
          <w:lang w:val="en"/>
        </w:rPr>
        <w:t xml:space="preserve"> </w:t>
      </w:r>
      <w:r w:rsidR="00464DAC">
        <w:rPr>
          <w:rFonts w:asciiTheme="minorHAnsi" w:hAnsiTheme="minorHAnsi"/>
          <w:sz w:val="22"/>
          <w:szCs w:val="22"/>
          <w:lang w:val="en"/>
        </w:rPr>
        <w:t xml:space="preserve">making sure EU energy and climate legislation can fully deliver on its </w:t>
      </w:r>
      <w:r w:rsidR="00083C04">
        <w:rPr>
          <w:rFonts w:asciiTheme="minorHAnsi" w:hAnsiTheme="minorHAnsi"/>
          <w:sz w:val="22"/>
          <w:szCs w:val="22"/>
          <w:lang w:val="en"/>
        </w:rPr>
        <w:t xml:space="preserve">ambitious </w:t>
      </w:r>
      <w:r w:rsidR="00464DAC">
        <w:rPr>
          <w:rFonts w:asciiTheme="minorHAnsi" w:hAnsiTheme="minorHAnsi"/>
          <w:sz w:val="22"/>
          <w:szCs w:val="22"/>
          <w:lang w:val="en"/>
        </w:rPr>
        <w:t>objectives and benefits</w:t>
      </w:r>
      <w:r w:rsidR="00464DAC" w:rsidRPr="00416514">
        <w:rPr>
          <w:rFonts w:asciiTheme="minorHAnsi" w:hAnsiTheme="minorHAnsi"/>
          <w:sz w:val="22"/>
          <w:szCs w:val="22"/>
          <w:lang w:val="en"/>
        </w:rPr>
        <w:t>.</w:t>
      </w:r>
      <w:r w:rsidR="00306026">
        <w:rPr>
          <w:rFonts w:asciiTheme="minorHAnsi" w:hAnsiTheme="minorHAnsi"/>
          <w:sz w:val="22"/>
          <w:szCs w:val="22"/>
          <w:lang w:val="en"/>
        </w:rPr>
        <w:t xml:space="preserve"> </w:t>
      </w:r>
    </w:p>
    <w:p w:rsidR="00464DAC" w:rsidRPr="00A47073" w:rsidRDefault="00464DAC" w:rsidP="00A47073">
      <w:pPr>
        <w:pStyle w:val="Heading4"/>
        <w:numPr>
          <w:ilvl w:val="0"/>
          <w:numId w:val="40"/>
        </w:numPr>
        <w:rPr>
          <w:bCs w:val="0"/>
          <w:i w:val="0"/>
          <w:color w:val="365F91" w:themeColor="accent1" w:themeShade="BF"/>
          <w:sz w:val="28"/>
          <w:szCs w:val="28"/>
        </w:rPr>
      </w:pPr>
      <w:r w:rsidRPr="00A47073">
        <w:rPr>
          <w:bCs w:val="0"/>
          <w:i w:val="0"/>
          <w:color w:val="365F91" w:themeColor="accent1" w:themeShade="BF"/>
          <w:sz w:val="28"/>
          <w:szCs w:val="28"/>
        </w:rPr>
        <w:t>New REFIT Initiatives</w:t>
      </w:r>
    </w:p>
    <w:p w:rsidR="00464DAC" w:rsidRPr="002917E7" w:rsidRDefault="009542E5" w:rsidP="003A4CF7">
      <w:pPr>
        <w:pStyle w:val="NormalWeb"/>
        <w:spacing w:line="276" w:lineRule="auto"/>
        <w:jc w:val="both"/>
        <w:rPr>
          <w:rFonts w:asciiTheme="minorHAnsi" w:hAnsiTheme="minorHAnsi" w:cs="Arial"/>
          <w:sz w:val="22"/>
          <w:szCs w:val="22"/>
          <w:lang w:val="en"/>
        </w:rPr>
      </w:pPr>
      <w:r>
        <w:rPr>
          <w:lang w:val="en"/>
        </w:rPr>
        <w:br/>
      </w:r>
      <w:r w:rsidR="004C2246" w:rsidRPr="004C2246">
        <w:rPr>
          <w:rFonts w:asciiTheme="minorHAnsi" w:hAnsiTheme="minorHAnsi"/>
          <w:sz w:val="22"/>
          <w:szCs w:val="22"/>
          <w:lang w:val="en"/>
        </w:rPr>
        <w:t>In its</w:t>
      </w:r>
      <w:r w:rsidR="004C2246">
        <w:rPr>
          <w:rFonts w:asciiTheme="minorHAnsi" w:hAnsiTheme="minorHAnsi"/>
          <w:b/>
          <w:i/>
          <w:sz w:val="22"/>
          <w:szCs w:val="22"/>
          <w:lang w:val="en"/>
        </w:rPr>
        <w:t xml:space="preserve"> </w:t>
      </w:r>
      <w:r w:rsidR="00464DAC" w:rsidRPr="001D1110">
        <w:rPr>
          <w:rFonts w:asciiTheme="minorHAnsi" w:hAnsiTheme="minorHAnsi"/>
          <w:b/>
          <w:i/>
          <w:sz w:val="22"/>
          <w:szCs w:val="22"/>
          <w:u w:val="single"/>
          <w:lang w:val="en"/>
        </w:rPr>
        <w:t>Work Programme</w:t>
      </w:r>
      <w:r w:rsidR="004C2246" w:rsidRPr="001D1110">
        <w:rPr>
          <w:rFonts w:asciiTheme="minorHAnsi" w:hAnsiTheme="minorHAnsi"/>
          <w:b/>
          <w:i/>
          <w:sz w:val="22"/>
          <w:szCs w:val="22"/>
          <w:u w:val="single"/>
          <w:lang w:val="en"/>
        </w:rPr>
        <w:t xml:space="preserve"> for 2017</w:t>
      </w:r>
      <w:r w:rsidR="004C2246" w:rsidRPr="001D1110">
        <w:rPr>
          <w:rFonts w:asciiTheme="minorHAnsi" w:hAnsiTheme="minorHAnsi"/>
          <w:i/>
          <w:sz w:val="22"/>
          <w:szCs w:val="22"/>
          <w:u w:val="single"/>
          <w:lang w:val="en"/>
        </w:rPr>
        <w:t>,</w:t>
      </w:r>
      <w:r w:rsidR="004C2246" w:rsidRPr="004C2246">
        <w:rPr>
          <w:rFonts w:asciiTheme="minorHAnsi" w:hAnsiTheme="minorHAnsi"/>
          <w:i/>
          <w:sz w:val="22"/>
          <w:szCs w:val="22"/>
          <w:lang w:val="en"/>
        </w:rPr>
        <w:t xml:space="preserve"> </w:t>
      </w:r>
      <w:r w:rsidR="004C2246" w:rsidRPr="004C2246">
        <w:rPr>
          <w:rFonts w:asciiTheme="minorHAnsi" w:hAnsiTheme="minorHAnsi"/>
          <w:sz w:val="22"/>
          <w:szCs w:val="22"/>
          <w:lang w:val="en"/>
        </w:rPr>
        <w:t xml:space="preserve">the Commission will propose initiatives </w:t>
      </w:r>
      <w:r w:rsidR="004C2246" w:rsidRPr="004C2246">
        <w:rPr>
          <w:rFonts w:asciiTheme="minorHAnsi" w:hAnsiTheme="minorHAnsi" w:cs="Arial"/>
          <w:sz w:val="22"/>
          <w:szCs w:val="22"/>
          <w:lang w:val="en"/>
        </w:rPr>
        <w:t xml:space="preserve">to </w:t>
      </w:r>
      <w:r w:rsidR="0012194F" w:rsidRPr="0012194F">
        <w:rPr>
          <w:rFonts w:asciiTheme="minorHAnsi" w:hAnsiTheme="minorHAnsi" w:cs="Arial"/>
          <w:sz w:val="22"/>
          <w:szCs w:val="22"/>
          <w:lang w:val="en"/>
        </w:rPr>
        <w:t xml:space="preserve">gradually move to zero-emission vehicles which will also enhance </w:t>
      </w:r>
      <w:r w:rsidR="004C2246" w:rsidRPr="004C2246">
        <w:rPr>
          <w:rFonts w:asciiTheme="minorHAnsi" w:hAnsiTheme="minorHAnsi" w:cs="Arial"/>
          <w:sz w:val="22"/>
          <w:szCs w:val="22"/>
          <w:lang w:val="en"/>
        </w:rPr>
        <w:t>competitiveness</w:t>
      </w:r>
      <w:r w:rsidR="0012194F">
        <w:rPr>
          <w:rFonts w:asciiTheme="minorHAnsi" w:hAnsiTheme="minorHAnsi" w:cs="Arial"/>
          <w:sz w:val="22"/>
          <w:szCs w:val="22"/>
          <w:lang w:val="en"/>
        </w:rPr>
        <w:t xml:space="preserve"> of the industry</w:t>
      </w:r>
      <w:r w:rsidR="004C2246" w:rsidRPr="004C2246">
        <w:rPr>
          <w:rFonts w:asciiTheme="minorHAnsi" w:hAnsiTheme="minorHAnsi" w:cs="Arial"/>
          <w:sz w:val="22"/>
          <w:szCs w:val="22"/>
          <w:lang w:val="en"/>
        </w:rPr>
        <w:t>. These revisions will include rules on:</w:t>
      </w:r>
    </w:p>
    <w:p w:rsidR="00464DAC" w:rsidRPr="000E5CFA" w:rsidRDefault="00464DAC" w:rsidP="00464DAC">
      <w:pPr>
        <w:pStyle w:val="NormalWeb"/>
        <w:numPr>
          <w:ilvl w:val="0"/>
          <w:numId w:val="8"/>
        </w:numPr>
        <w:spacing w:after="192"/>
        <w:jc w:val="both"/>
        <w:rPr>
          <w:rFonts w:asciiTheme="minorHAnsi" w:hAnsiTheme="minorHAnsi" w:cs="Arial"/>
          <w:sz w:val="22"/>
          <w:szCs w:val="22"/>
          <w:lang w:val="en"/>
        </w:rPr>
      </w:pPr>
      <w:r w:rsidRPr="000E5CFA">
        <w:rPr>
          <w:rFonts w:asciiTheme="minorHAnsi" w:hAnsiTheme="minorHAnsi" w:cs="Arial"/>
          <w:b/>
          <w:i/>
          <w:sz w:val="22"/>
          <w:szCs w:val="22"/>
          <w:lang w:val="en"/>
        </w:rPr>
        <w:t>Clean Vehicles</w:t>
      </w:r>
      <w:r w:rsidRPr="000E5CFA">
        <w:rPr>
          <w:rFonts w:asciiTheme="minorHAnsi" w:hAnsiTheme="minorHAnsi" w:cs="Arial"/>
          <w:sz w:val="22"/>
          <w:szCs w:val="22"/>
          <w:lang w:val="en"/>
        </w:rPr>
        <w:t xml:space="preserve"> in order to improve procurement incentives and rules.</w:t>
      </w:r>
    </w:p>
    <w:p w:rsidR="00464DAC" w:rsidRPr="000E5CFA" w:rsidRDefault="00464DAC" w:rsidP="004C2246">
      <w:pPr>
        <w:pStyle w:val="ListParagraph"/>
        <w:numPr>
          <w:ilvl w:val="0"/>
          <w:numId w:val="8"/>
        </w:numPr>
        <w:jc w:val="both"/>
        <w:rPr>
          <w:rFonts w:asciiTheme="minorHAnsi" w:hAnsiTheme="minorHAnsi" w:cs="Arial"/>
          <w:lang w:val="en"/>
        </w:rPr>
      </w:pPr>
      <w:r w:rsidRPr="000E5CFA">
        <w:rPr>
          <w:rFonts w:asciiTheme="minorHAnsi" w:hAnsiTheme="minorHAnsi" w:cs="Arial"/>
          <w:b/>
          <w:i/>
          <w:lang w:val="en"/>
        </w:rPr>
        <w:t>Cars and light commercial vehicles</w:t>
      </w:r>
      <w:r w:rsidRPr="000E5CFA">
        <w:rPr>
          <w:rFonts w:asciiTheme="minorHAnsi" w:hAnsiTheme="minorHAnsi" w:cs="Arial"/>
          <w:lang w:val="en"/>
        </w:rPr>
        <w:t xml:space="preserve"> proposing </w:t>
      </w:r>
      <w:r w:rsidR="004C2246" w:rsidRPr="00E60725">
        <w:rPr>
          <w:rFonts w:asciiTheme="minorHAnsi" w:hAnsiTheme="minorHAnsi" w:cs="Arial"/>
          <w:lang w:val="en"/>
        </w:rPr>
        <w:t>CO</w:t>
      </w:r>
      <w:r w:rsidR="004C2246" w:rsidRPr="00E60725">
        <w:rPr>
          <w:rFonts w:asciiTheme="minorHAnsi" w:hAnsiTheme="minorHAnsi" w:cs="Arial"/>
          <w:vertAlign w:val="subscript"/>
          <w:lang w:val="en"/>
        </w:rPr>
        <w:t>2</w:t>
      </w:r>
      <w:r w:rsidR="004C2246" w:rsidRPr="00E60725">
        <w:rPr>
          <w:rFonts w:asciiTheme="minorHAnsi" w:hAnsiTheme="minorHAnsi" w:cs="Arial"/>
          <w:lang w:val="en"/>
        </w:rPr>
        <w:t xml:space="preserve"> emission</w:t>
      </w:r>
      <w:r w:rsidR="004C2246">
        <w:rPr>
          <w:rFonts w:ascii="Times New Roman" w:hAnsi="Times New Roman"/>
          <w:noProof/>
          <w:sz w:val="24"/>
          <w:szCs w:val="24"/>
          <w:lang w:val="en-US"/>
        </w:rPr>
        <w:t xml:space="preserve"> </w:t>
      </w:r>
      <w:r w:rsidRPr="000E5CFA">
        <w:rPr>
          <w:rFonts w:asciiTheme="minorHAnsi" w:hAnsiTheme="minorHAnsi"/>
          <w:noProof/>
          <w:lang w:val="en-US"/>
        </w:rPr>
        <w:t xml:space="preserve">standards post-2020. </w:t>
      </w:r>
      <w:r w:rsidR="008825FC" w:rsidRPr="000E5CFA">
        <w:rPr>
          <w:rFonts w:asciiTheme="minorHAnsi" w:hAnsiTheme="minorHAnsi"/>
          <w:noProof/>
          <w:lang w:val="en-US"/>
        </w:rPr>
        <w:t xml:space="preserve">On the basis of the result of the </w:t>
      </w:r>
      <w:r w:rsidRPr="000E5CFA">
        <w:rPr>
          <w:rFonts w:asciiTheme="minorHAnsi" w:hAnsiTheme="minorHAnsi"/>
          <w:lang w:val="en"/>
        </w:rPr>
        <w:t xml:space="preserve">evaluation </w:t>
      </w:r>
      <w:r w:rsidR="008825FC" w:rsidRPr="000E5CFA">
        <w:rPr>
          <w:rFonts w:asciiTheme="minorHAnsi" w:hAnsiTheme="minorHAnsi"/>
          <w:lang w:val="en"/>
        </w:rPr>
        <w:t xml:space="preserve">which found that intermediary targets were met and </w:t>
      </w:r>
      <w:r w:rsidRPr="000E5CFA">
        <w:rPr>
          <w:rFonts w:asciiTheme="minorHAnsi" w:hAnsiTheme="minorHAnsi"/>
          <w:noProof/>
        </w:rPr>
        <w:t>EU rules had a positive impact on emission reductions for cars and vans as well as on energy security</w:t>
      </w:r>
      <w:r w:rsidRPr="00CA3E04">
        <w:rPr>
          <w:rFonts w:asciiTheme="minorHAnsi" w:hAnsiTheme="minorHAnsi"/>
          <w:noProof/>
        </w:rPr>
        <w:t>. The evaluation also revealed a significant discrepancy between real-world and test cycle emissions with adverse effects on the effec</w:t>
      </w:r>
      <w:r w:rsidR="00306026" w:rsidRPr="00CA3E04">
        <w:rPr>
          <w:rFonts w:asciiTheme="minorHAnsi" w:hAnsiTheme="minorHAnsi"/>
          <w:noProof/>
        </w:rPr>
        <w:t>t</w:t>
      </w:r>
      <w:r w:rsidRPr="00CA3E04">
        <w:rPr>
          <w:rFonts w:asciiTheme="minorHAnsi" w:hAnsiTheme="minorHAnsi"/>
          <w:noProof/>
        </w:rPr>
        <w:t>iveness and efficiency of the legislation.</w:t>
      </w:r>
      <w:r w:rsidRPr="000E5CFA">
        <w:rPr>
          <w:rFonts w:asciiTheme="minorHAnsi" w:hAnsiTheme="minorHAnsi" w:cs="Arial"/>
          <w:lang w:val="en"/>
        </w:rPr>
        <w:t xml:space="preserve"> </w:t>
      </w:r>
    </w:p>
    <w:p w:rsidR="00464DAC" w:rsidRPr="00094D02" w:rsidRDefault="00464DAC" w:rsidP="003A4CF7">
      <w:pPr>
        <w:pStyle w:val="NormalWeb"/>
        <w:numPr>
          <w:ilvl w:val="0"/>
          <w:numId w:val="9"/>
        </w:numPr>
        <w:spacing w:after="192" w:line="276" w:lineRule="auto"/>
        <w:ind w:left="714" w:hanging="357"/>
        <w:jc w:val="both"/>
        <w:rPr>
          <w:rFonts w:asciiTheme="minorHAnsi" w:eastAsia="Calibri" w:hAnsiTheme="minorHAnsi"/>
          <w:noProof/>
          <w:sz w:val="22"/>
          <w:szCs w:val="22"/>
          <w:lang w:eastAsia="en-US"/>
        </w:rPr>
      </w:pPr>
      <w:r w:rsidRPr="000E5CFA">
        <w:rPr>
          <w:rFonts w:asciiTheme="minorHAnsi" w:hAnsiTheme="minorHAnsi" w:cs="Arial"/>
          <w:b/>
          <w:i/>
          <w:sz w:val="22"/>
          <w:szCs w:val="22"/>
          <w:lang w:val="en"/>
        </w:rPr>
        <w:t>Road charging</w:t>
      </w:r>
      <w:r w:rsidR="008825FC" w:rsidRPr="000E5CFA">
        <w:rPr>
          <w:rFonts w:asciiTheme="minorHAnsi" w:hAnsiTheme="minorHAnsi" w:cs="Arial"/>
          <w:b/>
          <w:i/>
          <w:sz w:val="22"/>
          <w:szCs w:val="22"/>
          <w:lang w:val="en"/>
        </w:rPr>
        <w:t xml:space="preserve"> </w:t>
      </w:r>
      <w:r w:rsidR="00FF0D49">
        <w:rPr>
          <w:rFonts w:asciiTheme="minorHAnsi" w:eastAsia="Calibri" w:hAnsiTheme="minorHAnsi"/>
          <w:noProof/>
          <w:sz w:val="22"/>
          <w:szCs w:val="22"/>
          <w:lang w:eastAsia="en-US"/>
        </w:rPr>
        <w:t>a</w:t>
      </w:r>
      <w:r w:rsidR="00FF0D49" w:rsidRPr="00094D02">
        <w:rPr>
          <w:rFonts w:asciiTheme="minorHAnsi" w:eastAsia="Calibri" w:hAnsiTheme="minorHAnsi"/>
          <w:noProof/>
          <w:sz w:val="22"/>
          <w:szCs w:val="22"/>
          <w:lang w:eastAsia="en-US"/>
        </w:rPr>
        <w:t xml:space="preserve">pplying the user-pay and polluter-pay principle, </w:t>
      </w:r>
      <w:r w:rsidR="008825FC" w:rsidRPr="00094D02">
        <w:rPr>
          <w:rFonts w:asciiTheme="minorHAnsi" w:eastAsia="Calibri" w:hAnsiTheme="minorHAnsi"/>
          <w:noProof/>
          <w:sz w:val="22"/>
          <w:szCs w:val="22"/>
          <w:lang w:eastAsia="en-US"/>
        </w:rPr>
        <w:t>to propose improvements for those Member States choosing to use this tool</w:t>
      </w:r>
      <w:r w:rsidRPr="00094D02">
        <w:rPr>
          <w:rFonts w:asciiTheme="minorHAnsi" w:eastAsia="Calibri" w:hAnsiTheme="minorHAnsi"/>
          <w:noProof/>
          <w:sz w:val="22"/>
          <w:szCs w:val="22"/>
          <w:lang w:eastAsia="en-US"/>
        </w:rPr>
        <w:t xml:space="preserve">, including </w:t>
      </w:r>
      <w:r w:rsidR="00FF0D49" w:rsidRPr="00094D02">
        <w:rPr>
          <w:rFonts w:asciiTheme="minorHAnsi" w:eastAsia="Calibri" w:hAnsiTheme="minorHAnsi"/>
          <w:noProof/>
          <w:sz w:val="22"/>
          <w:szCs w:val="22"/>
          <w:lang w:eastAsia="en-US"/>
        </w:rPr>
        <w:t>including for the interoperability of electronic tolling services</w:t>
      </w:r>
      <w:r w:rsidRPr="00094D02">
        <w:rPr>
          <w:rFonts w:asciiTheme="minorHAnsi" w:eastAsia="Calibri" w:hAnsiTheme="minorHAnsi"/>
          <w:noProof/>
          <w:sz w:val="22"/>
          <w:szCs w:val="22"/>
          <w:lang w:eastAsia="en-US"/>
        </w:rPr>
        <w:t>.</w:t>
      </w:r>
    </w:p>
    <w:p w:rsidR="008825FC" w:rsidRDefault="008825FC" w:rsidP="003A4CF7">
      <w:pPr>
        <w:pStyle w:val="NormalWeb"/>
        <w:numPr>
          <w:ilvl w:val="0"/>
          <w:numId w:val="9"/>
        </w:numPr>
        <w:spacing w:line="276" w:lineRule="auto"/>
        <w:ind w:left="714" w:hanging="357"/>
        <w:jc w:val="both"/>
        <w:rPr>
          <w:rFonts w:ascii="Calibri" w:hAnsi="Calibri" w:cs="Arial"/>
          <w:sz w:val="22"/>
          <w:szCs w:val="22"/>
          <w:lang w:val="en"/>
        </w:rPr>
      </w:pPr>
      <w:r w:rsidRPr="000E5CFA">
        <w:rPr>
          <w:rFonts w:ascii="Calibri" w:hAnsi="Calibri" w:cs="Arial"/>
          <w:b/>
          <w:i/>
          <w:sz w:val="22"/>
          <w:szCs w:val="22"/>
          <w:lang w:val="en"/>
        </w:rPr>
        <w:t>Combined transport</w:t>
      </w:r>
      <w:r w:rsidRPr="000E5CFA">
        <w:rPr>
          <w:rFonts w:ascii="Calibri" w:hAnsi="Calibri" w:cs="Arial"/>
          <w:sz w:val="22"/>
          <w:szCs w:val="22"/>
          <w:lang w:val="en"/>
        </w:rPr>
        <w:t xml:space="preserve"> in order to </w:t>
      </w:r>
      <w:r w:rsidR="00831FAB">
        <w:rPr>
          <w:rFonts w:ascii="Calibri" w:hAnsi="Calibri" w:cs="Arial"/>
          <w:sz w:val="22"/>
          <w:szCs w:val="22"/>
          <w:lang w:val="en"/>
        </w:rPr>
        <w:t xml:space="preserve">further promote intermodal transport in the EU </w:t>
      </w:r>
      <w:r w:rsidRPr="000E5CFA">
        <w:rPr>
          <w:rFonts w:ascii="Calibri" w:hAnsi="Calibri" w:cs="Arial"/>
          <w:sz w:val="22"/>
          <w:szCs w:val="22"/>
          <w:lang w:val="en"/>
        </w:rPr>
        <w:t>and thus contribute to reducing emissions. The evaluation of combined transport rules showed that the potential benefits to the environment are not yet fully harvested. Up to EUR 2.1 billion of external costs could be saved annually with a moderate shift of freight away from roads to rail or</w:t>
      </w:r>
      <w:r w:rsidR="004C2246">
        <w:rPr>
          <w:rFonts w:ascii="Calibri" w:hAnsi="Calibri" w:cs="Arial"/>
          <w:sz w:val="22"/>
          <w:szCs w:val="22"/>
          <w:lang w:val="en"/>
        </w:rPr>
        <w:t xml:space="preserve"> waterways</w:t>
      </w:r>
      <w:r w:rsidRPr="000E5CFA">
        <w:rPr>
          <w:rFonts w:ascii="Calibri" w:hAnsi="Calibri" w:cs="Arial"/>
          <w:sz w:val="22"/>
          <w:szCs w:val="22"/>
          <w:lang w:val="en"/>
        </w:rPr>
        <w:t>.</w:t>
      </w:r>
    </w:p>
    <w:p w:rsidR="00F0075C" w:rsidRPr="000E0B19" w:rsidRDefault="00F0075C">
      <w:pPr>
        <w:pStyle w:val="Heading4"/>
        <w:rPr>
          <w:rFonts w:ascii="Calibri" w:eastAsia="Times New Roman" w:hAnsi="Calibri" w:cs="Arial"/>
          <w:b w:val="0"/>
          <w:bCs w:val="0"/>
          <w:i w:val="0"/>
          <w:iCs w:val="0"/>
          <w:color w:val="auto"/>
          <w:lang w:val="en" w:eastAsia="en-GB"/>
        </w:rPr>
      </w:pPr>
      <w:r w:rsidRPr="001D1110">
        <w:rPr>
          <w:rFonts w:ascii="Calibri" w:eastAsia="Times New Roman" w:hAnsi="Calibri" w:cs="Arial"/>
          <w:bCs w:val="0"/>
          <w:iCs w:val="0"/>
          <w:color w:val="auto"/>
          <w:u w:val="single"/>
          <w:lang w:val="en" w:eastAsia="en-GB"/>
        </w:rPr>
        <w:t>New evaluations</w:t>
      </w:r>
      <w:r w:rsidRPr="000E0B19">
        <w:rPr>
          <w:rFonts w:ascii="Calibri" w:eastAsia="Times New Roman" w:hAnsi="Calibri" w:cs="Arial"/>
          <w:bCs w:val="0"/>
          <w:iCs w:val="0"/>
          <w:color w:val="auto"/>
          <w:lang w:val="en" w:eastAsia="en-GB"/>
        </w:rPr>
        <w:t>:</w:t>
      </w:r>
      <w:r w:rsidRPr="000E0B19">
        <w:rPr>
          <w:rFonts w:ascii="Calibri" w:eastAsia="Times New Roman" w:hAnsi="Calibri" w:cs="Arial"/>
          <w:b w:val="0"/>
          <w:bCs w:val="0"/>
          <w:i w:val="0"/>
          <w:iCs w:val="0"/>
          <w:color w:val="auto"/>
          <w:lang w:val="en" w:eastAsia="en-GB"/>
        </w:rPr>
        <w:t xml:space="preserve">  In 2017, the Commission will carry out an evaluation of the EU legal framework for energy taxation (Energy Tax Directive).</w:t>
      </w:r>
      <w:r>
        <w:rPr>
          <w:rFonts w:ascii="Calibri" w:eastAsia="Times New Roman" w:hAnsi="Calibri" w:cs="Arial"/>
          <w:b w:val="0"/>
          <w:bCs w:val="0"/>
          <w:i w:val="0"/>
          <w:iCs w:val="0"/>
          <w:color w:val="auto"/>
          <w:lang w:val="en" w:eastAsia="en-GB"/>
        </w:rPr>
        <w:br/>
      </w:r>
    </w:p>
    <w:p w:rsidR="00464DAC" w:rsidRPr="00A47073" w:rsidRDefault="00464DAC" w:rsidP="00A47073">
      <w:pPr>
        <w:pStyle w:val="Heading4"/>
        <w:numPr>
          <w:ilvl w:val="0"/>
          <w:numId w:val="40"/>
        </w:numPr>
        <w:rPr>
          <w:bCs w:val="0"/>
          <w:i w:val="0"/>
          <w:color w:val="365F91" w:themeColor="accent1" w:themeShade="BF"/>
          <w:sz w:val="28"/>
          <w:szCs w:val="28"/>
        </w:rPr>
      </w:pPr>
      <w:r w:rsidRPr="00A47073">
        <w:rPr>
          <w:bCs w:val="0"/>
          <w:i w:val="0"/>
          <w:color w:val="365F91" w:themeColor="accent1" w:themeShade="BF"/>
          <w:sz w:val="28"/>
          <w:szCs w:val="28"/>
        </w:rPr>
        <w:t>Progress and Results</w:t>
      </w:r>
    </w:p>
    <w:p w:rsidR="00464DAC" w:rsidRPr="00E405E8" w:rsidRDefault="009542E5" w:rsidP="00464DAC">
      <w:pPr>
        <w:jc w:val="both"/>
        <w:rPr>
          <w:lang w:val="en"/>
        </w:rPr>
      </w:pPr>
      <w:r>
        <w:rPr>
          <w:lang w:val="en"/>
        </w:rPr>
        <w:br/>
      </w:r>
      <w:r w:rsidR="00464DAC" w:rsidRPr="001D1110">
        <w:rPr>
          <w:b/>
          <w:i/>
          <w:u w:val="single"/>
          <w:lang w:val="en"/>
        </w:rPr>
        <w:t xml:space="preserve">Evaluations and </w:t>
      </w:r>
      <w:r w:rsidR="00E405E8" w:rsidRPr="001D1110">
        <w:rPr>
          <w:b/>
          <w:i/>
          <w:u w:val="single"/>
          <w:lang w:val="en"/>
        </w:rPr>
        <w:t>f</w:t>
      </w:r>
      <w:r w:rsidR="00464DAC" w:rsidRPr="001D1110">
        <w:rPr>
          <w:b/>
          <w:i/>
          <w:u w:val="single"/>
          <w:lang w:val="en"/>
        </w:rPr>
        <w:t>ollow-up:</w:t>
      </w:r>
      <w:r w:rsidR="00464DAC" w:rsidRPr="002917E7">
        <w:rPr>
          <w:lang w:val="en"/>
        </w:rPr>
        <w:t xml:space="preserve"> Before the end of 2016, a </w:t>
      </w:r>
      <w:r w:rsidR="00464DAC" w:rsidRPr="00305213">
        <w:rPr>
          <w:lang w:val="en"/>
        </w:rPr>
        <w:t xml:space="preserve">comprehensive </w:t>
      </w:r>
      <w:r w:rsidR="00464DAC" w:rsidRPr="00E405E8">
        <w:rPr>
          <w:lang w:val="en"/>
        </w:rPr>
        <w:t xml:space="preserve">Fitness Check on </w:t>
      </w:r>
      <w:r w:rsidR="00464DAC" w:rsidRPr="001D1110">
        <w:rPr>
          <w:b/>
          <w:i/>
          <w:lang w:val="en"/>
        </w:rPr>
        <w:t>planning and reporting obligations in the area of Energy Union governance</w:t>
      </w:r>
      <w:r w:rsidR="00464DAC" w:rsidRPr="00E405E8">
        <w:rPr>
          <w:lang w:val="en"/>
        </w:rPr>
        <w:t xml:space="preserve"> will conclude and evaluations on renewable energy and energy performance of buildings will deliver results and will be followed-up by revisions of the respective Directives.</w:t>
      </w:r>
    </w:p>
    <w:p w:rsidR="00464DAC" w:rsidRPr="00FC3B9E" w:rsidRDefault="00306026" w:rsidP="000135BE">
      <w:pPr>
        <w:jc w:val="both"/>
      </w:pPr>
      <w:r w:rsidRPr="00E405E8">
        <w:rPr>
          <w:lang w:val="en"/>
        </w:rPr>
        <w:lastRenderedPageBreak/>
        <w:t xml:space="preserve">With regard to the legislation on </w:t>
      </w:r>
      <w:r w:rsidRPr="001D1110">
        <w:rPr>
          <w:b/>
          <w:i/>
          <w:lang w:val="en"/>
        </w:rPr>
        <w:t>energy performance of buildings</w:t>
      </w:r>
      <w:r w:rsidRPr="00E405E8">
        <w:rPr>
          <w:lang w:val="en"/>
        </w:rPr>
        <w:t>, preliminary</w:t>
      </w:r>
      <w:r w:rsidRPr="00306026">
        <w:rPr>
          <w:lang w:val="en"/>
        </w:rPr>
        <w:t xml:space="preserve"> </w:t>
      </w:r>
      <w:r w:rsidR="00781950">
        <w:rPr>
          <w:lang w:val="en"/>
        </w:rPr>
        <w:t>findings indicate</w:t>
      </w:r>
      <w:r w:rsidRPr="00306026">
        <w:rPr>
          <w:lang w:val="en"/>
        </w:rPr>
        <w:t xml:space="preserve"> that </w:t>
      </w:r>
      <w:r w:rsidRPr="00306026">
        <w:t xml:space="preserve">removing the obligation to conduct a feasibility study of high efficiency alternative systems for new buildings </w:t>
      </w:r>
      <w:r w:rsidRPr="00306026">
        <w:rPr>
          <w:lang w:val="en"/>
        </w:rPr>
        <w:t>could lead</w:t>
      </w:r>
      <w:r w:rsidRPr="00306026">
        <w:t xml:space="preserve"> to cost savings of ca </w:t>
      </w:r>
      <w:r w:rsidR="00781950">
        <w:t xml:space="preserve">EUR </w:t>
      </w:r>
      <w:r w:rsidRPr="00306026">
        <w:t xml:space="preserve">200 million </w:t>
      </w:r>
      <w:r w:rsidR="00CA3E04">
        <w:t xml:space="preserve"> per </w:t>
      </w:r>
      <w:r w:rsidRPr="00306026">
        <w:t>year. A simplified inspection regime for Member States authorities may deliver further savings of on average EUR 200 per inspection for ca. 13.5 million occasions of inspections in non-domestic buildings in 15 concerned Member States during 2020-2030.</w:t>
      </w:r>
    </w:p>
    <w:p w:rsidR="00464DAC" w:rsidRPr="002917E7" w:rsidRDefault="00464DAC" w:rsidP="00464DAC">
      <w:pPr>
        <w:pBdr>
          <w:top w:val="single" w:sz="4" w:space="1" w:color="auto"/>
          <w:left w:val="single" w:sz="4" w:space="4" w:color="auto"/>
          <w:bottom w:val="single" w:sz="4" w:space="1" w:color="auto"/>
          <w:right w:val="single" w:sz="4" w:space="4" w:color="auto"/>
        </w:pBdr>
        <w:jc w:val="both"/>
        <w:rPr>
          <w:lang w:val="en"/>
        </w:rPr>
      </w:pPr>
      <w:r w:rsidRPr="002917E7">
        <w:rPr>
          <w:b/>
          <w:bCs/>
          <w:i/>
        </w:rPr>
        <w:t xml:space="preserve">Fitness Check on Planning and Reporting obligations of Energy Union Governance:  </w:t>
      </w:r>
      <w:r w:rsidRPr="002917E7">
        <w:rPr>
          <w:bCs/>
        </w:rPr>
        <w:t xml:space="preserve">The Fitness </w:t>
      </w:r>
      <w:r w:rsidRPr="00696BF7">
        <w:rPr>
          <w:bCs/>
        </w:rPr>
        <w:t xml:space="preserve">Check </w:t>
      </w:r>
      <w:r w:rsidR="00F23259">
        <w:rPr>
          <w:bCs/>
        </w:rPr>
        <w:t xml:space="preserve">aims to </w:t>
      </w:r>
      <w:r w:rsidR="00F23259" w:rsidRPr="001D423A">
        <w:rPr>
          <w:bCs/>
        </w:rPr>
        <w:t>quantif</w:t>
      </w:r>
      <w:r w:rsidR="00F23259">
        <w:rPr>
          <w:bCs/>
        </w:rPr>
        <w:t>y</w:t>
      </w:r>
      <w:r w:rsidR="00F23259" w:rsidRPr="00696BF7">
        <w:rPr>
          <w:bCs/>
        </w:rPr>
        <w:t xml:space="preserve"> </w:t>
      </w:r>
      <w:r w:rsidRPr="00696BF7">
        <w:rPr>
          <w:bCs/>
        </w:rPr>
        <w:t xml:space="preserve">average </w:t>
      </w:r>
      <w:r w:rsidRPr="00696BF7">
        <w:t>administrative costs pe</w:t>
      </w:r>
      <w:r w:rsidRPr="00B3582B">
        <w:t>r Member State and the Commission stemming from 91 reporting obligations</w:t>
      </w:r>
      <w:r w:rsidRPr="002917E7">
        <w:t xml:space="preserve"> included in 31 pieces of legislation. This exercise </w:t>
      </w:r>
      <w:r w:rsidR="00FC3B9E">
        <w:t>is</w:t>
      </w:r>
      <w:r w:rsidRPr="002917E7">
        <w:t xml:space="preserve"> supported by surveys in all Member States and in depth interviews. On this basis, the Fitness Check will make recommendations </w:t>
      </w:r>
      <w:r w:rsidR="006F2E72">
        <w:t xml:space="preserve">on the basis of </w:t>
      </w:r>
      <w:r w:rsidRPr="002917E7">
        <w:t>which existing planning and reporting obligations can be repealed</w:t>
      </w:r>
      <w:r w:rsidR="00AD522F">
        <w:t>,</w:t>
      </w:r>
      <w:r w:rsidRPr="002917E7">
        <w:rPr>
          <w:rFonts w:eastAsia="Times New Roman"/>
          <w:noProof/>
        </w:rPr>
        <w:t xml:space="preserve"> integrated into the new Governance reporting framework</w:t>
      </w:r>
      <w:r w:rsidR="00AD522F">
        <w:rPr>
          <w:rFonts w:eastAsia="Times New Roman"/>
          <w:noProof/>
        </w:rPr>
        <w:t xml:space="preserve"> or need to be kept seperately</w:t>
      </w:r>
      <w:r w:rsidRPr="002917E7">
        <w:rPr>
          <w:rFonts w:eastAsia="Times New Roman"/>
          <w:noProof/>
        </w:rPr>
        <w:t>.</w:t>
      </w:r>
      <w:r w:rsidR="006F2E72">
        <w:rPr>
          <w:rFonts w:eastAsia="Times New Roman"/>
          <w:noProof/>
        </w:rPr>
        <w:t xml:space="preserve"> </w:t>
      </w:r>
    </w:p>
    <w:p w:rsidR="00464DAC" w:rsidRPr="002917E7" w:rsidRDefault="00464DAC">
      <w:pPr>
        <w:rPr>
          <w:lang w:val="en"/>
        </w:rPr>
      </w:pPr>
      <w:r w:rsidRPr="002917E7">
        <w:rPr>
          <w:lang w:val="en"/>
        </w:rPr>
        <w:br w:type="page"/>
      </w:r>
    </w:p>
    <w:p w:rsidR="007A2050" w:rsidRPr="00324DE6" w:rsidRDefault="00393F1B" w:rsidP="007A2050">
      <w:pPr>
        <w:pStyle w:val="Heading1"/>
      </w:pPr>
      <w:bookmarkStart w:id="6" w:name="_Toc465076232"/>
      <w:r>
        <w:lastRenderedPageBreak/>
        <w:t>Priority 4: A deeper and Fairer Internal Market with a Strengthened Industrial B</w:t>
      </w:r>
      <w:r w:rsidR="007A2050" w:rsidRPr="00324DE6">
        <w:t>ase</w:t>
      </w:r>
      <w:bookmarkEnd w:id="6"/>
      <w:r w:rsidR="007A2050" w:rsidRPr="00324DE6">
        <w:t xml:space="preserve"> </w:t>
      </w:r>
    </w:p>
    <w:p w:rsidR="007A2050" w:rsidRPr="00A47073" w:rsidRDefault="007A2050" w:rsidP="00A47073">
      <w:pPr>
        <w:pStyle w:val="Heading4"/>
        <w:numPr>
          <w:ilvl w:val="0"/>
          <w:numId w:val="41"/>
        </w:numPr>
        <w:rPr>
          <w:bCs w:val="0"/>
          <w:i w:val="0"/>
          <w:color w:val="365F91" w:themeColor="accent1" w:themeShade="BF"/>
          <w:sz w:val="28"/>
          <w:szCs w:val="28"/>
        </w:rPr>
      </w:pPr>
      <w:r w:rsidRPr="00A47073">
        <w:rPr>
          <w:bCs w:val="0"/>
          <w:i w:val="0"/>
          <w:color w:val="365F91" w:themeColor="accent1" w:themeShade="BF"/>
          <w:sz w:val="28"/>
          <w:szCs w:val="28"/>
        </w:rPr>
        <w:t>Context</w:t>
      </w:r>
    </w:p>
    <w:p w:rsidR="007A2050" w:rsidRPr="002549D9" w:rsidRDefault="009542E5" w:rsidP="007A2050">
      <w:pPr>
        <w:jc w:val="both"/>
        <w:rPr>
          <w:lang w:val="en"/>
        </w:rPr>
      </w:pPr>
      <w:r>
        <w:rPr>
          <w:lang w:val="en"/>
        </w:rPr>
        <w:br/>
      </w:r>
      <w:r w:rsidR="007A2050" w:rsidRPr="002549D9">
        <w:rPr>
          <w:rFonts w:cs="Arial"/>
          <w:lang w:val="en"/>
        </w:rPr>
        <w:t xml:space="preserve">The Single Market is one of Europe’s </w:t>
      </w:r>
      <w:r w:rsidR="00123E04">
        <w:rPr>
          <w:rFonts w:cs="Arial"/>
          <w:lang w:val="en"/>
        </w:rPr>
        <w:t xml:space="preserve">greatest </w:t>
      </w:r>
      <w:r w:rsidR="007A2050" w:rsidRPr="002549D9">
        <w:rPr>
          <w:rFonts w:cs="Arial"/>
          <w:lang w:val="en"/>
        </w:rPr>
        <w:t>asset</w:t>
      </w:r>
      <w:r w:rsidR="007A2050">
        <w:rPr>
          <w:rFonts w:cs="Arial"/>
          <w:lang w:val="en"/>
        </w:rPr>
        <w:t>s</w:t>
      </w:r>
      <w:r w:rsidR="007A2050" w:rsidRPr="002549D9">
        <w:rPr>
          <w:rFonts w:cs="Arial"/>
          <w:lang w:val="en"/>
        </w:rPr>
        <w:t>. It is an engine for building a stronger and fairer EU economy</w:t>
      </w:r>
      <w:r w:rsidR="00F23259">
        <w:rPr>
          <w:rFonts w:cs="Arial"/>
          <w:lang w:val="en"/>
        </w:rPr>
        <w:t xml:space="preserve">, </w:t>
      </w:r>
      <w:r w:rsidR="007A2050" w:rsidRPr="002549D9">
        <w:rPr>
          <w:rFonts w:cs="Arial"/>
          <w:lang w:val="en"/>
        </w:rPr>
        <w:t>creating the jobs</w:t>
      </w:r>
      <w:r w:rsidR="00F23259">
        <w:rPr>
          <w:rFonts w:cs="Arial"/>
          <w:lang w:val="en"/>
        </w:rPr>
        <w:t>,</w:t>
      </w:r>
      <w:r w:rsidR="007A2050" w:rsidRPr="002549D9">
        <w:rPr>
          <w:rFonts w:cs="Arial"/>
          <w:lang w:val="en"/>
        </w:rPr>
        <w:t xml:space="preserve"> growth </w:t>
      </w:r>
      <w:r w:rsidR="00F23259">
        <w:rPr>
          <w:rFonts w:cs="Arial"/>
          <w:lang w:val="en"/>
        </w:rPr>
        <w:t xml:space="preserve">and competitiveness advantages </w:t>
      </w:r>
      <w:r w:rsidR="007A2050" w:rsidRPr="002549D9">
        <w:rPr>
          <w:rFonts w:cs="Arial"/>
          <w:lang w:val="en"/>
        </w:rPr>
        <w:t>Europe needs.</w:t>
      </w:r>
      <w:r w:rsidR="007A2050">
        <w:rPr>
          <w:rFonts w:cs="Arial"/>
          <w:lang w:val="en"/>
        </w:rPr>
        <w:t xml:space="preserve"> </w:t>
      </w:r>
      <w:r w:rsidR="007A2050" w:rsidRPr="002549D9">
        <w:rPr>
          <w:rFonts w:cs="Arial"/>
          <w:lang w:val="en"/>
        </w:rPr>
        <w:t>More integrated and deeper capital markets will channel more funding to companies, especially SMEs, and infrastructure projects. Better worker mobility will let people move more freely where their skills are needed. And combating tax evasion and tax fraud will ensure that all contribute their fair share.</w:t>
      </w:r>
    </w:p>
    <w:p w:rsidR="007A2050" w:rsidRDefault="007A2050" w:rsidP="003A4CF7">
      <w:pPr>
        <w:pStyle w:val="NormalWeb"/>
        <w:spacing w:line="276" w:lineRule="auto"/>
        <w:jc w:val="both"/>
        <w:rPr>
          <w:rFonts w:cs="Arial"/>
          <w:lang w:val="en"/>
        </w:rPr>
      </w:pPr>
      <w:r w:rsidRPr="00324DE6">
        <w:rPr>
          <w:rFonts w:asciiTheme="minorHAnsi" w:eastAsiaTheme="minorHAnsi" w:hAnsiTheme="minorHAnsi" w:cs="Arial"/>
          <w:sz w:val="22"/>
          <w:szCs w:val="22"/>
          <w:lang w:val="en" w:eastAsia="en-US"/>
        </w:rPr>
        <w:t xml:space="preserve">Regulatory Fitness initiatives contribute to these objectives making sure </w:t>
      </w:r>
      <w:r w:rsidR="00F23259">
        <w:rPr>
          <w:rFonts w:asciiTheme="minorHAnsi" w:eastAsiaTheme="minorHAnsi" w:hAnsiTheme="minorHAnsi" w:cs="Arial"/>
          <w:sz w:val="22"/>
          <w:szCs w:val="22"/>
          <w:lang w:val="en" w:eastAsia="en-US"/>
        </w:rPr>
        <w:t xml:space="preserve">existing </w:t>
      </w:r>
      <w:r w:rsidRPr="00324DE6">
        <w:rPr>
          <w:rFonts w:asciiTheme="minorHAnsi" w:eastAsiaTheme="minorHAnsi" w:hAnsiTheme="minorHAnsi" w:cs="Arial"/>
          <w:sz w:val="22"/>
          <w:szCs w:val="22"/>
          <w:lang w:val="en" w:eastAsia="en-US"/>
        </w:rPr>
        <w:t>legislation on the Single Market is fit for purpose and can fully deliver on its objectives and benefits</w:t>
      </w:r>
      <w:r w:rsidR="00F23259">
        <w:rPr>
          <w:rFonts w:asciiTheme="minorHAnsi" w:eastAsiaTheme="minorHAnsi" w:hAnsiTheme="minorHAnsi" w:cs="Arial"/>
          <w:sz w:val="22"/>
          <w:szCs w:val="22"/>
          <w:lang w:val="en" w:eastAsia="en-US"/>
        </w:rPr>
        <w:t xml:space="preserve"> in as simple a way as possible and without undue burdens</w:t>
      </w:r>
      <w:r w:rsidRPr="00324DE6">
        <w:rPr>
          <w:rFonts w:asciiTheme="minorHAnsi" w:eastAsiaTheme="minorHAnsi" w:hAnsiTheme="minorHAnsi" w:cs="Arial"/>
          <w:sz w:val="22"/>
          <w:szCs w:val="22"/>
          <w:lang w:val="en" w:eastAsia="en-US"/>
        </w:rPr>
        <w:t xml:space="preserve">. </w:t>
      </w:r>
      <w:r>
        <w:rPr>
          <w:rFonts w:asciiTheme="minorHAnsi" w:eastAsiaTheme="minorHAnsi" w:hAnsiTheme="minorHAnsi" w:cs="Arial"/>
          <w:sz w:val="22"/>
          <w:szCs w:val="22"/>
          <w:lang w:val="en" w:eastAsia="en-US"/>
        </w:rPr>
        <w:t xml:space="preserve">REFIT </w:t>
      </w:r>
      <w:r w:rsidRPr="00324DE6">
        <w:rPr>
          <w:rFonts w:asciiTheme="minorHAnsi" w:eastAsiaTheme="minorHAnsi" w:hAnsiTheme="minorHAnsi" w:cs="Arial"/>
          <w:sz w:val="22"/>
          <w:szCs w:val="22"/>
          <w:lang w:val="en" w:eastAsia="en-US"/>
        </w:rPr>
        <w:t xml:space="preserve">initiatives are being pursued in a </w:t>
      </w:r>
      <w:r>
        <w:rPr>
          <w:rFonts w:asciiTheme="minorHAnsi" w:eastAsiaTheme="minorHAnsi" w:hAnsiTheme="minorHAnsi" w:cs="Arial"/>
          <w:sz w:val="22"/>
          <w:szCs w:val="22"/>
          <w:lang w:val="en" w:eastAsia="en-US"/>
        </w:rPr>
        <w:t>number of policy areas including competition; financial services; health and food safety; internal market, industry, entrepreneurship and SMEs; transport and mobility; taxation and customs and communications networks and technology.</w:t>
      </w:r>
    </w:p>
    <w:p w:rsidR="007A2050" w:rsidRPr="00AD522F" w:rsidRDefault="007A2050" w:rsidP="00FB23E5">
      <w:pPr>
        <w:pStyle w:val="Heading4"/>
        <w:numPr>
          <w:ilvl w:val="0"/>
          <w:numId w:val="41"/>
        </w:numPr>
        <w:rPr>
          <w:bCs w:val="0"/>
          <w:i w:val="0"/>
          <w:color w:val="365F91" w:themeColor="accent1" w:themeShade="BF"/>
          <w:sz w:val="28"/>
          <w:szCs w:val="28"/>
        </w:rPr>
      </w:pPr>
      <w:r w:rsidRPr="00AD522F">
        <w:rPr>
          <w:bCs w:val="0"/>
          <w:i w:val="0"/>
          <w:color w:val="365F91" w:themeColor="accent1" w:themeShade="BF"/>
          <w:sz w:val="28"/>
          <w:szCs w:val="28"/>
        </w:rPr>
        <w:t>New REFIT Initiatives</w:t>
      </w:r>
    </w:p>
    <w:p w:rsidR="007A2050" w:rsidRPr="001D1110" w:rsidRDefault="009542E5" w:rsidP="007A2050">
      <w:pPr>
        <w:jc w:val="both"/>
        <w:rPr>
          <w:i/>
          <w:u w:val="single"/>
          <w:lang w:val="en"/>
        </w:rPr>
      </w:pPr>
      <w:r>
        <w:rPr>
          <w:lang w:val="en"/>
        </w:rPr>
        <w:br/>
      </w:r>
      <w:r w:rsidR="007A2050">
        <w:rPr>
          <w:lang w:val="en"/>
        </w:rPr>
        <w:t>T</w:t>
      </w:r>
      <w:r w:rsidR="007A2050" w:rsidRPr="000D5F3E">
        <w:rPr>
          <w:lang w:val="en"/>
        </w:rPr>
        <w:t>he Commission will carry-out the following legislative revisions</w:t>
      </w:r>
      <w:r w:rsidR="007A2050">
        <w:rPr>
          <w:lang w:val="en"/>
        </w:rPr>
        <w:t xml:space="preserve"> within </w:t>
      </w:r>
      <w:r w:rsidR="007A2050" w:rsidRPr="00775A52">
        <w:rPr>
          <w:lang w:val="en"/>
        </w:rPr>
        <w:t xml:space="preserve">its </w:t>
      </w:r>
      <w:r w:rsidR="007A2050" w:rsidRPr="001D1110">
        <w:rPr>
          <w:b/>
          <w:i/>
          <w:u w:val="single"/>
          <w:lang w:val="en"/>
        </w:rPr>
        <w:t>Work Programme for 2017</w:t>
      </w:r>
      <w:r w:rsidR="007A2050" w:rsidRPr="001D1110">
        <w:rPr>
          <w:i/>
          <w:u w:val="single"/>
          <w:lang w:val="en"/>
        </w:rPr>
        <w:t>:</w:t>
      </w:r>
      <w:r w:rsidR="007A2050" w:rsidRPr="001D1110" w:rsidDel="000D5F3E">
        <w:rPr>
          <w:i/>
          <w:u w:val="single"/>
          <w:lang w:val="en"/>
        </w:rPr>
        <w:t xml:space="preserve"> </w:t>
      </w:r>
    </w:p>
    <w:p w:rsidR="007A2050" w:rsidRPr="001D1110" w:rsidRDefault="007A2050" w:rsidP="007A2050">
      <w:pPr>
        <w:jc w:val="both"/>
        <w:rPr>
          <w:b/>
          <w:i/>
          <w:lang w:val="en"/>
        </w:rPr>
      </w:pPr>
      <w:r w:rsidRPr="001D1110">
        <w:rPr>
          <w:b/>
          <w:i/>
          <w:lang w:val="en"/>
        </w:rPr>
        <w:t>In the area of competition:</w:t>
      </w:r>
    </w:p>
    <w:p w:rsidR="007A2050" w:rsidRPr="00E405E8" w:rsidRDefault="007A2050" w:rsidP="007A2050">
      <w:pPr>
        <w:pStyle w:val="ListParagraph"/>
        <w:numPr>
          <w:ilvl w:val="0"/>
          <w:numId w:val="11"/>
        </w:numPr>
        <w:jc w:val="both"/>
        <w:rPr>
          <w:rFonts w:asciiTheme="minorHAnsi" w:hAnsiTheme="minorHAnsi"/>
          <w:sz w:val="24"/>
          <w:lang w:val="en"/>
        </w:rPr>
      </w:pPr>
      <w:r>
        <w:rPr>
          <w:rFonts w:asciiTheme="minorHAnsi" w:hAnsiTheme="minorHAnsi"/>
          <w:i/>
          <w:noProof/>
          <w:szCs w:val="20"/>
          <w:lang w:val="en"/>
        </w:rPr>
        <w:t xml:space="preserve">The </w:t>
      </w:r>
      <w:r w:rsidRPr="000135BE">
        <w:rPr>
          <w:rFonts w:asciiTheme="minorHAnsi" w:hAnsiTheme="minorHAnsi"/>
          <w:b/>
          <w:i/>
          <w:noProof/>
          <w:szCs w:val="20"/>
        </w:rPr>
        <w:t>General Block Exemption Regulation (GBER</w:t>
      </w:r>
      <w:r w:rsidRPr="000135BE">
        <w:rPr>
          <w:rFonts w:asciiTheme="minorHAnsi" w:hAnsiTheme="minorHAnsi"/>
          <w:b/>
          <w:noProof/>
          <w:szCs w:val="20"/>
        </w:rPr>
        <w:t>)</w:t>
      </w:r>
      <w:r>
        <w:rPr>
          <w:rFonts w:asciiTheme="minorHAnsi" w:hAnsiTheme="minorHAnsi"/>
          <w:noProof/>
          <w:szCs w:val="20"/>
        </w:rPr>
        <w:t xml:space="preserve"> will be </w:t>
      </w:r>
      <w:r w:rsidRPr="00F27594">
        <w:rPr>
          <w:rFonts w:asciiTheme="minorHAnsi" w:hAnsiTheme="minorHAnsi"/>
          <w:noProof/>
          <w:szCs w:val="20"/>
        </w:rPr>
        <w:t xml:space="preserve">revised to </w:t>
      </w:r>
      <w:r w:rsidR="0010079E" w:rsidRPr="00E405E8">
        <w:rPr>
          <w:rFonts w:asciiTheme="minorHAnsi" w:hAnsiTheme="minorHAnsi"/>
          <w:noProof/>
          <w:szCs w:val="20"/>
        </w:rPr>
        <w:t xml:space="preserve">facilitate appropriate  public support </w:t>
      </w:r>
      <w:r w:rsidRPr="00E405E8">
        <w:rPr>
          <w:rFonts w:asciiTheme="minorHAnsi" w:hAnsiTheme="minorHAnsi"/>
          <w:noProof/>
          <w:szCs w:val="20"/>
        </w:rPr>
        <w:t>for ports and airports.</w:t>
      </w:r>
    </w:p>
    <w:p w:rsidR="007A2050" w:rsidRPr="001D1110" w:rsidRDefault="007A2050" w:rsidP="007A2050">
      <w:pPr>
        <w:jc w:val="both"/>
        <w:rPr>
          <w:b/>
          <w:i/>
          <w:lang w:val="en"/>
        </w:rPr>
      </w:pPr>
      <w:r w:rsidRPr="001D1110">
        <w:rPr>
          <w:b/>
          <w:i/>
          <w:lang w:val="en"/>
        </w:rPr>
        <w:t>In the area of taxation and customs:</w:t>
      </w:r>
    </w:p>
    <w:p w:rsidR="007A2050" w:rsidRPr="00324DE6" w:rsidRDefault="007A2050" w:rsidP="007A2050">
      <w:pPr>
        <w:pStyle w:val="ListParagraph"/>
        <w:numPr>
          <w:ilvl w:val="0"/>
          <w:numId w:val="11"/>
        </w:numPr>
        <w:jc w:val="both"/>
        <w:rPr>
          <w:rFonts w:asciiTheme="minorHAnsi" w:hAnsiTheme="minorHAnsi"/>
          <w:noProof/>
          <w:szCs w:val="20"/>
        </w:rPr>
      </w:pPr>
      <w:r w:rsidRPr="00324DE6">
        <w:rPr>
          <w:rFonts w:asciiTheme="minorHAnsi" w:hAnsiTheme="minorHAnsi"/>
          <w:noProof/>
          <w:szCs w:val="20"/>
        </w:rPr>
        <w:t xml:space="preserve">The Commission will bring forward measures to </w:t>
      </w:r>
      <w:r w:rsidRPr="001D1110">
        <w:rPr>
          <w:rFonts w:asciiTheme="minorHAnsi" w:hAnsiTheme="minorHAnsi"/>
          <w:i/>
          <w:noProof/>
          <w:szCs w:val="20"/>
        </w:rPr>
        <w:t>implement the</w:t>
      </w:r>
      <w:r w:rsidRPr="00324DE6">
        <w:rPr>
          <w:rFonts w:asciiTheme="minorHAnsi" w:hAnsiTheme="minorHAnsi"/>
          <w:b/>
          <w:i/>
          <w:noProof/>
          <w:szCs w:val="20"/>
        </w:rPr>
        <w:t xml:space="preserve"> VAT Action Plan</w:t>
      </w:r>
      <w:r w:rsidRPr="00324DE6">
        <w:rPr>
          <w:rFonts w:asciiTheme="minorHAnsi" w:hAnsiTheme="minorHAnsi"/>
          <w:noProof/>
          <w:szCs w:val="20"/>
        </w:rPr>
        <w:t xml:space="preserve">, to simplify VAT for smaller companies and set the foundations for a modern, more efficient, business-friendly and fraud-proof definitive VAT regime across Europe, taking account of the </w:t>
      </w:r>
      <w:r>
        <w:rPr>
          <w:rFonts w:asciiTheme="minorHAnsi" w:hAnsiTheme="minorHAnsi"/>
          <w:noProof/>
          <w:szCs w:val="20"/>
        </w:rPr>
        <w:t>o</w:t>
      </w:r>
      <w:r w:rsidRPr="00324DE6">
        <w:rPr>
          <w:rFonts w:asciiTheme="minorHAnsi" w:hAnsiTheme="minorHAnsi"/>
          <w:noProof/>
          <w:szCs w:val="20"/>
        </w:rPr>
        <w:t>pinons of the REFIT Platform. A more effective and proportionate approach to VAT rates is a key element of this reform.</w:t>
      </w:r>
    </w:p>
    <w:p w:rsidR="00AD522F" w:rsidRPr="003367C6" w:rsidRDefault="007A2050" w:rsidP="00AD522F">
      <w:pPr>
        <w:pStyle w:val="ListParagraph"/>
        <w:numPr>
          <w:ilvl w:val="0"/>
          <w:numId w:val="13"/>
        </w:numPr>
        <w:jc w:val="both"/>
        <w:rPr>
          <w:noProof/>
        </w:rPr>
      </w:pPr>
      <w:r w:rsidRPr="005F3036">
        <w:rPr>
          <w:noProof/>
        </w:rPr>
        <w:t xml:space="preserve">General arrangements for </w:t>
      </w:r>
      <w:r w:rsidRPr="00324DE6">
        <w:rPr>
          <w:b/>
          <w:i/>
          <w:noProof/>
        </w:rPr>
        <w:t>excise duty</w:t>
      </w:r>
      <w:r w:rsidRPr="005F3036">
        <w:rPr>
          <w:noProof/>
        </w:rPr>
        <w:t xml:space="preserve"> will be revised to align and ensure coherence between customs and excise legislation, improve legal certainty and ensure the uniform application of EU legislation.</w:t>
      </w:r>
      <w:r>
        <w:rPr>
          <w:rFonts w:asciiTheme="minorHAnsi" w:hAnsiTheme="minorHAnsi"/>
          <w:noProof/>
        </w:rPr>
        <w:t xml:space="preserve"> At the same time, the</w:t>
      </w:r>
      <w:r w:rsidRPr="005F3036">
        <w:rPr>
          <w:noProof/>
        </w:rPr>
        <w:t xml:space="preserve"> Commission will also revise the structures</w:t>
      </w:r>
      <w:r>
        <w:rPr>
          <w:rFonts w:asciiTheme="minorHAnsi" w:hAnsiTheme="minorHAnsi"/>
          <w:noProof/>
        </w:rPr>
        <w:t xml:space="preserve"> of </w:t>
      </w:r>
      <w:r w:rsidRPr="00324DE6">
        <w:rPr>
          <w:rFonts w:asciiTheme="minorHAnsi" w:hAnsiTheme="minorHAnsi"/>
          <w:noProof/>
        </w:rPr>
        <w:t>excise dut</w:t>
      </w:r>
      <w:r w:rsidR="008342E3">
        <w:rPr>
          <w:rFonts w:asciiTheme="minorHAnsi" w:hAnsiTheme="minorHAnsi"/>
          <w:noProof/>
        </w:rPr>
        <w:t>ies</w:t>
      </w:r>
      <w:r w:rsidRPr="00324DE6">
        <w:rPr>
          <w:rFonts w:asciiTheme="minorHAnsi" w:hAnsiTheme="minorHAnsi"/>
          <w:noProof/>
        </w:rPr>
        <w:t xml:space="preserve"> applied to alcohol and alcoholic beverages</w:t>
      </w:r>
      <w:r w:rsidRPr="005F3036">
        <w:rPr>
          <w:rFonts w:asciiTheme="minorHAnsi" w:hAnsiTheme="minorHAnsi"/>
          <w:noProof/>
        </w:rPr>
        <w:t>.</w:t>
      </w:r>
      <w:r w:rsidR="00AD522F" w:rsidRPr="00AD522F">
        <w:rPr>
          <w:b/>
          <w:i/>
          <w:lang w:val="en"/>
        </w:rPr>
        <w:t xml:space="preserve"> </w:t>
      </w:r>
      <w:r w:rsidR="003367C6" w:rsidRPr="003367C6">
        <w:rPr>
          <w:noProof/>
        </w:rPr>
        <w:t>This follows on an evaluation.</w:t>
      </w:r>
    </w:p>
    <w:p w:rsidR="00AD522F" w:rsidRPr="009D2402" w:rsidRDefault="00AD522F" w:rsidP="00AD522F">
      <w:pPr>
        <w:pStyle w:val="ListParagraph"/>
        <w:numPr>
          <w:ilvl w:val="0"/>
          <w:numId w:val="13"/>
        </w:numPr>
        <w:jc w:val="both"/>
        <w:rPr>
          <w:lang w:val="en"/>
        </w:rPr>
      </w:pPr>
      <w:r w:rsidRPr="00AD522F">
        <w:rPr>
          <w:b/>
          <w:i/>
          <w:lang w:val="en"/>
        </w:rPr>
        <w:t>Common Consolidated Corporate Tax Base (CCCTB):</w:t>
      </w:r>
      <w:r w:rsidRPr="00AD522F">
        <w:rPr>
          <w:i/>
          <w:lang w:val="en"/>
        </w:rPr>
        <w:t xml:space="preserve"> </w:t>
      </w:r>
      <w:r w:rsidR="006A518B" w:rsidRPr="00094D02">
        <w:rPr>
          <w:lang w:val="en"/>
        </w:rPr>
        <w:t>In parallel with its Work Programme</w:t>
      </w:r>
      <w:r w:rsidR="006A518B">
        <w:rPr>
          <w:lang w:val="en"/>
        </w:rPr>
        <w:t xml:space="preserve"> for 2017</w:t>
      </w:r>
      <w:r w:rsidR="006A518B" w:rsidRPr="00094D02">
        <w:rPr>
          <w:lang w:val="en"/>
        </w:rPr>
        <w:t>, the Commission is re-launching the Common Consolidated Corporate Tax Base with a compulsory common tax base as the first step</w:t>
      </w:r>
      <w:r w:rsidRPr="009D2402">
        <w:rPr>
          <w:lang w:val="en"/>
        </w:rPr>
        <w:t>.</w:t>
      </w:r>
    </w:p>
    <w:p w:rsidR="00AD522F" w:rsidRPr="009A6469" w:rsidRDefault="00AD522F" w:rsidP="00AD522F">
      <w:pPr>
        <w:pBdr>
          <w:top w:val="single" w:sz="4" w:space="1" w:color="auto"/>
          <w:left w:val="single" w:sz="4" w:space="4" w:color="auto"/>
          <w:bottom w:val="single" w:sz="4" w:space="1" w:color="auto"/>
          <w:right w:val="single" w:sz="4" w:space="4" w:color="auto"/>
        </w:pBdr>
        <w:jc w:val="both"/>
        <w:rPr>
          <w:lang w:val="en"/>
        </w:rPr>
      </w:pPr>
      <w:r w:rsidRPr="009D2402">
        <w:rPr>
          <w:b/>
          <w:i/>
          <w:lang w:val="en"/>
        </w:rPr>
        <w:t xml:space="preserve">Common </w:t>
      </w:r>
      <w:r w:rsidRPr="00AD522F">
        <w:rPr>
          <w:b/>
          <w:i/>
          <w:lang w:val="en"/>
        </w:rPr>
        <w:t>Consolidated Corporate Tax Base (CCCTB):</w:t>
      </w:r>
      <w:r w:rsidRPr="00AD522F">
        <w:rPr>
          <w:lang w:val="en"/>
        </w:rPr>
        <w:t xml:space="preserve">  </w:t>
      </w:r>
      <w:r w:rsidR="00B90B1F">
        <w:rPr>
          <w:lang w:val="en"/>
        </w:rPr>
        <w:t xml:space="preserve">Estimates indicate that regulatory measures could </w:t>
      </w:r>
      <w:r w:rsidRPr="00AD522F">
        <w:rPr>
          <w:lang w:val="en"/>
        </w:rPr>
        <w:t>reduce time costs for setting up a new subsidiary in a Member State by up to 67%. If</w:t>
      </w:r>
      <w:r w:rsidRPr="009D2402">
        <w:rPr>
          <w:lang w:val="en"/>
        </w:rPr>
        <w:t xml:space="preserve"> 5% of </w:t>
      </w:r>
      <w:r w:rsidRPr="009D2402">
        <w:rPr>
          <w:lang w:val="en"/>
        </w:rPr>
        <w:lastRenderedPageBreak/>
        <w:t xml:space="preserve">medium-sized companies would expand abroad, a one-off cost saving of around EUR 1 billion could be expected. If all multinational entities apply </w:t>
      </w:r>
      <w:r w:rsidR="000C510D">
        <w:rPr>
          <w:lang w:val="en"/>
        </w:rPr>
        <w:t xml:space="preserve">a </w:t>
      </w:r>
      <w:r w:rsidRPr="009D2402">
        <w:rPr>
          <w:lang w:val="en"/>
        </w:rPr>
        <w:t>CCCTB</w:t>
      </w:r>
      <w:r w:rsidR="000C510D">
        <w:rPr>
          <w:lang w:val="en"/>
        </w:rPr>
        <w:t>,</w:t>
      </w:r>
      <w:r w:rsidRPr="009D2402">
        <w:rPr>
          <w:lang w:val="en"/>
        </w:rPr>
        <w:t xml:space="preserve"> recurring compliance costs could go down by about EUR 0.8 billion</w:t>
      </w:r>
      <w:r w:rsidRPr="00AD522F">
        <w:rPr>
          <w:lang w:val="en"/>
        </w:rPr>
        <w:t>.</w:t>
      </w:r>
      <w:r>
        <w:rPr>
          <w:lang w:val="en"/>
        </w:rPr>
        <w:t xml:space="preserve"> </w:t>
      </w:r>
      <w:r w:rsidRPr="009A6469">
        <w:rPr>
          <w:lang w:val="en"/>
        </w:rPr>
        <w:t xml:space="preserve"> </w:t>
      </w:r>
    </w:p>
    <w:p w:rsidR="007A2050" w:rsidRPr="001D1110" w:rsidRDefault="007A2050" w:rsidP="007A2050">
      <w:pPr>
        <w:jc w:val="both"/>
        <w:rPr>
          <w:b/>
          <w:i/>
          <w:lang w:val="en"/>
        </w:rPr>
      </w:pPr>
      <w:r w:rsidRPr="001D1110">
        <w:rPr>
          <w:b/>
          <w:i/>
          <w:lang w:val="en"/>
        </w:rPr>
        <w:t>In the area of internal market, industry, entrepreneurship and SMEs:</w:t>
      </w:r>
    </w:p>
    <w:p w:rsidR="00FF0D49" w:rsidRPr="00094D02" w:rsidRDefault="007A2050" w:rsidP="006A518B">
      <w:pPr>
        <w:pStyle w:val="ListParagraph"/>
        <w:numPr>
          <w:ilvl w:val="0"/>
          <w:numId w:val="13"/>
        </w:numPr>
        <w:jc w:val="both"/>
        <w:rPr>
          <w:rFonts w:asciiTheme="minorHAnsi" w:hAnsiTheme="minorHAnsi"/>
          <w:noProof/>
        </w:rPr>
      </w:pPr>
      <w:r w:rsidRPr="00324DE6">
        <w:rPr>
          <w:rFonts w:asciiTheme="minorHAnsi" w:hAnsiTheme="minorHAnsi"/>
          <w:noProof/>
          <w:szCs w:val="20"/>
        </w:rPr>
        <w:t xml:space="preserve">The Commission will act to strengthen the </w:t>
      </w:r>
      <w:r w:rsidRPr="00324DE6">
        <w:rPr>
          <w:rFonts w:asciiTheme="minorHAnsi" w:hAnsiTheme="minorHAnsi"/>
          <w:b/>
          <w:i/>
          <w:noProof/>
          <w:szCs w:val="20"/>
        </w:rPr>
        <w:t xml:space="preserve">single market </w:t>
      </w:r>
      <w:r w:rsidR="00FF0D49">
        <w:rPr>
          <w:rFonts w:asciiTheme="minorHAnsi" w:hAnsiTheme="minorHAnsi"/>
          <w:b/>
          <w:i/>
          <w:noProof/>
          <w:szCs w:val="20"/>
        </w:rPr>
        <w:t>in</w:t>
      </w:r>
      <w:r w:rsidRPr="00324DE6">
        <w:rPr>
          <w:rFonts w:asciiTheme="minorHAnsi" w:hAnsiTheme="minorHAnsi"/>
          <w:b/>
          <w:i/>
          <w:noProof/>
          <w:szCs w:val="20"/>
        </w:rPr>
        <w:t xml:space="preserve"> goods</w:t>
      </w:r>
      <w:r w:rsidRPr="00324DE6">
        <w:rPr>
          <w:rFonts w:asciiTheme="minorHAnsi" w:hAnsiTheme="minorHAnsi"/>
          <w:noProof/>
          <w:szCs w:val="20"/>
        </w:rPr>
        <w:t xml:space="preserve">, notably by facilitating </w:t>
      </w:r>
      <w:r w:rsidRPr="006A518B">
        <w:rPr>
          <w:rFonts w:asciiTheme="minorHAnsi" w:hAnsiTheme="minorHAnsi"/>
          <w:noProof/>
        </w:rPr>
        <w:t>mutual recognition and addressing the increasing amount of non-compliant products on the EU market through revisions of the relevant legislation.</w:t>
      </w:r>
      <w:r w:rsidR="00FF0D49" w:rsidRPr="006A518B">
        <w:rPr>
          <w:rFonts w:asciiTheme="minorHAnsi" w:hAnsiTheme="minorHAnsi"/>
          <w:noProof/>
        </w:rPr>
        <w:t xml:space="preserve"> </w:t>
      </w:r>
      <w:r w:rsidR="00FF0D49" w:rsidRPr="00094D02">
        <w:rPr>
          <w:rFonts w:asciiTheme="minorHAnsi" w:hAnsiTheme="minorHAnsi"/>
          <w:noProof/>
        </w:rPr>
        <w:t>This will allow entrepreneurs to offer their products more easily across borders while offering incentives to boost regulatory compliance and restoring the level playing field to the benefit of businesses and citizens.</w:t>
      </w:r>
    </w:p>
    <w:p w:rsidR="007A2050" w:rsidRPr="001D1110" w:rsidRDefault="007A2050" w:rsidP="002A4AB7">
      <w:pPr>
        <w:jc w:val="both"/>
        <w:rPr>
          <w:b/>
          <w:i/>
          <w:lang w:val="en"/>
        </w:rPr>
      </w:pPr>
      <w:r w:rsidRPr="001D1110">
        <w:rPr>
          <w:b/>
          <w:i/>
          <w:lang w:val="en"/>
        </w:rPr>
        <w:t>In the area of mobility and transport:</w:t>
      </w:r>
      <w:r w:rsidR="00C25D40" w:rsidRPr="001D1110">
        <w:rPr>
          <w:b/>
          <w:i/>
          <w:lang w:val="en"/>
        </w:rPr>
        <w:t xml:space="preserve"> </w:t>
      </w:r>
    </w:p>
    <w:p w:rsidR="007A2050" w:rsidRPr="00324DE6" w:rsidRDefault="00C25D40" w:rsidP="003A4CF7">
      <w:pPr>
        <w:pStyle w:val="ListParagraph"/>
        <w:numPr>
          <w:ilvl w:val="0"/>
          <w:numId w:val="13"/>
        </w:numPr>
        <w:ind w:left="714" w:hanging="357"/>
        <w:jc w:val="both"/>
        <w:rPr>
          <w:noProof/>
          <w:szCs w:val="20"/>
        </w:rPr>
      </w:pPr>
      <w:r>
        <w:rPr>
          <w:rFonts w:asciiTheme="minorHAnsi" w:hAnsiTheme="minorHAnsi"/>
          <w:noProof/>
          <w:szCs w:val="20"/>
        </w:rPr>
        <w:t>T</w:t>
      </w:r>
      <w:r w:rsidR="007A2050" w:rsidRPr="00324DE6">
        <w:rPr>
          <w:rFonts w:asciiTheme="minorHAnsi" w:hAnsiTheme="minorHAnsi"/>
          <w:noProof/>
          <w:szCs w:val="20"/>
        </w:rPr>
        <w:t>he Commiss</w:t>
      </w:r>
      <w:r w:rsidR="00C730C0">
        <w:rPr>
          <w:rFonts w:asciiTheme="minorHAnsi" w:hAnsiTheme="minorHAnsi"/>
          <w:noProof/>
          <w:szCs w:val="20"/>
        </w:rPr>
        <w:t>i</w:t>
      </w:r>
      <w:r w:rsidR="007A2050" w:rsidRPr="00324DE6">
        <w:rPr>
          <w:rFonts w:asciiTheme="minorHAnsi" w:hAnsiTheme="minorHAnsi"/>
          <w:noProof/>
          <w:szCs w:val="20"/>
        </w:rPr>
        <w:t xml:space="preserve">on will revise legislation on </w:t>
      </w:r>
      <w:r w:rsidR="007A2050" w:rsidRPr="00324DE6">
        <w:rPr>
          <w:rFonts w:asciiTheme="minorHAnsi" w:hAnsiTheme="minorHAnsi"/>
          <w:b/>
          <w:i/>
          <w:noProof/>
          <w:szCs w:val="20"/>
        </w:rPr>
        <w:t>Training, Qualification, Licensing in Road Transport</w:t>
      </w:r>
      <w:r w:rsidR="007A2050" w:rsidRPr="00324DE6">
        <w:rPr>
          <w:rFonts w:asciiTheme="minorHAnsi" w:hAnsiTheme="minorHAnsi"/>
          <w:noProof/>
          <w:szCs w:val="20"/>
        </w:rPr>
        <w:t>.</w:t>
      </w:r>
    </w:p>
    <w:p w:rsidR="007A2050" w:rsidRPr="00F27594" w:rsidRDefault="00C25D40" w:rsidP="003A4CF7">
      <w:pPr>
        <w:pStyle w:val="ListParagraph"/>
        <w:numPr>
          <w:ilvl w:val="0"/>
          <w:numId w:val="12"/>
        </w:numPr>
        <w:ind w:left="714" w:hanging="357"/>
        <w:jc w:val="both"/>
        <w:rPr>
          <w:rFonts w:asciiTheme="minorHAnsi" w:hAnsiTheme="minorHAnsi"/>
          <w:lang w:val="en"/>
        </w:rPr>
      </w:pPr>
      <w:r>
        <w:rPr>
          <w:rFonts w:asciiTheme="minorHAnsi" w:hAnsiTheme="minorHAnsi"/>
          <w:noProof/>
        </w:rPr>
        <w:t>R</w:t>
      </w:r>
      <w:r w:rsidR="007A2050" w:rsidRPr="00F27594">
        <w:rPr>
          <w:rFonts w:asciiTheme="minorHAnsi" w:hAnsiTheme="minorHAnsi"/>
          <w:noProof/>
        </w:rPr>
        <w:t xml:space="preserve">ules for </w:t>
      </w:r>
      <w:r w:rsidR="007A2050" w:rsidRPr="00324DE6">
        <w:rPr>
          <w:rFonts w:asciiTheme="minorHAnsi" w:hAnsiTheme="minorHAnsi"/>
          <w:b/>
          <w:i/>
          <w:noProof/>
        </w:rPr>
        <w:t>access to the International market for coach and bus services</w:t>
      </w:r>
      <w:r w:rsidR="007A2050" w:rsidRPr="00324DE6">
        <w:rPr>
          <w:rFonts w:asciiTheme="minorHAnsi" w:hAnsiTheme="minorHAnsi"/>
          <w:b/>
          <w:noProof/>
        </w:rPr>
        <w:t xml:space="preserve"> </w:t>
      </w:r>
      <w:r w:rsidR="007A2050" w:rsidRPr="00F27594">
        <w:rPr>
          <w:rFonts w:asciiTheme="minorHAnsi" w:hAnsiTheme="minorHAnsi"/>
          <w:noProof/>
        </w:rPr>
        <w:t>will be revised in order to improve compe</w:t>
      </w:r>
      <w:r w:rsidR="00123E04">
        <w:rPr>
          <w:rFonts w:asciiTheme="minorHAnsi" w:hAnsiTheme="minorHAnsi"/>
          <w:noProof/>
        </w:rPr>
        <w:t>ti</w:t>
      </w:r>
      <w:r w:rsidR="007A2050" w:rsidRPr="00F27594">
        <w:rPr>
          <w:rFonts w:asciiTheme="minorHAnsi" w:hAnsiTheme="minorHAnsi"/>
          <w:noProof/>
        </w:rPr>
        <w:t>tion on domestic coach markets</w:t>
      </w:r>
      <w:r w:rsidR="00F96BA1">
        <w:rPr>
          <w:rFonts w:asciiTheme="minorHAnsi" w:hAnsiTheme="minorHAnsi"/>
          <w:noProof/>
        </w:rPr>
        <w:t xml:space="preserve"> and</w:t>
      </w:r>
      <w:r w:rsidR="007A2050" w:rsidRPr="00F27594">
        <w:rPr>
          <w:rFonts w:asciiTheme="minorHAnsi" w:hAnsiTheme="minorHAnsi"/>
          <w:noProof/>
        </w:rPr>
        <w:t xml:space="preserve"> ensure non-discriminatory access to terminals</w:t>
      </w:r>
      <w:r w:rsidR="00F96BA1">
        <w:rPr>
          <w:rFonts w:asciiTheme="minorHAnsi" w:hAnsiTheme="minorHAnsi"/>
          <w:noProof/>
        </w:rPr>
        <w:t xml:space="preserve"> and other infrastructure</w:t>
      </w:r>
      <w:r w:rsidR="007A2050" w:rsidRPr="00F27594">
        <w:rPr>
          <w:rFonts w:asciiTheme="minorHAnsi" w:hAnsiTheme="minorHAnsi"/>
          <w:noProof/>
        </w:rPr>
        <w:t>.</w:t>
      </w:r>
    </w:p>
    <w:p w:rsidR="007A2050" w:rsidRPr="00F27594" w:rsidRDefault="007A2050" w:rsidP="003A4CF7">
      <w:pPr>
        <w:pStyle w:val="ListParagraph"/>
        <w:numPr>
          <w:ilvl w:val="0"/>
          <w:numId w:val="12"/>
        </w:numPr>
        <w:ind w:left="714" w:hanging="357"/>
        <w:jc w:val="both"/>
        <w:rPr>
          <w:rFonts w:asciiTheme="minorHAnsi" w:hAnsiTheme="minorHAnsi"/>
          <w:lang w:val="en"/>
        </w:rPr>
      </w:pPr>
      <w:r w:rsidRPr="00324DE6">
        <w:rPr>
          <w:rFonts w:asciiTheme="minorHAnsi" w:hAnsiTheme="minorHAnsi"/>
          <w:noProof/>
        </w:rPr>
        <w:t xml:space="preserve">The Commission will </w:t>
      </w:r>
      <w:r w:rsidR="00C25D40">
        <w:rPr>
          <w:rFonts w:asciiTheme="minorHAnsi" w:hAnsiTheme="minorHAnsi"/>
          <w:noProof/>
        </w:rPr>
        <w:t xml:space="preserve">propose how to </w:t>
      </w:r>
      <w:r w:rsidRPr="00324DE6">
        <w:rPr>
          <w:rFonts w:asciiTheme="minorHAnsi" w:hAnsiTheme="minorHAnsi"/>
          <w:noProof/>
        </w:rPr>
        <w:t>simplify rules on</w:t>
      </w:r>
      <w:r>
        <w:rPr>
          <w:rFonts w:asciiTheme="minorHAnsi" w:hAnsiTheme="minorHAnsi"/>
          <w:i/>
          <w:noProof/>
        </w:rPr>
        <w:t xml:space="preserve"> </w:t>
      </w:r>
      <w:r w:rsidRPr="00324DE6">
        <w:rPr>
          <w:rFonts w:asciiTheme="minorHAnsi" w:hAnsiTheme="minorHAnsi"/>
          <w:b/>
          <w:i/>
          <w:noProof/>
        </w:rPr>
        <w:t>access to the EU road haulage</w:t>
      </w:r>
      <w:r w:rsidRPr="00F27594">
        <w:rPr>
          <w:rFonts w:asciiTheme="minorHAnsi" w:hAnsiTheme="minorHAnsi"/>
          <w:noProof/>
        </w:rPr>
        <w:t xml:space="preserve"> market</w:t>
      </w:r>
      <w:r>
        <w:rPr>
          <w:rFonts w:asciiTheme="minorHAnsi" w:hAnsiTheme="minorHAnsi"/>
          <w:noProof/>
        </w:rPr>
        <w:t>,</w:t>
      </w:r>
      <w:r w:rsidRPr="00F27594">
        <w:rPr>
          <w:rFonts w:asciiTheme="minorHAnsi" w:hAnsiTheme="minorHAnsi"/>
          <w:noProof/>
        </w:rPr>
        <w:t xml:space="preserve"> facilitate implementation and strengthen </w:t>
      </w:r>
      <w:r w:rsidR="000C510D">
        <w:rPr>
          <w:rFonts w:asciiTheme="minorHAnsi" w:hAnsiTheme="minorHAnsi"/>
          <w:noProof/>
        </w:rPr>
        <w:t>a</w:t>
      </w:r>
      <w:r w:rsidR="000C510D" w:rsidRPr="00F27594">
        <w:rPr>
          <w:rFonts w:asciiTheme="minorHAnsi" w:hAnsiTheme="minorHAnsi"/>
          <w:noProof/>
        </w:rPr>
        <w:t xml:space="preserve"> </w:t>
      </w:r>
      <w:r w:rsidRPr="00F27594">
        <w:rPr>
          <w:rFonts w:asciiTheme="minorHAnsi" w:hAnsiTheme="minorHAnsi"/>
          <w:noProof/>
        </w:rPr>
        <w:t>level playing field.</w:t>
      </w:r>
    </w:p>
    <w:p w:rsidR="007A2050" w:rsidRPr="00F27594" w:rsidRDefault="007A2050" w:rsidP="003A4CF7">
      <w:pPr>
        <w:pStyle w:val="ListParagraph"/>
        <w:numPr>
          <w:ilvl w:val="0"/>
          <w:numId w:val="12"/>
        </w:numPr>
        <w:spacing w:after="0"/>
        <w:ind w:left="714" w:hanging="357"/>
        <w:jc w:val="both"/>
        <w:rPr>
          <w:rFonts w:asciiTheme="minorHAnsi" w:hAnsiTheme="minorHAnsi"/>
          <w:noProof/>
        </w:rPr>
      </w:pPr>
      <w:r>
        <w:rPr>
          <w:rFonts w:asciiTheme="minorHAnsi" w:hAnsiTheme="minorHAnsi"/>
          <w:noProof/>
          <w:lang w:val="en"/>
        </w:rPr>
        <w:t>I</w:t>
      </w:r>
      <w:r w:rsidRPr="00F27594">
        <w:rPr>
          <w:rFonts w:asciiTheme="minorHAnsi" w:hAnsiTheme="minorHAnsi"/>
          <w:noProof/>
        </w:rPr>
        <w:t xml:space="preserve">n order to ensure </w:t>
      </w:r>
      <w:r w:rsidR="00F96BA1">
        <w:rPr>
          <w:rFonts w:asciiTheme="minorHAnsi" w:hAnsiTheme="minorHAnsi"/>
          <w:noProof/>
        </w:rPr>
        <w:t xml:space="preserve">a genuine level-playing field for </w:t>
      </w:r>
      <w:r w:rsidRPr="00F27594">
        <w:rPr>
          <w:rFonts w:asciiTheme="minorHAnsi" w:hAnsiTheme="minorHAnsi"/>
          <w:noProof/>
        </w:rPr>
        <w:t>the road transport industry and adequate working conditions</w:t>
      </w:r>
      <w:r>
        <w:rPr>
          <w:rFonts w:asciiTheme="minorHAnsi" w:hAnsiTheme="minorHAnsi"/>
          <w:noProof/>
        </w:rPr>
        <w:t xml:space="preserve">, </w:t>
      </w:r>
      <w:r w:rsidRPr="00324DE6">
        <w:rPr>
          <w:rFonts w:asciiTheme="minorHAnsi" w:hAnsiTheme="minorHAnsi"/>
          <w:b/>
          <w:i/>
          <w:noProof/>
        </w:rPr>
        <w:t>social legislation in road transport</w:t>
      </w:r>
      <w:r>
        <w:rPr>
          <w:rFonts w:asciiTheme="minorHAnsi" w:hAnsiTheme="minorHAnsi"/>
          <w:noProof/>
        </w:rPr>
        <w:t xml:space="preserve"> will be revised.</w:t>
      </w:r>
      <w:r w:rsidRPr="00F27594">
        <w:rPr>
          <w:rFonts w:asciiTheme="minorHAnsi" w:hAnsiTheme="minorHAnsi"/>
          <w:noProof/>
        </w:rPr>
        <w:t xml:space="preserve"> </w:t>
      </w:r>
    </w:p>
    <w:p w:rsidR="00472CBC" w:rsidRDefault="00472CBC" w:rsidP="003A4CF7">
      <w:pPr>
        <w:pStyle w:val="ListParagraph"/>
        <w:numPr>
          <w:ilvl w:val="0"/>
          <w:numId w:val="12"/>
        </w:numPr>
        <w:spacing w:after="0"/>
        <w:ind w:left="714" w:hanging="357"/>
        <w:jc w:val="both"/>
        <w:rPr>
          <w:rFonts w:asciiTheme="minorHAnsi" w:hAnsiTheme="minorHAnsi"/>
          <w:noProof/>
        </w:rPr>
      </w:pPr>
      <w:r>
        <w:rPr>
          <w:rFonts w:asciiTheme="minorHAnsi" w:hAnsiTheme="minorHAnsi"/>
          <w:noProof/>
        </w:rPr>
        <w:t xml:space="preserve">A </w:t>
      </w:r>
      <w:r w:rsidRPr="00324DE6">
        <w:rPr>
          <w:rFonts w:asciiTheme="minorHAnsi" w:hAnsiTheme="minorHAnsi"/>
          <w:b/>
          <w:i/>
          <w:noProof/>
        </w:rPr>
        <w:t>code for small crafts</w:t>
      </w:r>
      <w:r>
        <w:rPr>
          <w:rFonts w:asciiTheme="minorHAnsi" w:hAnsiTheme="minorHAnsi"/>
          <w:noProof/>
        </w:rPr>
        <w:t xml:space="preserve"> will be proposed in order </w:t>
      </w:r>
      <w:r w:rsidRPr="00324DE6">
        <w:rPr>
          <w:rFonts w:asciiTheme="minorHAnsi" w:hAnsiTheme="minorHAnsi"/>
          <w:noProof/>
        </w:rPr>
        <w:t>to facilitate and simplify the construction and cross-border trade of small passenger vessels as well as their registration</w:t>
      </w:r>
      <w:r>
        <w:rPr>
          <w:rFonts w:asciiTheme="minorHAnsi" w:hAnsiTheme="minorHAnsi"/>
          <w:noProof/>
        </w:rPr>
        <w:t>,</w:t>
      </w:r>
      <w:r w:rsidRPr="00324DE6">
        <w:rPr>
          <w:rFonts w:asciiTheme="minorHAnsi" w:hAnsiTheme="minorHAnsi"/>
          <w:noProof/>
        </w:rPr>
        <w:t xml:space="preserve"> following up </w:t>
      </w:r>
      <w:r>
        <w:rPr>
          <w:rFonts w:asciiTheme="minorHAnsi" w:hAnsiTheme="minorHAnsi"/>
          <w:noProof/>
        </w:rPr>
        <w:t xml:space="preserve">on </w:t>
      </w:r>
      <w:r w:rsidRPr="00324DE6">
        <w:rPr>
          <w:rFonts w:asciiTheme="minorHAnsi" w:hAnsiTheme="minorHAnsi"/>
          <w:noProof/>
        </w:rPr>
        <w:t>the Fitness Check on EU passenger ship safety legislation.</w:t>
      </w:r>
    </w:p>
    <w:p w:rsidR="007A2050" w:rsidRPr="00F27594" w:rsidRDefault="007A2050" w:rsidP="003A4CF7">
      <w:pPr>
        <w:pStyle w:val="ListParagraph"/>
        <w:numPr>
          <w:ilvl w:val="0"/>
          <w:numId w:val="12"/>
        </w:numPr>
        <w:ind w:left="714" w:hanging="357"/>
        <w:jc w:val="both"/>
        <w:rPr>
          <w:rFonts w:asciiTheme="minorHAnsi" w:hAnsiTheme="minorHAnsi"/>
          <w:lang w:val="en"/>
        </w:rPr>
      </w:pPr>
      <w:r>
        <w:rPr>
          <w:rFonts w:asciiTheme="minorHAnsi" w:hAnsiTheme="minorHAnsi"/>
          <w:noProof/>
        </w:rPr>
        <w:t>I</w:t>
      </w:r>
      <w:r w:rsidRPr="00F27594">
        <w:rPr>
          <w:rFonts w:asciiTheme="minorHAnsi" w:hAnsiTheme="minorHAnsi"/>
          <w:noProof/>
        </w:rPr>
        <w:t xml:space="preserve">n order to optimise the allocation of resources, increase flexibility in organising freight transport and </w:t>
      </w:r>
      <w:r>
        <w:rPr>
          <w:rFonts w:asciiTheme="minorHAnsi" w:hAnsiTheme="minorHAnsi"/>
          <w:noProof/>
        </w:rPr>
        <w:t xml:space="preserve">improve </w:t>
      </w:r>
      <w:r w:rsidRPr="00F27594">
        <w:rPr>
          <w:rFonts w:asciiTheme="minorHAnsi" w:hAnsiTheme="minorHAnsi"/>
          <w:noProof/>
        </w:rPr>
        <w:t>productivity</w:t>
      </w:r>
      <w:r>
        <w:rPr>
          <w:rFonts w:asciiTheme="minorHAnsi" w:hAnsiTheme="minorHAnsi"/>
          <w:noProof/>
        </w:rPr>
        <w:t>, legislation on</w:t>
      </w:r>
      <w:r w:rsidRPr="00CB57AA">
        <w:rPr>
          <w:rFonts w:asciiTheme="minorHAnsi" w:hAnsiTheme="minorHAnsi"/>
          <w:i/>
          <w:noProof/>
        </w:rPr>
        <w:t xml:space="preserve"> </w:t>
      </w:r>
      <w:r w:rsidRPr="00324DE6">
        <w:rPr>
          <w:rFonts w:asciiTheme="minorHAnsi" w:hAnsiTheme="minorHAnsi"/>
          <w:b/>
          <w:i/>
          <w:noProof/>
        </w:rPr>
        <w:t>Leasing of Vehicles</w:t>
      </w:r>
      <w:r w:rsidRPr="00324DE6">
        <w:rPr>
          <w:rFonts w:asciiTheme="minorHAnsi" w:hAnsiTheme="minorHAnsi"/>
          <w:noProof/>
        </w:rPr>
        <w:t xml:space="preserve"> will be </w:t>
      </w:r>
      <w:r>
        <w:rPr>
          <w:rFonts w:asciiTheme="minorHAnsi" w:hAnsiTheme="minorHAnsi"/>
          <w:noProof/>
        </w:rPr>
        <w:t>revised</w:t>
      </w:r>
      <w:r w:rsidRPr="00F27594">
        <w:rPr>
          <w:rFonts w:asciiTheme="minorHAnsi" w:hAnsiTheme="minorHAnsi"/>
          <w:noProof/>
        </w:rPr>
        <w:t xml:space="preserve">. </w:t>
      </w:r>
    </w:p>
    <w:p w:rsidR="007A2050" w:rsidRPr="00324DE6" w:rsidRDefault="007A2050" w:rsidP="003A4CF7">
      <w:pPr>
        <w:pStyle w:val="ListParagraph"/>
        <w:numPr>
          <w:ilvl w:val="0"/>
          <w:numId w:val="12"/>
        </w:numPr>
        <w:ind w:left="714" w:hanging="357"/>
        <w:jc w:val="both"/>
        <w:rPr>
          <w:rFonts w:asciiTheme="minorHAnsi" w:hAnsiTheme="minorHAnsi"/>
          <w:lang w:val="en"/>
        </w:rPr>
      </w:pPr>
      <w:r w:rsidRPr="00324DE6">
        <w:rPr>
          <w:rFonts w:asciiTheme="minorHAnsi" w:hAnsiTheme="minorHAnsi"/>
          <w:noProof/>
          <w:color w:val="000000"/>
          <w:lang w:val="en"/>
        </w:rPr>
        <w:t>Legislation on</w:t>
      </w:r>
      <w:r>
        <w:rPr>
          <w:rFonts w:asciiTheme="minorHAnsi" w:hAnsiTheme="minorHAnsi"/>
          <w:i/>
          <w:noProof/>
          <w:color w:val="000000"/>
          <w:lang w:val="en"/>
        </w:rPr>
        <w:t xml:space="preserve"> </w:t>
      </w:r>
      <w:r w:rsidRPr="00324DE6">
        <w:rPr>
          <w:rFonts w:asciiTheme="minorHAnsi" w:hAnsiTheme="minorHAnsi"/>
          <w:b/>
          <w:i/>
          <w:noProof/>
          <w:color w:val="000000"/>
        </w:rPr>
        <w:t>Road Infrastructure and tunnels safety</w:t>
      </w:r>
      <w:r w:rsidRPr="00324DE6">
        <w:rPr>
          <w:rFonts w:asciiTheme="minorHAnsi" w:hAnsiTheme="minorHAnsi"/>
          <w:b/>
          <w:noProof/>
        </w:rPr>
        <w:t xml:space="preserve"> </w:t>
      </w:r>
      <w:r w:rsidRPr="00F27594">
        <w:rPr>
          <w:rFonts w:asciiTheme="minorHAnsi" w:hAnsiTheme="minorHAnsi"/>
          <w:noProof/>
        </w:rPr>
        <w:t>will be revised to improve safety management practices, allow for a level playing field in safety management and reduce administrative burdens.</w:t>
      </w:r>
    </w:p>
    <w:p w:rsidR="00C25D40" w:rsidRPr="00AD522F" w:rsidRDefault="00C25D40" w:rsidP="002A4AB7">
      <w:pPr>
        <w:spacing w:after="0"/>
        <w:jc w:val="both"/>
        <w:rPr>
          <w:noProof/>
        </w:rPr>
      </w:pPr>
      <w:r w:rsidRPr="00AD522F">
        <w:rPr>
          <w:noProof/>
        </w:rPr>
        <w:t>All of these proposals build on evaluation findings</w:t>
      </w:r>
      <w:r w:rsidR="00AD522F">
        <w:rPr>
          <w:noProof/>
        </w:rPr>
        <w:t>.</w:t>
      </w:r>
    </w:p>
    <w:p w:rsidR="007A2050" w:rsidRPr="00324DE6" w:rsidRDefault="007A2050" w:rsidP="002A4AB7">
      <w:pPr>
        <w:pStyle w:val="ListParagraph"/>
        <w:spacing w:after="0"/>
        <w:jc w:val="both"/>
        <w:rPr>
          <w:rFonts w:asciiTheme="minorHAnsi" w:hAnsiTheme="minorHAnsi"/>
          <w:noProof/>
        </w:rPr>
      </w:pPr>
    </w:p>
    <w:p w:rsidR="007A2050" w:rsidRPr="001D1110" w:rsidRDefault="007A2050" w:rsidP="007A2050">
      <w:pPr>
        <w:jc w:val="both"/>
        <w:rPr>
          <w:b/>
          <w:i/>
          <w:lang w:val="en"/>
        </w:rPr>
      </w:pPr>
      <w:r w:rsidRPr="001D1110">
        <w:rPr>
          <w:b/>
          <w:i/>
          <w:lang w:val="en"/>
        </w:rPr>
        <w:t xml:space="preserve">In the area of financial stability, financial services and </w:t>
      </w:r>
      <w:r w:rsidR="00123E04" w:rsidRPr="001D1110">
        <w:rPr>
          <w:b/>
          <w:i/>
          <w:lang w:val="en"/>
        </w:rPr>
        <w:t xml:space="preserve">Capital Markets </w:t>
      </w:r>
      <w:r w:rsidRPr="001D1110">
        <w:rPr>
          <w:b/>
          <w:i/>
          <w:lang w:val="en"/>
        </w:rPr>
        <w:t>Union:</w:t>
      </w:r>
    </w:p>
    <w:p w:rsidR="007A2050" w:rsidRDefault="007A2050" w:rsidP="007A2050">
      <w:pPr>
        <w:pStyle w:val="ListParagraph"/>
        <w:numPr>
          <w:ilvl w:val="0"/>
          <w:numId w:val="12"/>
        </w:numPr>
        <w:spacing w:after="0"/>
        <w:rPr>
          <w:rFonts w:asciiTheme="minorHAnsi" w:hAnsiTheme="minorHAnsi"/>
          <w:noProof/>
        </w:rPr>
      </w:pPr>
      <w:r w:rsidRPr="00324DE6">
        <w:rPr>
          <w:rFonts w:asciiTheme="minorHAnsi" w:hAnsiTheme="minorHAnsi"/>
          <w:noProof/>
        </w:rPr>
        <w:t xml:space="preserve">The Commission will ensure follow up on the </w:t>
      </w:r>
      <w:r w:rsidR="00967200">
        <w:rPr>
          <w:rFonts w:asciiTheme="minorHAnsi" w:hAnsiTheme="minorHAnsi"/>
          <w:b/>
          <w:i/>
          <w:noProof/>
        </w:rPr>
        <w:t>C</w:t>
      </w:r>
      <w:r w:rsidRPr="00324DE6">
        <w:rPr>
          <w:rFonts w:asciiTheme="minorHAnsi" w:hAnsiTheme="minorHAnsi"/>
          <w:b/>
          <w:i/>
          <w:noProof/>
        </w:rPr>
        <w:t xml:space="preserve">all for </w:t>
      </w:r>
      <w:r w:rsidR="00967200">
        <w:rPr>
          <w:rFonts w:asciiTheme="minorHAnsi" w:hAnsiTheme="minorHAnsi"/>
          <w:b/>
          <w:i/>
          <w:noProof/>
        </w:rPr>
        <w:t>E</w:t>
      </w:r>
      <w:r w:rsidRPr="00324DE6">
        <w:rPr>
          <w:rFonts w:asciiTheme="minorHAnsi" w:hAnsiTheme="minorHAnsi"/>
          <w:b/>
          <w:i/>
          <w:noProof/>
        </w:rPr>
        <w:t xml:space="preserve">vidence on the cumulative impact of </w:t>
      </w:r>
      <w:r w:rsidR="0003202E">
        <w:rPr>
          <w:rFonts w:asciiTheme="minorHAnsi" w:hAnsiTheme="minorHAnsi"/>
          <w:b/>
          <w:i/>
          <w:noProof/>
        </w:rPr>
        <w:t>the EU regulat</w:t>
      </w:r>
      <w:r w:rsidR="00967200">
        <w:rPr>
          <w:rFonts w:asciiTheme="minorHAnsi" w:hAnsiTheme="minorHAnsi"/>
          <w:b/>
          <w:i/>
          <w:noProof/>
        </w:rPr>
        <w:t xml:space="preserve">ory framework for </w:t>
      </w:r>
      <w:r w:rsidRPr="00324DE6">
        <w:rPr>
          <w:rFonts w:asciiTheme="minorHAnsi" w:hAnsiTheme="minorHAnsi"/>
          <w:b/>
          <w:i/>
          <w:noProof/>
        </w:rPr>
        <w:t xml:space="preserve">financial </w:t>
      </w:r>
      <w:r w:rsidR="00967200">
        <w:rPr>
          <w:rFonts w:asciiTheme="minorHAnsi" w:hAnsiTheme="minorHAnsi"/>
          <w:b/>
          <w:i/>
          <w:noProof/>
        </w:rPr>
        <w:t>services</w:t>
      </w:r>
      <w:r w:rsidRPr="00324DE6">
        <w:rPr>
          <w:rFonts w:asciiTheme="minorHAnsi" w:hAnsiTheme="minorHAnsi"/>
          <w:noProof/>
        </w:rPr>
        <w:t>.</w:t>
      </w:r>
    </w:p>
    <w:p w:rsidR="007A2050" w:rsidRDefault="007A2050" w:rsidP="007A2050">
      <w:pPr>
        <w:pStyle w:val="ListParagraph"/>
        <w:numPr>
          <w:ilvl w:val="0"/>
          <w:numId w:val="12"/>
        </w:numPr>
        <w:spacing w:after="0"/>
        <w:rPr>
          <w:rFonts w:asciiTheme="minorHAnsi" w:hAnsiTheme="minorHAnsi"/>
          <w:noProof/>
        </w:rPr>
      </w:pPr>
      <w:r>
        <w:rPr>
          <w:rFonts w:asciiTheme="minorHAnsi" w:hAnsiTheme="minorHAnsi"/>
          <w:noProof/>
        </w:rPr>
        <w:t xml:space="preserve">Rules on </w:t>
      </w:r>
      <w:r w:rsidR="0003202E" w:rsidRPr="00A745A4">
        <w:rPr>
          <w:rFonts w:asciiTheme="minorHAnsi" w:hAnsiTheme="minorHAnsi"/>
          <w:b/>
          <w:i/>
          <w:noProof/>
        </w:rPr>
        <w:t xml:space="preserve">OTC </w:t>
      </w:r>
      <w:r w:rsidRPr="00324DE6">
        <w:rPr>
          <w:rFonts w:asciiTheme="minorHAnsi" w:hAnsiTheme="minorHAnsi"/>
          <w:b/>
          <w:i/>
          <w:noProof/>
        </w:rPr>
        <w:t>derivatives, central counterparties and trade repositories (EMIR)</w:t>
      </w:r>
      <w:r w:rsidRPr="00324DE6">
        <w:rPr>
          <w:rFonts w:asciiTheme="minorHAnsi" w:hAnsiTheme="minorHAnsi"/>
          <w:noProof/>
        </w:rPr>
        <w:t xml:space="preserve"> will be revi</w:t>
      </w:r>
      <w:r w:rsidR="0003202E">
        <w:rPr>
          <w:rFonts w:asciiTheme="minorHAnsi" w:hAnsiTheme="minorHAnsi"/>
          <w:noProof/>
        </w:rPr>
        <w:t>ewed</w:t>
      </w:r>
      <w:r w:rsidRPr="00324DE6">
        <w:rPr>
          <w:rFonts w:asciiTheme="minorHAnsi" w:hAnsiTheme="minorHAnsi"/>
          <w:noProof/>
        </w:rPr>
        <w:t xml:space="preserve"> in order to eliminate disproportionate costs and burdens to small companies in the financial sector, corporates and pension funds and to simplify rules without putting financial stability at risk.</w:t>
      </w:r>
    </w:p>
    <w:p w:rsidR="003367C6" w:rsidRPr="000135BE" w:rsidRDefault="003367C6" w:rsidP="000135BE">
      <w:pPr>
        <w:jc w:val="both"/>
        <w:rPr>
          <w:lang w:val="en"/>
        </w:rPr>
      </w:pPr>
      <w:r>
        <w:rPr>
          <w:b/>
          <w:i/>
          <w:highlight w:val="yellow"/>
        </w:rPr>
        <w:br/>
      </w:r>
      <w:r w:rsidRPr="001D1110">
        <w:rPr>
          <w:b/>
          <w:i/>
          <w:u w:val="single"/>
          <w:lang w:val="en"/>
        </w:rPr>
        <w:t>New evaluations</w:t>
      </w:r>
      <w:r w:rsidRPr="000135BE">
        <w:rPr>
          <w:b/>
          <w:i/>
          <w:lang w:val="en"/>
        </w:rPr>
        <w:t xml:space="preserve">:  </w:t>
      </w:r>
      <w:r w:rsidRPr="000135BE">
        <w:rPr>
          <w:lang w:val="en"/>
        </w:rPr>
        <w:t xml:space="preserve">In 2017, the Commission will carry out evaluations in the following regulatory areas: financial conglomerates, motor insurance, national discretion in the audit regulation, prudential treatment of investment firms, feed additives,  </w:t>
      </w:r>
      <w:r w:rsidRPr="000135BE">
        <w:rPr>
          <w:rStyle w:val="Strong"/>
          <w:b w:val="0"/>
          <w:lang w:val="en"/>
        </w:rPr>
        <w:t xml:space="preserve">aerosol dispensers, liability for defective </w:t>
      </w:r>
      <w:r w:rsidRPr="000135BE">
        <w:rPr>
          <w:rStyle w:val="Strong"/>
          <w:b w:val="0"/>
          <w:lang w:val="en"/>
        </w:rPr>
        <w:lastRenderedPageBreak/>
        <w:t xml:space="preserve">products, </w:t>
      </w:r>
      <w:r w:rsidRPr="000135BE">
        <w:rPr>
          <w:noProof/>
          <w:szCs w:val="18"/>
        </w:rPr>
        <w:t>European Observatory on Infringements of Intellectual Property</w:t>
      </w:r>
      <w:r w:rsidRPr="000135BE">
        <w:rPr>
          <w:rStyle w:val="Strong"/>
          <w:b w:val="0"/>
          <w:lang w:val="en"/>
        </w:rPr>
        <w:t xml:space="preserve">, </w:t>
      </w:r>
      <w:r w:rsidRPr="000135BE">
        <w:rPr>
          <w:rStyle w:val="Strong"/>
          <w:b w:val="0"/>
        </w:rPr>
        <w:t xml:space="preserve">the European Standard Procurement Document, </w:t>
      </w:r>
      <w:r w:rsidRPr="000135BE">
        <w:t xml:space="preserve">airport charges, and </w:t>
      </w:r>
      <w:r w:rsidRPr="000135BE">
        <w:rPr>
          <w:rFonts w:eastAsia="Times New Roman"/>
          <w:noProof/>
        </w:rPr>
        <w:t>the common system of value added tax.</w:t>
      </w:r>
    </w:p>
    <w:p w:rsidR="005A23F4" w:rsidRPr="00324DE6" w:rsidRDefault="005A23F4" w:rsidP="001D423A">
      <w:pPr>
        <w:pStyle w:val="ListParagraph"/>
        <w:spacing w:after="0"/>
        <w:rPr>
          <w:rFonts w:asciiTheme="minorHAnsi" w:hAnsiTheme="minorHAnsi"/>
          <w:noProof/>
        </w:rPr>
      </w:pPr>
    </w:p>
    <w:p w:rsidR="007A2050" w:rsidRDefault="007A2050" w:rsidP="007A2050">
      <w:pPr>
        <w:pBdr>
          <w:top w:val="single" w:sz="4" w:space="1" w:color="auto"/>
          <w:left w:val="single" w:sz="4" w:space="4" w:color="auto"/>
          <w:bottom w:val="single" w:sz="4" w:space="1" w:color="auto"/>
          <w:right w:val="single" w:sz="4" w:space="4" w:color="auto"/>
        </w:pBdr>
        <w:jc w:val="both"/>
        <w:rPr>
          <w:rFonts w:cs="Arial"/>
        </w:rPr>
      </w:pPr>
      <w:r w:rsidRPr="001D1110">
        <w:rPr>
          <w:b/>
          <w:i/>
          <w:color w:val="000000"/>
          <w:u w:val="single"/>
        </w:rPr>
        <w:t>Follow-Up to REFIT Platform opinions</w:t>
      </w:r>
      <w:r w:rsidRPr="00324DE6">
        <w:rPr>
          <w:b/>
          <w:i/>
          <w:color w:val="000000"/>
        </w:rPr>
        <w:t>:</w:t>
      </w:r>
      <w:r>
        <w:rPr>
          <w:color w:val="000000"/>
        </w:rPr>
        <w:t xml:space="preserve"> </w:t>
      </w:r>
      <w:r w:rsidRPr="003A0F76">
        <w:rPr>
          <w:color w:val="000000"/>
        </w:rPr>
        <w:t xml:space="preserve">The REFIT Platform </w:t>
      </w:r>
      <w:r w:rsidRPr="00775A52">
        <w:rPr>
          <w:color w:val="000000"/>
        </w:rPr>
        <w:t>issued 1</w:t>
      </w:r>
      <w:r w:rsidRPr="00324DE6">
        <w:rPr>
          <w:color w:val="000000"/>
        </w:rPr>
        <w:t>2</w:t>
      </w:r>
      <w:r w:rsidRPr="00775A52">
        <w:rPr>
          <w:color w:val="000000"/>
        </w:rPr>
        <w:t xml:space="preserve"> opinions</w:t>
      </w:r>
      <w:r w:rsidRPr="003A0F76">
        <w:rPr>
          <w:color w:val="000000"/>
        </w:rPr>
        <w:t xml:space="preserve"> for the areas covered by this priority</w:t>
      </w:r>
      <w:r>
        <w:rPr>
          <w:color w:val="000000"/>
        </w:rPr>
        <w:t>:</w:t>
      </w:r>
      <w:r w:rsidRPr="000853C7">
        <w:rPr>
          <w:rFonts w:cs="Arial"/>
        </w:rPr>
        <w:t xml:space="preserve"> </w:t>
      </w:r>
    </w:p>
    <w:p w:rsidR="007A2050" w:rsidRPr="009542E5" w:rsidRDefault="007A2050" w:rsidP="007A2050">
      <w:pPr>
        <w:pBdr>
          <w:top w:val="single" w:sz="4" w:space="1" w:color="auto"/>
          <w:left w:val="single" w:sz="4" w:space="4" w:color="auto"/>
          <w:bottom w:val="single" w:sz="4" w:space="1" w:color="auto"/>
          <w:right w:val="single" w:sz="4" w:space="4" w:color="auto"/>
        </w:pBdr>
        <w:jc w:val="both"/>
        <w:rPr>
          <w:color w:val="000000"/>
        </w:rPr>
      </w:pPr>
      <w:r w:rsidRPr="009542E5">
        <w:t xml:space="preserve">In its opinion on </w:t>
      </w:r>
      <w:r w:rsidRPr="001D1110">
        <w:rPr>
          <w:b/>
          <w:i/>
        </w:rPr>
        <w:t>Points of Single Contact</w:t>
      </w:r>
      <w:r w:rsidRPr="009542E5">
        <w:t>, the REFIT Platform recommends the establishment of a</w:t>
      </w:r>
      <w:r w:rsidRPr="009542E5">
        <w:rPr>
          <w:bCs/>
        </w:rPr>
        <w:t xml:space="preserve"> single entry point for business in each Member State to assist companies operating in the Single Market. The Commission will address these concerns in a proposal </w:t>
      </w:r>
      <w:r w:rsidRPr="009542E5">
        <w:t xml:space="preserve">on the Single Digital Gateway </w:t>
      </w:r>
      <w:r w:rsidR="00547678">
        <w:t>planned for</w:t>
      </w:r>
      <w:r w:rsidR="00547678" w:rsidRPr="009542E5">
        <w:t xml:space="preserve"> </w:t>
      </w:r>
      <w:r w:rsidRPr="009542E5">
        <w:t>the first half of 2017.</w:t>
      </w:r>
    </w:p>
    <w:p w:rsidR="007A2050" w:rsidRPr="009542E5" w:rsidRDefault="007A2050" w:rsidP="007A2050">
      <w:pPr>
        <w:pBdr>
          <w:top w:val="single" w:sz="4" w:space="1" w:color="auto"/>
          <w:left w:val="single" w:sz="4" w:space="4" w:color="auto"/>
          <w:bottom w:val="single" w:sz="4" w:space="1" w:color="auto"/>
          <w:right w:val="single" w:sz="4" w:space="4" w:color="auto"/>
        </w:pBdr>
        <w:jc w:val="both"/>
      </w:pPr>
      <w:r w:rsidRPr="009542E5">
        <w:t xml:space="preserve">The Platform also issued 4 opinions in the area of </w:t>
      </w:r>
      <w:r w:rsidRPr="001D1110">
        <w:rPr>
          <w:b/>
          <w:i/>
        </w:rPr>
        <w:t xml:space="preserve">Taxation and </w:t>
      </w:r>
      <w:r w:rsidRPr="001D1110">
        <w:rPr>
          <w:b/>
          <w:i/>
        </w:rPr>
        <w:br/>
        <w:t xml:space="preserve">Custom </w:t>
      </w:r>
      <w:r w:rsidR="00547678" w:rsidRPr="001D1110">
        <w:rPr>
          <w:b/>
          <w:i/>
        </w:rPr>
        <w:t>Union</w:t>
      </w:r>
      <w:r w:rsidRPr="009542E5">
        <w:t xml:space="preserve">. Two opinions on VAT reverse liability and on simplified </w:t>
      </w:r>
      <w:r w:rsidR="00B36031">
        <w:t xml:space="preserve">VAT </w:t>
      </w:r>
      <w:r w:rsidRPr="009542E5">
        <w:t>document</w:t>
      </w:r>
      <w:r w:rsidR="00B36031">
        <w:t xml:space="preserve"> requirements</w:t>
      </w:r>
      <w:r w:rsidRPr="009542E5">
        <w:t xml:space="preserve"> for intra</w:t>
      </w:r>
      <w:r w:rsidR="00547678">
        <w:t>-C</w:t>
      </w:r>
      <w:r w:rsidRPr="009542E5">
        <w:t xml:space="preserve">ommunity trade will be addressed by a legislative proposal </w:t>
      </w:r>
      <w:r w:rsidR="00A745A4">
        <w:t xml:space="preserve">on the definite VAT regime </w:t>
      </w:r>
      <w:r w:rsidRPr="009542E5">
        <w:t xml:space="preserve">foreseen for 2017, in which the Commission </w:t>
      </w:r>
      <w:r w:rsidR="00547678">
        <w:t>has announced the</w:t>
      </w:r>
      <w:r w:rsidR="00547678" w:rsidRPr="009542E5">
        <w:t xml:space="preserve"> </w:t>
      </w:r>
      <w:r w:rsidRPr="009542E5">
        <w:t xml:space="preserve">aim to re-establish the principle of taxation of cross-border supplies </w:t>
      </w:r>
      <w:r w:rsidR="00103866">
        <w:t xml:space="preserve">in the same way as domestic supplies </w:t>
      </w:r>
      <w:r w:rsidRPr="009542E5">
        <w:t>and extend the current Mini One</w:t>
      </w:r>
      <w:r w:rsidR="00103866">
        <w:t>-</w:t>
      </w:r>
      <w:r w:rsidRPr="009542E5">
        <w:t>Stop</w:t>
      </w:r>
      <w:r w:rsidR="00103866">
        <w:t>-</w:t>
      </w:r>
      <w:r w:rsidRPr="009542E5">
        <w:t xml:space="preserve">Shop to cover cross-border </w:t>
      </w:r>
      <w:r w:rsidRPr="009542E5">
        <w:rPr>
          <w:rFonts w:eastAsia="Times New Roman"/>
          <w:noProof/>
        </w:rPr>
        <w:t xml:space="preserve">business-to-business </w:t>
      </w:r>
      <w:r w:rsidRPr="009542E5">
        <w:t xml:space="preserve">supplies of goods. </w:t>
      </w:r>
      <w:r w:rsidR="00103866">
        <w:t>The</w:t>
      </w:r>
      <w:r w:rsidRPr="009542E5">
        <w:t xml:space="preserve"> opinion concerning the VAT information portal </w:t>
      </w:r>
      <w:r w:rsidR="00103866">
        <w:t>will influence the continuing work of the Commission with Member States on the best design for a web portal. The Commission made a proposal in 2013 for a</w:t>
      </w:r>
      <w:r w:rsidRPr="009542E5">
        <w:t xml:space="preserve"> standard VAT declaration </w:t>
      </w:r>
      <w:r w:rsidR="00103866">
        <w:t>but does not intend to return to the issue following its decision this year to withdraw the proposal</w:t>
      </w:r>
      <w:r w:rsidRPr="009542E5">
        <w:t>.</w:t>
      </w:r>
    </w:p>
    <w:p w:rsidR="007A2050" w:rsidRPr="003A0F76" w:rsidRDefault="007A2050">
      <w:pPr>
        <w:pBdr>
          <w:top w:val="single" w:sz="4" w:space="1" w:color="auto"/>
          <w:left w:val="single" w:sz="4" w:space="4" w:color="auto"/>
          <w:bottom w:val="single" w:sz="4" w:space="1" w:color="auto"/>
          <w:right w:val="single" w:sz="4" w:space="4" w:color="auto"/>
        </w:pBdr>
        <w:jc w:val="both"/>
      </w:pPr>
      <w:r w:rsidRPr="009542E5">
        <w:t xml:space="preserve">2 opinions by the REFIT Platform on </w:t>
      </w:r>
      <w:r w:rsidRPr="001D1110">
        <w:rPr>
          <w:b/>
          <w:i/>
        </w:rPr>
        <w:t>State Aid rules</w:t>
      </w:r>
      <w:r w:rsidRPr="009542E5">
        <w:t xml:space="preserve"> are feeding into the ongoing implementation of the existing legal framework.</w:t>
      </w:r>
      <w:r w:rsidR="00DA2FD3">
        <w:t xml:space="preserve"> </w:t>
      </w:r>
      <w:r w:rsidR="00F67FC5">
        <w:t>I</w:t>
      </w:r>
      <w:r w:rsidRPr="009542E5">
        <w:t xml:space="preserve">n the field of </w:t>
      </w:r>
      <w:r w:rsidRPr="001D1110">
        <w:rPr>
          <w:b/>
          <w:i/>
        </w:rPr>
        <w:t>Health and Food Safety</w:t>
      </w:r>
      <w:r w:rsidRPr="009542E5">
        <w:rPr>
          <w:b/>
        </w:rPr>
        <w:t xml:space="preserve"> (</w:t>
      </w:r>
      <w:r w:rsidRPr="009542E5">
        <w:t xml:space="preserve">Food contact materials and residues in live animals), </w:t>
      </w:r>
      <w:r w:rsidR="00F67FC5">
        <w:t xml:space="preserve">the Commission </w:t>
      </w:r>
      <w:r w:rsidRPr="009542E5">
        <w:t xml:space="preserve">will examine </w:t>
      </w:r>
      <w:r w:rsidR="00F67FC5">
        <w:t xml:space="preserve">how the recommendations of the Platform could be </w:t>
      </w:r>
      <w:r w:rsidR="00DA2FD3">
        <w:t xml:space="preserve">addressed </w:t>
      </w:r>
      <w:r w:rsidRPr="009542E5">
        <w:t xml:space="preserve">in the context of </w:t>
      </w:r>
      <w:r w:rsidR="00DA2FD3">
        <w:t xml:space="preserve">its implementation follow-up of </w:t>
      </w:r>
      <w:r w:rsidRPr="009542E5">
        <w:t xml:space="preserve">EU food contact materials legislation and </w:t>
      </w:r>
      <w:r w:rsidR="00DA2FD3">
        <w:t xml:space="preserve">it </w:t>
      </w:r>
      <w:r w:rsidR="00F67FC5">
        <w:t xml:space="preserve">plans to follow </w:t>
      </w:r>
      <w:r w:rsidR="001F7B43">
        <w:t>up</w:t>
      </w:r>
      <w:r w:rsidR="001F7B43" w:rsidRPr="009542E5">
        <w:t xml:space="preserve"> </w:t>
      </w:r>
      <w:r w:rsidR="00F67FC5">
        <w:t xml:space="preserve">on the opinion on </w:t>
      </w:r>
      <w:r w:rsidR="001F7B43">
        <w:t xml:space="preserve">veterinary </w:t>
      </w:r>
      <w:r w:rsidR="00F67FC5">
        <w:t xml:space="preserve">medicinal residues in foodstuffs </w:t>
      </w:r>
      <w:r w:rsidR="001F7B43">
        <w:t xml:space="preserve">through </w:t>
      </w:r>
      <w:r w:rsidRPr="009542E5">
        <w:t xml:space="preserve">a new delegated act planned for </w:t>
      </w:r>
      <w:r w:rsidR="001A6606">
        <w:t xml:space="preserve">adoption before the entry into application of the </w:t>
      </w:r>
      <w:r w:rsidR="001F7B43">
        <w:t>new Official Control Regulation</w:t>
      </w:r>
      <w:r w:rsidR="001A6606">
        <w:t xml:space="preserve"> which is foreseen for adoption in legislative procedure later this year</w:t>
      </w:r>
      <w:r w:rsidRPr="003A0F76">
        <w:t>.</w:t>
      </w:r>
    </w:p>
    <w:p w:rsidR="007A2050" w:rsidRPr="003A0F76" w:rsidRDefault="006D5DA6" w:rsidP="007A2050">
      <w:pPr>
        <w:pBdr>
          <w:top w:val="single" w:sz="4" w:space="1" w:color="auto"/>
          <w:left w:val="single" w:sz="4" w:space="4" w:color="auto"/>
          <w:bottom w:val="single" w:sz="4" w:space="1" w:color="auto"/>
          <w:right w:val="single" w:sz="4" w:space="4" w:color="auto"/>
        </w:pBdr>
        <w:jc w:val="both"/>
      </w:pPr>
      <w:r>
        <w:t xml:space="preserve">The </w:t>
      </w:r>
      <w:r w:rsidR="007A2050">
        <w:t xml:space="preserve">opinion on the </w:t>
      </w:r>
      <w:r w:rsidR="007A2050" w:rsidRPr="001D1110">
        <w:rPr>
          <w:b/>
          <w:i/>
        </w:rPr>
        <w:t>Construction Products Regulation</w:t>
      </w:r>
      <w:r w:rsidR="007A2050" w:rsidRPr="003A0F76">
        <w:t xml:space="preserve"> will be addressed by the Commission as part of the on-going Fitness Check and </w:t>
      </w:r>
      <w:r>
        <w:t>through further consultations with stakeholders</w:t>
      </w:r>
      <w:r w:rsidR="007A2050" w:rsidRPr="003A0F76">
        <w:t xml:space="preserve"> to improve the functioning of </w:t>
      </w:r>
      <w:r>
        <w:t>European standards for</w:t>
      </w:r>
      <w:r w:rsidRPr="003A0F76">
        <w:t xml:space="preserve"> </w:t>
      </w:r>
      <w:r>
        <w:t>c</w:t>
      </w:r>
      <w:r w:rsidR="007A2050" w:rsidRPr="003A0F76">
        <w:t xml:space="preserve">onstruction </w:t>
      </w:r>
      <w:r>
        <w:t>p</w:t>
      </w:r>
      <w:r w:rsidR="007A2050" w:rsidRPr="003A0F76">
        <w:t>roduct</w:t>
      </w:r>
      <w:r>
        <w:t>s</w:t>
      </w:r>
      <w:r w:rsidR="007A2050" w:rsidRPr="003A0F76">
        <w:t xml:space="preserve"> </w:t>
      </w:r>
      <w:r>
        <w:t>due</w:t>
      </w:r>
      <w:r w:rsidR="007A2050">
        <w:t xml:space="preserve"> </w:t>
      </w:r>
      <w:r w:rsidR="007A2050" w:rsidRPr="003A0F76">
        <w:t xml:space="preserve">to </w:t>
      </w:r>
      <w:r>
        <w:t>start before</w:t>
      </w:r>
      <w:r w:rsidR="007A2050" w:rsidRPr="003A0F76">
        <w:t xml:space="preserve"> the end of 2016.</w:t>
      </w:r>
    </w:p>
    <w:p w:rsidR="007A2050" w:rsidRDefault="007A2050" w:rsidP="007A2050">
      <w:pPr>
        <w:pBdr>
          <w:top w:val="single" w:sz="4" w:space="1" w:color="auto"/>
          <w:left w:val="single" w:sz="4" w:space="4" w:color="auto"/>
          <w:bottom w:val="single" w:sz="4" w:space="1" w:color="auto"/>
          <w:right w:val="single" w:sz="4" w:space="4" w:color="auto"/>
        </w:pBdr>
        <w:jc w:val="both"/>
        <w:rPr>
          <w:color w:val="000000"/>
        </w:rPr>
      </w:pPr>
      <w:r w:rsidRPr="003A0F76">
        <w:t xml:space="preserve">In its opinion on </w:t>
      </w:r>
      <w:r w:rsidRPr="001D1110">
        <w:rPr>
          <w:b/>
          <w:i/>
        </w:rPr>
        <w:t>financial reporting</w:t>
      </w:r>
      <w:r w:rsidRPr="003A0F76">
        <w:rPr>
          <w:b/>
        </w:rPr>
        <w:t xml:space="preserve">, </w:t>
      </w:r>
      <w:r w:rsidRPr="003A0F76">
        <w:t xml:space="preserve">the REFIT Platform </w:t>
      </w:r>
      <w:r w:rsidRPr="003A0F76">
        <w:rPr>
          <w:color w:val="000000"/>
        </w:rPr>
        <w:t xml:space="preserve">identifies the need to streamline reporting to various supervisory authorities to reduce unnecessary administrative burden on financial institutions. This opinion complements the evidence gathered by the Commission as part of its </w:t>
      </w:r>
      <w:r w:rsidR="00E80C8B">
        <w:rPr>
          <w:color w:val="000000"/>
        </w:rPr>
        <w:t>'</w:t>
      </w:r>
      <w:r w:rsidRPr="003A0F76">
        <w:rPr>
          <w:color w:val="000000"/>
        </w:rPr>
        <w:t>Call for evidence</w:t>
      </w:r>
      <w:r w:rsidR="00E80C8B">
        <w:rPr>
          <w:color w:val="000000"/>
        </w:rPr>
        <w:t>'</w:t>
      </w:r>
      <w:r w:rsidRPr="003A0F76">
        <w:rPr>
          <w:color w:val="000000"/>
        </w:rPr>
        <w:t xml:space="preserve"> and will lead to a </w:t>
      </w:r>
      <w:r w:rsidRPr="00324DE6">
        <w:t>Fitness Check on financial reporting in 2017</w:t>
      </w:r>
      <w:r w:rsidRPr="00775A52">
        <w:rPr>
          <w:color w:val="000000"/>
        </w:rPr>
        <w:t xml:space="preserve">. </w:t>
      </w:r>
    </w:p>
    <w:p w:rsidR="007A2050" w:rsidRPr="003A0F76" w:rsidRDefault="007A2050" w:rsidP="007A2050">
      <w:pPr>
        <w:pBdr>
          <w:top w:val="single" w:sz="4" w:space="1" w:color="auto"/>
          <w:left w:val="single" w:sz="4" w:space="4" w:color="auto"/>
          <w:bottom w:val="single" w:sz="4" w:space="1" w:color="auto"/>
          <w:right w:val="single" w:sz="4" w:space="4" w:color="auto"/>
        </w:pBdr>
        <w:jc w:val="both"/>
      </w:pPr>
      <w:r w:rsidRPr="00775A52">
        <w:rPr>
          <w:color w:val="000000"/>
        </w:rPr>
        <w:t>The</w:t>
      </w:r>
      <w:r w:rsidRPr="003A0F76">
        <w:rPr>
          <w:color w:val="000000"/>
        </w:rPr>
        <w:t xml:space="preserve"> Platform also issued an opinion on the </w:t>
      </w:r>
      <w:r w:rsidRPr="001D1110">
        <w:rPr>
          <w:b/>
          <w:i/>
        </w:rPr>
        <w:t>Financial Conglomerates Directive (FICOD)</w:t>
      </w:r>
      <w:r w:rsidRPr="003A0F76">
        <w:rPr>
          <w:b/>
          <w:color w:val="000000"/>
        </w:rPr>
        <w:t xml:space="preserve"> </w:t>
      </w:r>
      <w:r w:rsidRPr="003A0F76">
        <w:rPr>
          <w:color w:val="000000"/>
        </w:rPr>
        <w:t>recommend</w:t>
      </w:r>
      <w:r w:rsidR="00E80C8B">
        <w:rPr>
          <w:color w:val="000000"/>
        </w:rPr>
        <w:t>ing</w:t>
      </w:r>
      <w:r w:rsidRPr="003A0F76">
        <w:rPr>
          <w:color w:val="000000"/>
        </w:rPr>
        <w:t xml:space="preserve"> that the Commission undertakes a review.</w:t>
      </w:r>
      <w:r w:rsidRPr="003A0F76">
        <w:t xml:space="preserve"> The Platform concerns will be taken into account in the ongoing evaluation</w:t>
      </w:r>
      <w:r>
        <w:rPr>
          <w:noProof/>
        </w:rPr>
        <w:t>, due to be completed early in 2017</w:t>
      </w:r>
      <w:r w:rsidRPr="003A0F76">
        <w:t>.</w:t>
      </w:r>
    </w:p>
    <w:p w:rsidR="007A2050" w:rsidRPr="00324DE6" w:rsidRDefault="007A2050" w:rsidP="00FB23E5">
      <w:pPr>
        <w:pStyle w:val="Heading4"/>
        <w:numPr>
          <w:ilvl w:val="0"/>
          <w:numId w:val="41"/>
        </w:numPr>
        <w:rPr>
          <w:b w:val="0"/>
          <w:bCs w:val="0"/>
          <w:color w:val="365F91" w:themeColor="accent1" w:themeShade="BF"/>
          <w:sz w:val="28"/>
          <w:szCs w:val="28"/>
        </w:rPr>
      </w:pPr>
      <w:r>
        <w:rPr>
          <w:b w:val="0"/>
          <w:bCs w:val="0"/>
          <w:color w:val="365F91" w:themeColor="accent1" w:themeShade="BF"/>
          <w:sz w:val="28"/>
          <w:szCs w:val="28"/>
        </w:rPr>
        <w:lastRenderedPageBreak/>
        <w:t xml:space="preserve"> </w:t>
      </w:r>
      <w:r w:rsidRPr="00FB23E5">
        <w:rPr>
          <w:bCs w:val="0"/>
          <w:i w:val="0"/>
          <w:color w:val="365F91" w:themeColor="accent1" w:themeShade="BF"/>
          <w:sz w:val="28"/>
          <w:szCs w:val="28"/>
        </w:rPr>
        <w:t>Progress and Results</w:t>
      </w:r>
    </w:p>
    <w:p w:rsidR="007A2050" w:rsidRDefault="009542E5" w:rsidP="007A2050">
      <w:pPr>
        <w:jc w:val="both"/>
        <w:rPr>
          <w:lang w:val="en"/>
        </w:rPr>
      </w:pPr>
      <w:r>
        <w:rPr>
          <w:lang w:val="en"/>
        </w:rPr>
        <w:br/>
      </w:r>
      <w:r w:rsidR="007A2050" w:rsidRPr="001D1110">
        <w:rPr>
          <w:b/>
          <w:i/>
          <w:u w:val="single"/>
          <w:lang w:val="en"/>
        </w:rPr>
        <w:t xml:space="preserve">Evaluations and </w:t>
      </w:r>
      <w:r w:rsidR="00E405E8" w:rsidRPr="001D1110">
        <w:rPr>
          <w:b/>
          <w:i/>
          <w:u w:val="single"/>
          <w:lang w:val="en"/>
        </w:rPr>
        <w:t>f</w:t>
      </w:r>
      <w:r w:rsidR="007A2050" w:rsidRPr="001D1110">
        <w:rPr>
          <w:b/>
          <w:i/>
          <w:u w:val="single"/>
          <w:lang w:val="en"/>
        </w:rPr>
        <w:t>ollow-</w:t>
      </w:r>
      <w:r w:rsidR="00E405E8" w:rsidRPr="001D1110">
        <w:rPr>
          <w:b/>
          <w:i/>
          <w:u w:val="single"/>
          <w:lang w:val="en"/>
        </w:rPr>
        <w:t>u</w:t>
      </w:r>
      <w:r w:rsidR="007A2050" w:rsidRPr="001D1110">
        <w:rPr>
          <w:b/>
          <w:i/>
          <w:u w:val="single"/>
          <w:lang w:val="en"/>
        </w:rPr>
        <w:t>p</w:t>
      </w:r>
      <w:r w:rsidR="007A2050" w:rsidRPr="00324DE6">
        <w:rPr>
          <w:b/>
          <w:i/>
          <w:lang w:val="en"/>
        </w:rPr>
        <w:t>:</w:t>
      </w:r>
      <w:r w:rsidR="007A2050">
        <w:rPr>
          <w:lang w:val="en"/>
        </w:rPr>
        <w:t xml:space="preserve"> 25 evaluations are ongoing in this priority area and 8 evaluations have been finalized </w:t>
      </w:r>
      <w:r w:rsidR="003367C6">
        <w:rPr>
          <w:lang w:val="en"/>
        </w:rPr>
        <w:t>recently</w:t>
      </w:r>
      <w:r w:rsidR="007A2050">
        <w:rPr>
          <w:lang w:val="en"/>
        </w:rPr>
        <w:t>. These include for example:</w:t>
      </w:r>
    </w:p>
    <w:p w:rsidR="007A2050" w:rsidRPr="00A302CA" w:rsidRDefault="007A2050" w:rsidP="003A4CF7">
      <w:pPr>
        <w:pStyle w:val="ListParagraph"/>
        <w:numPr>
          <w:ilvl w:val="0"/>
          <w:numId w:val="17"/>
        </w:numPr>
        <w:spacing w:before="120" w:after="120"/>
        <w:ind w:left="714" w:hanging="357"/>
        <w:jc w:val="both"/>
        <w:rPr>
          <w:lang w:val="en"/>
        </w:rPr>
      </w:pPr>
      <w:r w:rsidRPr="00324DE6">
        <w:rPr>
          <w:b/>
          <w:i/>
          <w:lang w:val="en"/>
        </w:rPr>
        <w:t>Market access for transport of goods</w:t>
      </w:r>
      <w:r w:rsidRPr="00A302CA">
        <w:rPr>
          <w:i/>
          <w:lang w:val="en"/>
        </w:rPr>
        <w:t>:</w:t>
      </w:r>
      <w:r w:rsidRPr="00A302CA">
        <w:rPr>
          <w:lang w:val="en"/>
        </w:rPr>
        <w:t xml:space="preserve"> Regulatory savings have been assessed at EUR 8-14 million, </w:t>
      </w:r>
      <w:r>
        <w:rPr>
          <w:lang w:val="en"/>
        </w:rPr>
        <w:t>considerably</w:t>
      </w:r>
      <w:r w:rsidRPr="00A302CA">
        <w:rPr>
          <w:lang w:val="en"/>
        </w:rPr>
        <w:t xml:space="preserve"> lower than the expected EUR 172 mi</w:t>
      </w:r>
      <w:r w:rsidR="008D2B20">
        <w:rPr>
          <w:lang w:val="en"/>
        </w:rPr>
        <w:t>llion</w:t>
      </w:r>
      <w:r w:rsidRPr="00A302CA">
        <w:rPr>
          <w:lang w:val="en"/>
        </w:rPr>
        <w:t xml:space="preserve"> estimated at the time of adoption due to late implementation of the European Register of Road Transport Undertakings. Costs for setting up national registers </w:t>
      </w:r>
      <w:r>
        <w:rPr>
          <w:lang w:val="en"/>
        </w:rPr>
        <w:t xml:space="preserve">are calculated at </w:t>
      </w:r>
      <w:r w:rsidRPr="00A302CA">
        <w:rPr>
          <w:lang w:val="en"/>
        </w:rPr>
        <w:t>70% lower than estimated. The findings will be followed up by a proposal in 2017</w:t>
      </w:r>
      <w:r w:rsidR="00472CBC">
        <w:rPr>
          <w:lang w:val="en"/>
        </w:rPr>
        <w:t xml:space="preserve"> (see under point 2 above)</w:t>
      </w:r>
      <w:r w:rsidRPr="00A302CA">
        <w:rPr>
          <w:lang w:val="en"/>
        </w:rPr>
        <w:t>.</w:t>
      </w:r>
    </w:p>
    <w:p w:rsidR="007A2050" w:rsidRPr="00F0075C" w:rsidRDefault="007A2050" w:rsidP="003A4CF7">
      <w:pPr>
        <w:pStyle w:val="ListParagraph"/>
        <w:numPr>
          <w:ilvl w:val="0"/>
          <w:numId w:val="17"/>
        </w:numPr>
        <w:spacing w:before="120" w:after="120"/>
        <w:ind w:left="714" w:hanging="357"/>
        <w:jc w:val="both"/>
        <w:rPr>
          <w:lang w:val="en"/>
        </w:rPr>
      </w:pPr>
      <w:r>
        <w:rPr>
          <w:b/>
          <w:i/>
          <w:lang w:val="en"/>
        </w:rPr>
        <w:t xml:space="preserve">Port Reception Facilities: </w:t>
      </w:r>
      <w:r w:rsidRPr="00324DE6">
        <w:rPr>
          <w:lang w:val="en"/>
        </w:rPr>
        <w:t xml:space="preserve">EU law has </w:t>
      </w:r>
      <w:r w:rsidR="00B16773">
        <w:rPr>
          <w:lang w:val="en"/>
        </w:rPr>
        <w:t xml:space="preserve">led to </w:t>
      </w:r>
      <w:r w:rsidRPr="000B7CC9">
        <w:rPr>
          <w:lang w:val="en"/>
        </w:rPr>
        <w:t xml:space="preserve">estimated savings of up to </w:t>
      </w:r>
      <w:r w:rsidR="008D2B20">
        <w:rPr>
          <w:lang w:val="en"/>
        </w:rPr>
        <w:t xml:space="preserve">EUR </w:t>
      </w:r>
      <w:r w:rsidRPr="000B7CC9">
        <w:rPr>
          <w:lang w:val="en"/>
        </w:rPr>
        <w:t>71 million annually through reduction of discharges at sea. The current reporting and notification provision can be further simplified to reduce administrative burden</w:t>
      </w:r>
      <w:r>
        <w:rPr>
          <w:lang w:val="en"/>
        </w:rPr>
        <w:t>s</w:t>
      </w:r>
      <w:r w:rsidRPr="000B7CC9">
        <w:rPr>
          <w:lang w:val="en"/>
        </w:rPr>
        <w:t xml:space="preserve">. The </w:t>
      </w:r>
      <w:r>
        <w:rPr>
          <w:lang w:val="en"/>
        </w:rPr>
        <w:t xml:space="preserve">evaluation </w:t>
      </w:r>
      <w:r w:rsidRPr="000B7CC9">
        <w:rPr>
          <w:lang w:val="en"/>
        </w:rPr>
        <w:t>findings will be followed up by a proposal in 2017</w:t>
      </w:r>
      <w:r w:rsidR="00472CBC">
        <w:rPr>
          <w:lang w:val="en"/>
        </w:rPr>
        <w:t xml:space="preserve"> (see under point 2 above)</w:t>
      </w:r>
      <w:r w:rsidRPr="000B7CC9">
        <w:rPr>
          <w:lang w:val="en"/>
        </w:rPr>
        <w:t>.</w:t>
      </w:r>
      <w:r w:rsidR="00123E04">
        <w:rPr>
          <w:lang w:val="en"/>
        </w:rPr>
        <w:t xml:space="preserve"> </w:t>
      </w:r>
    </w:p>
    <w:p w:rsidR="000C510D" w:rsidRDefault="000C510D" w:rsidP="007A2050">
      <w:pPr>
        <w:jc w:val="both"/>
        <w:rPr>
          <w:b/>
          <w:i/>
          <w:lang w:val="en"/>
        </w:rPr>
      </w:pPr>
      <w:r>
        <w:rPr>
          <w:i/>
          <w:lang w:val="en"/>
        </w:rPr>
        <w:t xml:space="preserve">In </w:t>
      </w:r>
      <w:r w:rsidR="003367C6">
        <w:rPr>
          <w:i/>
          <w:lang w:val="en"/>
        </w:rPr>
        <w:t>2016</w:t>
      </w:r>
      <w:r>
        <w:rPr>
          <w:i/>
          <w:lang w:val="en"/>
        </w:rPr>
        <w:t xml:space="preserve">, </w:t>
      </w:r>
      <w:r w:rsidRPr="00324DE6">
        <w:rPr>
          <w:lang w:val="en"/>
        </w:rPr>
        <w:t>the Commission adopted</w:t>
      </w:r>
      <w:r>
        <w:rPr>
          <w:lang w:val="en"/>
        </w:rPr>
        <w:t xml:space="preserve"> </w:t>
      </w:r>
      <w:r w:rsidR="003367C6">
        <w:rPr>
          <w:lang w:val="en"/>
        </w:rPr>
        <w:t xml:space="preserve">three </w:t>
      </w:r>
      <w:r>
        <w:rPr>
          <w:lang w:val="en"/>
        </w:rPr>
        <w:t>proposal</w:t>
      </w:r>
      <w:r w:rsidR="003367C6">
        <w:rPr>
          <w:lang w:val="en"/>
        </w:rPr>
        <w:t xml:space="preserve">s to amend existing legislation </w:t>
      </w:r>
      <w:r w:rsidR="003367C6" w:rsidRPr="00305213">
        <w:rPr>
          <w:lang w:val="en"/>
        </w:rPr>
        <w:t>on</w:t>
      </w:r>
      <w:r w:rsidRPr="00F0075C">
        <w:rPr>
          <w:lang w:val="en"/>
        </w:rPr>
        <w:t xml:space="preserve"> </w:t>
      </w:r>
      <w:r w:rsidRPr="000135BE">
        <w:rPr>
          <w:b/>
          <w:i/>
          <w:lang w:val="en"/>
        </w:rPr>
        <w:t>passenger ship safety</w:t>
      </w:r>
      <w:r w:rsidRPr="00305213">
        <w:rPr>
          <w:lang w:val="en"/>
        </w:rPr>
        <w:t xml:space="preserve">   [</w:t>
      </w:r>
      <w:r w:rsidR="003367C6" w:rsidRPr="000135BE">
        <w:rPr>
          <w:rFonts w:cs="Times New Roman"/>
          <w:noProof/>
        </w:rPr>
        <w:t>COM(2016)369, 370 and 371</w:t>
      </w:r>
      <w:r w:rsidRPr="00F0075C">
        <w:rPr>
          <w:lang w:val="en"/>
        </w:rPr>
        <w:t>] seeking to reap the simplification and saving potential</w:t>
      </w:r>
      <w:r w:rsidRPr="000C510D">
        <w:rPr>
          <w:lang w:val="en"/>
        </w:rPr>
        <w:t xml:space="preserve"> (of up to 1 million euros annually) identified by the fitness check on passenger ship safety.</w:t>
      </w:r>
    </w:p>
    <w:p w:rsidR="0010079E" w:rsidRDefault="00CA3E04" w:rsidP="00DD6CB6">
      <w:pPr>
        <w:jc w:val="both"/>
        <w:rPr>
          <w:lang w:val="en"/>
        </w:rPr>
      </w:pPr>
      <w:r w:rsidRPr="001D1110">
        <w:rPr>
          <w:b/>
          <w:i/>
          <w:u w:val="single"/>
          <w:lang w:val="en"/>
        </w:rPr>
        <w:t xml:space="preserve">Pending </w:t>
      </w:r>
      <w:r w:rsidR="00E405E8" w:rsidRPr="001D1110">
        <w:rPr>
          <w:b/>
          <w:i/>
          <w:u w:val="single"/>
          <w:lang w:val="en"/>
        </w:rPr>
        <w:t>p</w:t>
      </w:r>
      <w:r w:rsidR="007D4B40" w:rsidRPr="001D1110">
        <w:rPr>
          <w:b/>
          <w:i/>
          <w:u w:val="single"/>
          <w:lang w:val="en"/>
        </w:rPr>
        <w:t xml:space="preserve">roposals and </w:t>
      </w:r>
      <w:r w:rsidR="00E405E8" w:rsidRPr="001D1110">
        <w:rPr>
          <w:b/>
          <w:i/>
          <w:u w:val="single"/>
          <w:lang w:val="en"/>
        </w:rPr>
        <w:t>a</w:t>
      </w:r>
      <w:r w:rsidR="000C510D" w:rsidRPr="001D1110">
        <w:rPr>
          <w:b/>
          <w:i/>
          <w:u w:val="single"/>
          <w:lang w:val="en"/>
        </w:rPr>
        <w:t xml:space="preserve">dopted </w:t>
      </w:r>
      <w:r w:rsidR="00E405E8" w:rsidRPr="001D1110">
        <w:rPr>
          <w:b/>
          <w:i/>
          <w:u w:val="single"/>
          <w:lang w:val="en"/>
        </w:rPr>
        <w:t>legal acts</w:t>
      </w:r>
      <w:r w:rsidR="007A2050">
        <w:rPr>
          <w:b/>
          <w:i/>
          <w:lang w:val="en"/>
        </w:rPr>
        <w:t>:</w:t>
      </w:r>
      <w:r w:rsidR="007A2050" w:rsidRPr="006B131A">
        <w:rPr>
          <w:lang w:val="en"/>
        </w:rPr>
        <w:t xml:space="preserve"> </w:t>
      </w:r>
      <w:r w:rsidR="0010079E">
        <w:rPr>
          <w:lang w:val="en"/>
        </w:rPr>
        <w:t xml:space="preserve">Pending REFIT proposals include:  </w:t>
      </w:r>
    </w:p>
    <w:p w:rsidR="0010079E" w:rsidRDefault="0010079E" w:rsidP="0010079E">
      <w:pPr>
        <w:numPr>
          <w:ilvl w:val="0"/>
          <w:numId w:val="20"/>
        </w:numPr>
        <w:jc w:val="both"/>
        <w:rPr>
          <w:lang w:val="en"/>
        </w:rPr>
      </w:pPr>
      <w:r w:rsidRPr="001D1110">
        <w:rPr>
          <w:b/>
          <w:i/>
          <w:lang w:val="en"/>
        </w:rPr>
        <w:t>European Venture Capital and Social Entrepreneurship Funds</w:t>
      </w:r>
      <w:r w:rsidRPr="0010079E">
        <w:rPr>
          <w:i/>
          <w:lang w:val="en"/>
        </w:rPr>
        <w:t>:</w:t>
      </w:r>
      <w:r w:rsidRPr="0010079E">
        <w:rPr>
          <w:lang w:val="en"/>
        </w:rPr>
        <w:t xml:space="preserve"> Amendments proposed by the Commission will make </w:t>
      </w:r>
      <w:r w:rsidRPr="0010079E">
        <w:t>these two forms of specialised funds more attractive, reduce costs, and realise economies of scale. Current estimates suggest a total of EUR 32 million in cost savings over five years.</w:t>
      </w:r>
      <w:r w:rsidRPr="0010079E" w:rsidDel="008E1DBE">
        <w:rPr>
          <w:i/>
        </w:rPr>
        <w:t xml:space="preserve"> </w:t>
      </w:r>
      <w:r w:rsidRPr="0010079E">
        <w:t xml:space="preserve">The modified rules will further unblock the flow of capital, leading to increased confidence in </w:t>
      </w:r>
      <w:r w:rsidRPr="0010079E">
        <w:rPr>
          <w:lang w:val="en"/>
        </w:rPr>
        <w:t xml:space="preserve">cross-border investments and to better functioning of the internal market. </w:t>
      </w:r>
    </w:p>
    <w:p w:rsidR="0010079E" w:rsidRPr="0010079E" w:rsidRDefault="0010079E" w:rsidP="0010079E">
      <w:pPr>
        <w:numPr>
          <w:ilvl w:val="0"/>
          <w:numId w:val="20"/>
        </w:numPr>
        <w:jc w:val="both"/>
      </w:pPr>
      <w:r w:rsidRPr="001D1110">
        <w:rPr>
          <w:b/>
          <w:i/>
        </w:rPr>
        <w:t>Prospectus Directive</w:t>
      </w:r>
      <w:r w:rsidRPr="0010079E">
        <w:rPr>
          <w:i/>
        </w:rPr>
        <w:t>:</w:t>
      </w:r>
      <w:r w:rsidRPr="0010079E">
        <w:t xml:space="preserve"> Recourse to the new disclosure regime for SMEs is estimated to save SMEs around EUR 45 million per year while about 320 SMEs are likely to benefit. The alleviated disclosure regime for secondary issuances is likely to translate into additional savings of around EUR 130 million per year. </w:t>
      </w:r>
    </w:p>
    <w:p w:rsidR="007A2050" w:rsidRDefault="007A2050" w:rsidP="00DD6CB6">
      <w:pPr>
        <w:jc w:val="both"/>
      </w:pPr>
      <w:r w:rsidRPr="00324DE6">
        <w:rPr>
          <w:lang w:val="en"/>
        </w:rPr>
        <w:t xml:space="preserve">In 2016, the legislator adopted </w:t>
      </w:r>
      <w:r w:rsidRPr="007118FB">
        <w:rPr>
          <w:lang w:val="en"/>
        </w:rPr>
        <w:t xml:space="preserve">new legislation on </w:t>
      </w:r>
      <w:r w:rsidRPr="001D1110">
        <w:rPr>
          <w:b/>
          <w:i/>
          <w:lang w:val="en"/>
        </w:rPr>
        <w:t>animal health</w:t>
      </w:r>
      <w:r w:rsidRPr="00305213">
        <w:rPr>
          <w:lang w:val="en"/>
        </w:rPr>
        <w:t xml:space="preserve"> which</w:t>
      </w:r>
      <w:r w:rsidRPr="007118FB">
        <w:rPr>
          <w:lang w:val="en"/>
        </w:rPr>
        <w:t xml:space="preserve"> promises major savings through simplification and more efficient rules for the prevention of animal diseases. It also offers possibilities to reduce administrative burdens by allowing the use of new technologies, such as electronic certificates, electronic identification and database interlinks. The simplification of rules for movement of animals can save up to </w:t>
      </w:r>
      <w:r w:rsidR="008D2B20">
        <w:rPr>
          <w:lang w:val="en"/>
        </w:rPr>
        <w:t xml:space="preserve">EUR </w:t>
      </w:r>
      <w:r>
        <w:t xml:space="preserve">39 </w:t>
      </w:r>
      <w:r w:rsidR="00CA3E04">
        <w:t>million</w:t>
      </w:r>
      <w:r w:rsidR="00CA3E04" w:rsidRPr="00CD0A10">
        <w:t xml:space="preserve"> </w:t>
      </w:r>
      <w:r>
        <w:t>per year.</w:t>
      </w:r>
    </w:p>
    <w:p w:rsidR="007A2050" w:rsidRDefault="007A2050" w:rsidP="007A2050">
      <w:pPr>
        <w:jc w:val="both"/>
        <w:rPr>
          <w:lang w:val="en"/>
        </w:rPr>
      </w:pPr>
      <w:r w:rsidRPr="001D1110">
        <w:rPr>
          <w:b/>
          <w:i/>
          <w:u w:val="single"/>
          <w:lang w:val="en"/>
        </w:rPr>
        <w:t>Implementation</w:t>
      </w:r>
      <w:r w:rsidR="007D4B40" w:rsidRPr="001D1110">
        <w:rPr>
          <w:b/>
          <w:i/>
          <w:u w:val="single"/>
          <w:lang w:val="en"/>
        </w:rPr>
        <w:t xml:space="preserve"> on the ground</w:t>
      </w:r>
      <w:r w:rsidRPr="00324DE6">
        <w:rPr>
          <w:b/>
          <w:i/>
          <w:lang w:val="en"/>
        </w:rPr>
        <w:t>:</w:t>
      </w:r>
      <w:r>
        <w:rPr>
          <w:lang w:val="en"/>
        </w:rPr>
        <w:t xml:space="preserve"> New simpler rules apply in a number of areas from 2016 on. This includes:</w:t>
      </w:r>
    </w:p>
    <w:p w:rsidR="007A2050" w:rsidRPr="00BE1574" w:rsidRDefault="007A2050" w:rsidP="007A2050">
      <w:pPr>
        <w:pStyle w:val="ListParagraph"/>
        <w:numPr>
          <w:ilvl w:val="0"/>
          <w:numId w:val="15"/>
        </w:numPr>
        <w:jc w:val="both"/>
        <w:rPr>
          <w:lang w:val="en"/>
        </w:rPr>
      </w:pPr>
      <w:r w:rsidRPr="00324DE6">
        <w:rPr>
          <w:b/>
          <w:i/>
          <w:lang w:val="en"/>
        </w:rPr>
        <w:t>Public Procurement:</w:t>
      </w:r>
      <w:r>
        <w:rPr>
          <w:lang w:val="en"/>
        </w:rPr>
        <w:t xml:space="preserve"> New simplified award procedures for public contracts are in force since April 2016</w:t>
      </w:r>
      <w:r w:rsidRPr="00BE1574">
        <w:rPr>
          <w:lang w:val="en"/>
        </w:rPr>
        <w:t xml:space="preserve">. In particular the introduction of a </w:t>
      </w:r>
      <w:r w:rsidRPr="00BE1574">
        <w:rPr>
          <w:i/>
          <w:lang w:val="en"/>
        </w:rPr>
        <w:t xml:space="preserve">European </w:t>
      </w:r>
      <w:r>
        <w:rPr>
          <w:i/>
          <w:lang w:val="en"/>
        </w:rPr>
        <w:t>S</w:t>
      </w:r>
      <w:r w:rsidRPr="00BE1574">
        <w:rPr>
          <w:i/>
          <w:lang w:val="en"/>
        </w:rPr>
        <w:t xml:space="preserve">tandard </w:t>
      </w:r>
      <w:r>
        <w:rPr>
          <w:i/>
          <w:lang w:val="en"/>
        </w:rPr>
        <w:t xml:space="preserve">Procurement </w:t>
      </w:r>
      <w:r w:rsidRPr="00BE1574">
        <w:rPr>
          <w:i/>
          <w:lang w:val="en"/>
        </w:rPr>
        <w:t>document</w:t>
      </w:r>
      <w:r w:rsidRPr="00BE1574">
        <w:rPr>
          <w:lang w:val="en"/>
        </w:rPr>
        <w:t xml:space="preserve"> allows </w:t>
      </w:r>
      <w:r>
        <w:rPr>
          <w:lang w:val="en"/>
        </w:rPr>
        <w:t xml:space="preserve">an </w:t>
      </w:r>
      <w:r w:rsidRPr="00BE1574">
        <w:rPr>
          <w:lang w:val="en"/>
        </w:rPr>
        <w:t>eas</w:t>
      </w:r>
      <w:r w:rsidR="00B16773">
        <w:rPr>
          <w:lang w:val="en"/>
        </w:rPr>
        <w:t>ier</w:t>
      </w:r>
      <w:r>
        <w:rPr>
          <w:lang w:val="en"/>
        </w:rPr>
        <w:t xml:space="preserve"> </w:t>
      </w:r>
      <w:r w:rsidRPr="00BE1574">
        <w:rPr>
          <w:lang w:val="en"/>
        </w:rPr>
        <w:t xml:space="preserve">access </w:t>
      </w:r>
      <w:r>
        <w:rPr>
          <w:lang w:val="en"/>
        </w:rPr>
        <w:t xml:space="preserve">to public tenders </w:t>
      </w:r>
      <w:r w:rsidRPr="00BE1574">
        <w:rPr>
          <w:lang w:val="en"/>
        </w:rPr>
        <w:t>in all Member States</w:t>
      </w:r>
      <w:r>
        <w:rPr>
          <w:lang w:val="en"/>
        </w:rPr>
        <w:t xml:space="preserve"> for business and in particular SMEs</w:t>
      </w:r>
      <w:r w:rsidRPr="00BE1574">
        <w:rPr>
          <w:lang w:val="en"/>
        </w:rPr>
        <w:t>.</w:t>
      </w:r>
    </w:p>
    <w:p w:rsidR="007A2050" w:rsidRPr="00B0326F" w:rsidRDefault="007A2050" w:rsidP="009542E5">
      <w:pPr>
        <w:pBdr>
          <w:top w:val="single" w:sz="4" w:space="1" w:color="auto"/>
          <w:left w:val="single" w:sz="4" w:space="5" w:color="auto"/>
          <w:bottom w:val="single" w:sz="4" w:space="1" w:color="auto"/>
          <w:right w:val="single" w:sz="4" w:space="4" w:color="auto"/>
        </w:pBdr>
        <w:jc w:val="both"/>
      </w:pPr>
      <w:r w:rsidRPr="00324DE6">
        <w:rPr>
          <w:b/>
          <w:i/>
          <w:lang w:val="en"/>
        </w:rPr>
        <w:lastRenderedPageBreak/>
        <w:t xml:space="preserve">Elżbieta </w:t>
      </w:r>
      <w:r w:rsidRPr="00324DE6">
        <w:rPr>
          <w:b/>
          <w:bCs/>
          <w:i/>
          <w:lang w:val="en"/>
        </w:rPr>
        <w:t>Bieńkowska</w:t>
      </w:r>
      <w:r w:rsidRPr="00324DE6">
        <w:rPr>
          <w:b/>
          <w:i/>
          <w:lang w:val="en"/>
        </w:rPr>
        <w:t>, Commissioner responsible for Internal Market, Industry, Entrepreneurship and SMEs said:</w:t>
      </w:r>
      <w:r w:rsidRPr="008250CB">
        <w:rPr>
          <w:lang w:val="en"/>
        </w:rPr>
        <w:t xml:space="preserve"> </w:t>
      </w:r>
      <w:r w:rsidRPr="008250CB">
        <w:rPr>
          <w:i/>
          <w:lang w:val="en"/>
        </w:rPr>
        <w:t>"By reducing the volume of documents needed, the European Single Procurement Document will make it easier for companies to take part in public award procedures. Public administrations will benefit from a wider range of offers ensuring better quality and value for money</w:t>
      </w:r>
      <w:r w:rsidRPr="008250CB">
        <w:rPr>
          <w:lang w:val="en"/>
        </w:rPr>
        <w:t>."</w:t>
      </w:r>
      <w:r w:rsidRPr="008250CB">
        <w:rPr>
          <w:b/>
        </w:rPr>
        <w:t xml:space="preserve"> </w:t>
      </w:r>
    </w:p>
    <w:p w:rsidR="007A2050" w:rsidRDefault="007A2050" w:rsidP="007A2050">
      <w:pPr>
        <w:pStyle w:val="ListParagraph"/>
        <w:numPr>
          <w:ilvl w:val="0"/>
          <w:numId w:val="15"/>
        </w:numPr>
        <w:jc w:val="both"/>
        <w:rPr>
          <w:lang w:val="en"/>
        </w:rPr>
      </w:pPr>
      <w:r w:rsidRPr="00324DE6">
        <w:rPr>
          <w:b/>
          <w:i/>
          <w:lang w:val="en"/>
        </w:rPr>
        <w:t xml:space="preserve">Clinical Trials: </w:t>
      </w:r>
      <w:r w:rsidRPr="006F3390">
        <w:rPr>
          <w:lang w:val="en"/>
        </w:rPr>
        <w:t>Ne</w:t>
      </w:r>
      <w:r w:rsidRPr="00BE1574">
        <w:rPr>
          <w:lang w:val="en"/>
        </w:rPr>
        <w:t>w rules on</w:t>
      </w:r>
      <w:r w:rsidRPr="00BE1574">
        <w:rPr>
          <w:i/>
          <w:lang w:val="en"/>
        </w:rPr>
        <w:t xml:space="preserve"> </w:t>
      </w:r>
      <w:r w:rsidRPr="00324DE6">
        <w:rPr>
          <w:lang w:val="en"/>
        </w:rPr>
        <w:t>clinical trials for</w:t>
      </w:r>
      <w:r w:rsidRPr="00BE1574">
        <w:rPr>
          <w:lang w:val="en"/>
        </w:rPr>
        <w:t xml:space="preserve"> new medicines gradually start applying. The</w:t>
      </w:r>
      <w:r>
        <w:rPr>
          <w:lang w:val="en"/>
        </w:rPr>
        <w:t xml:space="preserve">se new rules </w:t>
      </w:r>
      <w:r w:rsidRPr="00BE1574">
        <w:rPr>
          <w:bCs/>
        </w:rPr>
        <w:t>facilitat</w:t>
      </w:r>
      <w:r>
        <w:rPr>
          <w:bCs/>
        </w:rPr>
        <w:t>e</w:t>
      </w:r>
      <w:r w:rsidRPr="00BE1574">
        <w:rPr>
          <w:bCs/>
        </w:rPr>
        <w:t xml:space="preserve"> multinational trials</w:t>
      </w:r>
      <w:r w:rsidRPr="0046794A">
        <w:t xml:space="preserve"> </w:t>
      </w:r>
      <w:r>
        <w:t>and reduce costs</w:t>
      </w:r>
      <w:r w:rsidRPr="00BE1574">
        <w:rPr>
          <w:lang w:val="en"/>
        </w:rPr>
        <w:t xml:space="preserve">. It is expected that pharmaceutical companies will save up to </w:t>
      </w:r>
      <w:r>
        <w:rPr>
          <w:noProof/>
        </w:rPr>
        <w:t xml:space="preserve">EUR 267 </w:t>
      </w:r>
      <w:r w:rsidR="008D2B20">
        <w:rPr>
          <w:noProof/>
        </w:rPr>
        <w:t xml:space="preserve">million </w:t>
      </w:r>
      <w:r>
        <w:rPr>
          <w:noProof/>
        </w:rPr>
        <w:t>annually in administrative burden and EUR 540 mio</w:t>
      </w:r>
      <w:r w:rsidRPr="001F0A82">
        <w:rPr>
          <w:noProof/>
        </w:rPr>
        <w:t xml:space="preserve"> </w:t>
      </w:r>
      <w:r>
        <w:rPr>
          <w:noProof/>
        </w:rPr>
        <w:t>in compliance costs</w:t>
      </w:r>
      <w:r w:rsidRPr="00BE1574">
        <w:rPr>
          <w:lang w:val="en"/>
        </w:rPr>
        <w:t>.</w:t>
      </w:r>
    </w:p>
    <w:p w:rsidR="007A2050" w:rsidRPr="00BE1574" w:rsidRDefault="007A2050" w:rsidP="007A2050">
      <w:pPr>
        <w:pStyle w:val="ListParagraph"/>
        <w:numPr>
          <w:ilvl w:val="0"/>
          <w:numId w:val="15"/>
        </w:numPr>
        <w:jc w:val="both"/>
        <w:rPr>
          <w:lang w:val="en"/>
        </w:rPr>
      </w:pPr>
      <w:r w:rsidRPr="00324DE6">
        <w:rPr>
          <w:b/>
          <w:i/>
          <w:lang w:val="en"/>
        </w:rPr>
        <w:t>Professional Qualifications</w:t>
      </w:r>
      <w:r w:rsidRPr="00324DE6">
        <w:rPr>
          <w:b/>
          <w:lang w:val="en"/>
        </w:rPr>
        <w:t xml:space="preserve">: </w:t>
      </w:r>
      <w:r w:rsidRPr="006F3390">
        <w:rPr>
          <w:lang w:val="en"/>
        </w:rPr>
        <w:t>S</w:t>
      </w:r>
      <w:r w:rsidRPr="00BE1574">
        <w:rPr>
          <w:lang w:val="en"/>
        </w:rPr>
        <w:t xml:space="preserve">ince January 2016 </w:t>
      </w:r>
      <w:r>
        <w:rPr>
          <w:lang w:val="en"/>
        </w:rPr>
        <w:t xml:space="preserve">simplified </w:t>
      </w:r>
      <w:r w:rsidRPr="00BE1574">
        <w:rPr>
          <w:lang w:val="en"/>
        </w:rPr>
        <w:t xml:space="preserve">rules apply </w:t>
      </w:r>
      <w:r>
        <w:rPr>
          <w:lang w:val="en"/>
        </w:rPr>
        <w:t xml:space="preserve">for the recognition of </w:t>
      </w:r>
      <w:r w:rsidRPr="00324DE6">
        <w:rPr>
          <w:lang w:val="en"/>
        </w:rPr>
        <w:t>professional qualifications earned in another</w:t>
      </w:r>
      <w:r w:rsidRPr="00BE1574">
        <w:rPr>
          <w:lang w:val="en"/>
        </w:rPr>
        <w:t xml:space="preserve"> Member State. </w:t>
      </w:r>
      <w:r>
        <w:rPr>
          <w:lang w:val="en"/>
        </w:rPr>
        <w:t xml:space="preserve">This includes the </w:t>
      </w:r>
      <w:r w:rsidRPr="00BE1574">
        <w:rPr>
          <w:lang w:val="en"/>
        </w:rPr>
        <w:t xml:space="preserve">European Professional Card which is expected to </w:t>
      </w:r>
      <w:r>
        <w:rPr>
          <w:lang w:val="en"/>
        </w:rPr>
        <w:t xml:space="preserve">deliver savings of </w:t>
      </w:r>
      <w:r w:rsidRPr="00BE1574">
        <w:rPr>
          <w:lang w:val="en"/>
        </w:rPr>
        <w:t>up to 80 Euros</w:t>
      </w:r>
      <w:r>
        <w:rPr>
          <w:lang w:val="en"/>
        </w:rPr>
        <w:t xml:space="preserve"> for each user. However, there are concerns that </w:t>
      </w:r>
      <w:r w:rsidRPr="00BE1574">
        <w:rPr>
          <w:lang w:val="en"/>
        </w:rPr>
        <w:t xml:space="preserve">implementation </w:t>
      </w:r>
      <w:r>
        <w:rPr>
          <w:lang w:val="en"/>
        </w:rPr>
        <w:t xml:space="preserve">delays do not yet allow </w:t>
      </w:r>
      <w:r w:rsidRPr="00BE1574">
        <w:rPr>
          <w:lang w:val="en"/>
        </w:rPr>
        <w:t>citizens and authorities</w:t>
      </w:r>
      <w:r>
        <w:rPr>
          <w:lang w:val="en"/>
        </w:rPr>
        <w:t xml:space="preserve"> in some Member States to enjoy full benefits</w:t>
      </w:r>
      <w:r w:rsidRPr="00BE1574">
        <w:rPr>
          <w:lang w:val="en"/>
        </w:rPr>
        <w:t>.</w:t>
      </w:r>
    </w:p>
    <w:p w:rsidR="007A2050" w:rsidRPr="00324DE6" w:rsidRDefault="007A2050" w:rsidP="007A2050">
      <w:pPr>
        <w:jc w:val="both"/>
        <w:rPr>
          <w:lang w:val="en"/>
        </w:rPr>
      </w:pPr>
      <w:r w:rsidRPr="00324DE6">
        <w:rPr>
          <w:lang w:val="en"/>
        </w:rPr>
        <w:t xml:space="preserve">Regulatory savings are reported by Member States and stakeholders </w:t>
      </w:r>
      <w:r>
        <w:rPr>
          <w:lang w:val="en"/>
        </w:rPr>
        <w:t>regarding EU laws</w:t>
      </w:r>
      <w:r w:rsidRPr="00324DE6">
        <w:rPr>
          <w:lang w:val="en"/>
        </w:rPr>
        <w:t xml:space="preserve"> where simplification has already</w:t>
      </w:r>
      <w:r>
        <w:rPr>
          <w:lang w:val="en"/>
        </w:rPr>
        <w:t xml:space="preserve"> been applied</w:t>
      </w:r>
      <w:r w:rsidRPr="00324DE6">
        <w:rPr>
          <w:lang w:val="en"/>
        </w:rPr>
        <w:t xml:space="preserve"> for some time:</w:t>
      </w:r>
    </w:p>
    <w:p w:rsidR="007A2050" w:rsidRPr="00107625" w:rsidRDefault="007A2050" w:rsidP="007A2050">
      <w:pPr>
        <w:pStyle w:val="ListParagraph"/>
        <w:numPr>
          <w:ilvl w:val="0"/>
          <w:numId w:val="16"/>
        </w:numPr>
        <w:jc w:val="both"/>
        <w:rPr>
          <w:rFonts w:asciiTheme="minorHAnsi" w:hAnsiTheme="minorHAnsi"/>
          <w:lang w:val="en"/>
        </w:rPr>
      </w:pPr>
      <w:r w:rsidRPr="009A6469">
        <w:rPr>
          <w:rFonts w:asciiTheme="minorHAnsi" w:hAnsiTheme="minorHAnsi"/>
          <w:b/>
          <w:i/>
          <w:lang w:val="en"/>
        </w:rPr>
        <w:t>Refund of Value Added Tax:</w:t>
      </w:r>
      <w:r w:rsidRPr="00107625">
        <w:rPr>
          <w:rFonts w:asciiTheme="minorHAnsi" w:hAnsiTheme="minorHAnsi"/>
          <w:lang w:val="en"/>
        </w:rPr>
        <w:t xml:space="preserve"> </w:t>
      </w:r>
      <w:r w:rsidRPr="00107625">
        <w:rPr>
          <w:rFonts w:asciiTheme="minorHAnsi" w:eastAsia="Times New Roman" w:hAnsiTheme="minorHAnsi"/>
          <w:noProof/>
        </w:rPr>
        <w:t xml:space="preserve">Cost savings </w:t>
      </w:r>
      <w:r>
        <w:rPr>
          <w:rFonts w:asciiTheme="minorHAnsi" w:eastAsia="Times New Roman" w:hAnsiTheme="minorHAnsi"/>
          <w:noProof/>
        </w:rPr>
        <w:t xml:space="preserve">to business </w:t>
      </w:r>
      <w:r w:rsidRPr="00107625">
        <w:rPr>
          <w:rFonts w:asciiTheme="minorHAnsi" w:eastAsia="Times New Roman" w:hAnsiTheme="minorHAnsi"/>
          <w:noProof/>
        </w:rPr>
        <w:t xml:space="preserve">reported by Member States </w:t>
      </w:r>
      <w:r>
        <w:rPr>
          <w:rFonts w:asciiTheme="minorHAnsi" w:eastAsia="Times New Roman" w:hAnsiTheme="minorHAnsi"/>
          <w:noProof/>
        </w:rPr>
        <w:t xml:space="preserve">in the refund of VAT after new and simpler rules have been implemented range </w:t>
      </w:r>
      <w:r w:rsidRPr="00107625">
        <w:rPr>
          <w:rFonts w:asciiTheme="minorHAnsi" w:hAnsiTheme="minorHAnsi"/>
        </w:rPr>
        <w:t>between 30% and 35%.</w:t>
      </w:r>
    </w:p>
    <w:p w:rsidR="00DD6CB6" w:rsidRDefault="007A2050" w:rsidP="00DD6CB6">
      <w:pPr>
        <w:pStyle w:val="ListParagraph"/>
        <w:numPr>
          <w:ilvl w:val="0"/>
          <w:numId w:val="16"/>
        </w:numPr>
        <w:jc w:val="both"/>
        <w:rPr>
          <w:lang w:val="en"/>
        </w:rPr>
      </w:pPr>
      <w:r w:rsidRPr="00DD6CB6">
        <w:rPr>
          <w:b/>
          <w:i/>
          <w:lang w:val="en"/>
        </w:rPr>
        <w:t xml:space="preserve">Late Payments: </w:t>
      </w:r>
      <w:r w:rsidRPr="00DD6CB6">
        <w:rPr>
          <w:lang w:val="en"/>
        </w:rPr>
        <w:t xml:space="preserve">Since </w:t>
      </w:r>
      <w:r w:rsidR="00B16773" w:rsidRPr="00DD6CB6">
        <w:rPr>
          <w:lang w:val="en"/>
        </w:rPr>
        <w:t xml:space="preserve">the </w:t>
      </w:r>
      <w:r w:rsidRPr="00DD6CB6">
        <w:rPr>
          <w:lang w:val="en"/>
        </w:rPr>
        <w:t xml:space="preserve">adoption in 2011 </w:t>
      </w:r>
      <w:r w:rsidR="00B16773" w:rsidRPr="00DD6CB6">
        <w:rPr>
          <w:lang w:val="en"/>
        </w:rPr>
        <w:t xml:space="preserve">of </w:t>
      </w:r>
      <w:r w:rsidRPr="00DD6CB6">
        <w:rPr>
          <w:lang w:val="en"/>
        </w:rPr>
        <w:t>the Directive on late payment</w:t>
      </w:r>
      <w:r w:rsidR="00B16773" w:rsidRPr="00DD6CB6">
        <w:rPr>
          <w:lang w:val="en"/>
        </w:rPr>
        <w:t xml:space="preserve">, statistics have shown </w:t>
      </w:r>
      <w:r w:rsidRPr="00DD6CB6">
        <w:rPr>
          <w:lang w:val="en"/>
        </w:rPr>
        <w:t xml:space="preserve">a steady decrease in average payment delays by businesses and in the public sector. </w:t>
      </w:r>
    </w:p>
    <w:p w:rsidR="007A2050" w:rsidRPr="00DD6CB6" w:rsidRDefault="007A2050" w:rsidP="00DD6CB6">
      <w:pPr>
        <w:pStyle w:val="ListParagraph"/>
        <w:jc w:val="both"/>
        <w:rPr>
          <w:lang w:val="en"/>
        </w:rPr>
      </w:pPr>
    </w:p>
    <w:p w:rsidR="007A2050" w:rsidRDefault="007A2050" w:rsidP="007A2050">
      <w:pPr>
        <w:pStyle w:val="ListParagraph"/>
        <w:pBdr>
          <w:top w:val="single" w:sz="4" w:space="1" w:color="auto"/>
          <w:left w:val="single" w:sz="4" w:space="4" w:color="auto"/>
          <w:bottom w:val="single" w:sz="4" w:space="1" w:color="auto"/>
          <w:right w:val="single" w:sz="4" w:space="4" w:color="auto"/>
        </w:pBdr>
        <w:jc w:val="both"/>
        <w:rPr>
          <w:i/>
          <w:lang w:val="en"/>
        </w:rPr>
      </w:pPr>
      <w:r w:rsidRPr="00324DE6">
        <w:rPr>
          <w:b/>
          <w:i/>
          <w:u w:val="single"/>
          <w:lang w:val="en"/>
        </w:rPr>
        <w:t xml:space="preserve">Late Payments: </w:t>
      </w:r>
      <w:r w:rsidRPr="00324DE6">
        <w:rPr>
          <w:i/>
          <w:lang w:val="en"/>
        </w:rPr>
        <w:t xml:space="preserve">Average payment period </w:t>
      </w:r>
      <w:r w:rsidR="00DA2FD3">
        <w:rPr>
          <w:i/>
          <w:lang w:val="en"/>
        </w:rPr>
        <w:t xml:space="preserve">(days) </w:t>
      </w:r>
      <w:r w:rsidRPr="00324DE6">
        <w:rPr>
          <w:i/>
          <w:lang w:val="en"/>
        </w:rPr>
        <w:t xml:space="preserve">in the EU 2010-2014: </w:t>
      </w:r>
    </w:p>
    <w:p w:rsidR="007A2050" w:rsidRPr="00324DE6" w:rsidRDefault="007A2050" w:rsidP="007A2050">
      <w:pPr>
        <w:pStyle w:val="ListParagraph"/>
        <w:pBdr>
          <w:top w:val="single" w:sz="4" w:space="1" w:color="auto"/>
          <w:left w:val="single" w:sz="4" w:space="4" w:color="auto"/>
          <w:bottom w:val="single" w:sz="4" w:space="1" w:color="auto"/>
          <w:right w:val="single" w:sz="4" w:space="4" w:color="auto"/>
        </w:pBdr>
        <w:jc w:val="both"/>
        <w:rPr>
          <w:i/>
          <w:lang w:val="en"/>
        </w:rPr>
      </w:pPr>
    </w:p>
    <w:p w:rsidR="007A2050" w:rsidRPr="00107625" w:rsidRDefault="007A2050" w:rsidP="007A2050">
      <w:pPr>
        <w:pStyle w:val="ListParagraph"/>
        <w:pBdr>
          <w:top w:val="single" w:sz="4" w:space="1" w:color="auto"/>
          <w:left w:val="single" w:sz="4" w:space="4" w:color="auto"/>
          <w:bottom w:val="single" w:sz="4" w:space="1" w:color="auto"/>
          <w:right w:val="single" w:sz="4" w:space="4" w:color="auto"/>
        </w:pBdr>
        <w:jc w:val="both"/>
        <w:rPr>
          <w:lang w:val="en"/>
        </w:rPr>
      </w:pPr>
      <w:r w:rsidRPr="00191938">
        <w:rPr>
          <w:noProof/>
          <w:lang w:eastAsia="en-GB"/>
        </w:rPr>
        <w:drawing>
          <wp:inline distT="0" distB="0" distL="0" distR="0" wp14:anchorId="20B57F7D" wp14:editId="6DE8AC68">
            <wp:extent cx="5734050" cy="2007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2007920"/>
                    </a:xfrm>
                    <a:prstGeom prst="rect">
                      <a:avLst/>
                    </a:prstGeom>
                    <a:noFill/>
                    <a:ln>
                      <a:noFill/>
                    </a:ln>
                  </pic:spPr>
                </pic:pic>
              </a:graphicData>
            </a:graphic>
          </wp:inline>
        </w:drawing>
      </w:r>
    </w:p>
    <w:p w:rsidR="00FE1D02" w:rsidRDefault="00FE1D02">
      <w:pPr>
        <w:rPr>
          <w:lang w:val="en"/>
        </w:rPr>
      </w:pPr>
      <w:r>
        <w:rPr>
          <w:lang w:val="en"/>
        </w:rPr>
        <w:br w:type="page"/>
      </w:r>
    </w:p>
    <w:p w:rsidR="00FE1D02" w:rsidRDefault="00FE1D02" w:rsidP="00FE1D02">
      <w:pPr>
        <w:pStyle w:val="Heading1"/>
      </w:pPr>
      <w:bookmarkStart w:id="7" w:name="_Toc465076233"/>
      <w:r w:rsidRPr="0082712A">
        <w:lastRenderedPageBreak/>
        <w:t xml:space="preserve">Priority </w:t>
      </w:r>
      <w:r>
        <w:t>5</w:t>
      </w:r>
      <w:r w:rsidRPr="0082712A">
        <w:t xml:space="preserve">: </w:t>
      </w:r>
      <w:r w:rsidRPr="006E39B0">
        <w:t>A D</w:t>
      </w:r>
      <w:r>
        <w:t xml:space="preserve">eeper and </w:t>
      </w:r>
      <w:r w:rsidRPr="006E39B0">
        <w:t>F</w:t>
      </w:r>
      <w:r>
        <w:t>airer</w:t>
      </w:r>
      <w:r w:rsidRPr="006E39B0">
        <w:t xml:space="preserve"> E</w:t>
      </w:r>
      <w:r>
        <w:t>conomic and</w:t>
      </w:r>
      <w:r w:rsidRPr="006E39B0">
        <w:t xml:space="preserve"> M</w:t>
      </w:r>
      <w:r>
        <w:t>onetary</w:t>
      </w:r>
      <w:r w:rsidRPr="006E39B0">
        <w:t xml:space="preserve"> U</w:t>
      </w:r>
      <w:r>
        <w:t>nion</w:t>
      </w:r>
      <w:bookmarkEnd w:id="7"/>
    </w:p>
    <w:p w:rsidR="00FE1D02" w:rsidRPr="00FB23E5" w:rsidRDefault="00FE1D02" w:rsidP="00FB23E5">
      <w:pPr>
        <w:pStyle w:val="Heading4"/>
        <w:numPr>
          <w:ilvl w:val="0"/>
          <w:numId w:val="42"/>
        </w:numPr>
        <w:rPr>
          <w:bCs w:val="0"/>
          <w:i w:val="0"/>
          <w:color w:val="365F91" w:themeColor="accent1" w:themeShade="BF"/>
          <w:sz w:val="28"/>
          <w:szCs w:val="28"/>
        </w:rPr>
      </w:pPr>
      <w:r w:rsidRPr="00FB23E5">
        <w:rPr>
          <w:bCs w:val="0"/>
          <w:i w:val="0"/>
          <w:color w:val="365F91" w:themeColor="accent1" w:themeShade="BF"/>
          <w:sz w:val="28"/>
          <w:szCs w:val="28"/>
        </w:rPr>
        <w:t>Context</w:t>
      </w:r>
    </w:p>
    <w:p w:rsidR="00FE1D02" w:rsidRDefault="00FE1D02" w:rsidP="00FE1D02">
      <w:pPr>
        <w:jc w:val="both"/>
        <w:rPr>
          <w:lang w:val="en"/>
        </w:rPr>
      </w:pPr>
      <w:r>
        <w:rPr>
          <w:lang w:val="en"/>
        </w:rPr>
        <w:br/>
      </w:r>
      <w:r w:rsidRPr="006E17CC">
        <w:rPr>
          <w:lang w:val="en"/>
        </w:rPr>
        <w:t>The Commission</w:t>
      </w:r>
      <w:r w:rsidR="00FF1F11">
        <w:rPr>
          <w:lang w:val="en"/>
        </w:rPr>
        <w:t xml:space="preserve"> is</w:t>
      </w:r>
      <w:r w:rsidRPr="006E17CC">
        <w:rPr>
          <w:lang w:val="en"/>
        </w:rPr>
        <w:t xml:space="preserve"> work</w:t>
      </w:r>
      <w:r w:rsidR="00FF1F11">
        <w:rPr>
          <w:lang w:val="en"/>
        </w:rPr>
        <w:t xml:space="preserve">ing for </w:t>
      </w:r>
      <w:r w:rsidR="00D70C2D">
        <w:rPr>
          <w:lang w:val="en"/>
        </w:rPr>
        <w:t xml:space="preserve">a deeper and fairer </w:t>
      </w:r>
      <w:r w:rsidRPr="006E17CC">
        <w:rPr>
          <w:lang w:val="en"/>
        </w:rPr>
        <w:t>Economic and Monetary Union</w:t>
      </w:r>
      <w:r w:rsidR="00FF1F11">
        <w:rPr>
          <w:lang w:val="en"/>
        </w:rPr>
        <w:t xml:space="preserve"> in line with the report of the Five Presidents</w:t>
      </w:r>
      <w:r w:rsidRPr="006E17CC">
        <w:rPr>
          <w:lang w:val="en"/>
        </w:rPr>
        <w:t>.</w:t>
      </w:r>
      <w:r w:rsidR="0023538C">
        <w:rPr>
          <w:lang w:val="en"/>
        </w:rPr>
        <w:t xml:space="preserve"> </w:t>
      </w:r>
      <w:r>
        <w:rPr>
          <w:lang w:val="en"/>
        </w:rPr>
        <w:t xml:space="preserve">Initiatives under REFIT </w:t>
      </w:r>
      <w:r w:rsidR="00D70C2D">
        <w:rPr>
          <w:lang w:val="en"/>
        </w:rPr>
        <w:t xml:space="preserve">are contributing to this goal by ensuring legislation </w:t>
      </w:r>
      <w:r>
        <w:rPr>
          <w:lang w:val="en"/>
        </w:rPr>
        <w:t>in the areas of financial stability and financial services, social affairs and employment and statistics</w:t>
      </w:r>
      <w:r w:rsidR="00D70C2D">
        <w:rPr>
          <w:lang w:val="en"/>
        </w:rPr>
        <w:t xml:space="preserve"> remain fit for purpose, are as simple as possible and do not involve undue burdens</w:t>
      </w:r>
      <w:r>
        <w:rPr>
          <w:lang w:val="en"/>
        </w:rPr>
        <w:t>.</w:t>
      </w:r>
    </w:p>
    <w:p w:rsidR="00FE1D02" w:rsidRPr="00FB23E5" w:rsidRDefault="00FE1D02" w:rsidP="00FB23E5">
      <w:pPr>
        <w:pStyle w:val="Heading4"/>
        <w:numPr>
          <w:ilvl w:val="0"/>
          <w:numId w:val="42"/>
        </w:numPr>
        <w:rPr>
          <w:bCs w:val="0"/>
          <w:i w:val="0"/>
          <w:color w:val="365F91" w:themeColor="accent1" w:themeShade="BF"/>
          <w:sz w:val="28"/>
          <w:szCs w:val="28"/>
        </w:rPr>
      </w:pPr>
      <w:r w:rsidRPr="00FB23E5">
        <w:rPr>
          <w:bCs w:val="0"/>
          <w:i w:val="0"/>
          <w:color w:val="365F91" w:themeColor="accent1" w:themeShade="BF"/>
          <w:sz w:val="28"/>
          <w:szCs w:val="28"/>
        </w:rPr>
        <w:t xml:space="preserve">New </w:t>
      </w:r>
      <w:r w:rsidR="00D70C2D">
        <w:rPr>
          <w:bCs w:val="0"/>
          <w:i w:val="0"/>
          <w:color w:val="365F91" w:themeColor="accent1" w:themeShade="BF"/>
          <w:sz w:val="28"/>
          <w:szCs w:val="28"/>
        </w:rPr>
        <w:t xml:space="preserve">REFIT </w:t>
      </w:r>
      <w:r w:rsidRPr="00FB23E5">
        <w:rPr>
          <w:bCs w:val="0"/>
          <w:i w:val="0"/>
          <w:color w:val="365F91" w:themeColor="accent1" w:themeShade="BF"/>
          <w:sz w:val="28"/>
          <w:szCs w:val="28"/>
        </w:rPr>
        <w:t>Initiatives</w:t>
      </w:r>
    </w:p>
    <w:p w:rsidR="00FE1D02" w:rsidRDefault="00FE1D02" w:rsidP="00FE1D02">
      <w:pPr>
        <w:jc w:val="both"/>
        <w:rPr>
          <w:lang w:val="en"/>
        </w:rPr>
      </w:pPr>
      <w:r>
        <w:rPr>
          <w:b/>
          <w:i/>
          <w:lang w:val="en"/>
        </w:rPr>
        <w:br/>
      </w:r>
      <w:r w:rsidR="00D102EF" w:rsidRPr="00696BF7">
        <w:rPr>
          <w:lang w:val="en"/>
        </w:rPr>
        <w:t>Work planned in the</w:t>
      </w:r>
      <w:r w:rsidR="00D102EF">
        <w:rPr>
          <w:b/>
          <w:i/>
          <w:lang w:val="en"/>
        </w:rPr>
        <w:t xml:space="preserve"> </w:t>
      </w:r>
      <w:r w:rsidRPr="001D1110">
        <w:rPr>
          <w:b/>
          <w:i/>
          <w:u w:val="single"/>
          <w:lang w:val="en"/>
        </w:rPr>
        <w:t>Commission Work Programme 2017</w:t>
      </w:r>
      <w:r w:rsidR="00D102EF">
        <w:rPr>
          <w:b/>
          <w:i/>
          <w:lang w:val="en"/>
        </w:rPr>
        <w:t xml:space="preserve"> </w:t>
      </w:r>
      <w:r w:rsidR="00D102EF" w:rsidRPr="00696BF7">
        <w:rPr>
          <w:lang w:val="en"/>
        </w:rPr>
        <w:t>under</w:t>
      </w:r>
      <w:r w:rsidR="00D102EF">
        <w:rPr>
          <w:b/>
          <w:i/>
          <w:lang w:val="en"/>
        </w:rPr>
        <w:t xml:space="preserve"> </w:t>
      </w:r>
      <w:r w:rsidRPr="00735A5A">
        <w:rPr>
          <w:lang w:val="en"/>
        </w:rPr>
        <w:t>this priority</w:t>
      </w:r>
      <w:r w:rsidR="00D102EF">
        <w:rPr>
          <w:lang w:val="en"/>
        </w:rPr>
        <w:t xml:space="preserve"> include</w:t>
      </w:r>
      <w:r w:rsidR="00D70C2D">
        <w:rPr>
          <w:lang w:val="en"/>
        </w:rPr>
        <w:t>s</w:t>
      </w:r>
      <w:r w:rsidR="00D102EF">
        <w:rPr>
          <w:lang w:val="en"/>
        </w:rPr>
        <w:t xml:space="preserve"> </w:t>
      </w:r>
      <w:r>
        <w:rPr>
          <w:lang w:val="en"/>
        </w:rPr>
        <w:t xml:space="preserve">legislative revisions in </w:t>
      </w:r>
      <w:r w:rsidRPr="001D423A">
        <w:rPr>
          <w:lang w:val="en"/>
        </w:rPr>
        <w:t>t</w:t>
      </w:r>
      <w:r w:rsidR="00696BF7">
        <w:rPr>
          <w:lang w:val="en"/>
        </w:rPr>
        <w:t xml:space="preserve">wo </w:t>
      </w:r>
      <w:r w:rsidRPr="00696BF7">
        <w:rPr>
          <w:lang w:val="en"/>
        </w:rPr>
        <w:t>regulatory areas:</w:t>
      </w:r>
    </w:p>
    <w:p w:rsidR="00FE1D02" w:rsidRPr="00AF1D92" w:rsidRDefault="00FE1D02" w:rsidP="003A4CF7">
      <w:pPr>
        <w:pStyle w:val="ListParagraph"/>
        <w:numPr>
          <w:ilvl w:val="0"/>
          <w:numId w:val="19"/>
        </w:numPr>
        <w:ind w:left="714" w:hanging="357"/>
        <w:jc w:val="both"/>
        <w:rPr>
          <w:lang w:val="en"/>
        </w:rPr>
      </w:pPr>
      <w:r w:rsidRPr="00AF1D92">
        <w:rPr>
          <w:lang w:val="en"/>
        </w:rPr>
        <w:t xml:space="preserve">Regulation 924/2009 on </w:t>
      </w:r>
      <w:r w:rsidRPr="001D1110">
        <w:rPr>
          <w:b/>
          <w:i/>
          <w:lang w:val="en"/>
        </w:rPr>
        <w:t>cross-border payments</w:t>
      </w:r>
      <w:r w:rsidRPr="00AF1D92">
        <w:rPr>
          <w:lang w:val="en"/>
        </w:rPr>
        <w:t xml:space="preserve"> will be reviewed with a view to improve disclosure, reduce fees in cross-border transactions and extend its scope to all non-Euro currencies;</w:t>
      </w:r>
    </w:p>
    <w:p w:rsidR="00FE1D02" w:rsidRPr="00AF1D92" w:rsidRDefault="00FE1D02" w:rsidP="003A4CF7">
      <w:pPr>
        <w:pStyle w:val="ListParagraph"/>
        <w:numPr>
          <w:ilvl w:val="0"/>
          <w:numId w:val="19"/>
        </w:numPr>
        <w:ind w:left="714" w:hanging="357"/>
        <w:jc w:val="both"/>
        <w:rPr>
          <w:lang w:val="en"/>
        </w:rPr>
      </w:pPr>
      <w:r w:rsidRPr="00AF1D92">
        <w:rPr>
          <w:lang w:val="en"/>
        </w:rPr>
        <w:t xml:space="preserve">Directive 91/533/EC on </w:t>
      </w:r>
      <w:r w:rsidRPr="001D1110">
        <w:rPr>
          <w:b/>
          <w:i/>
          <w:lang w:val="en"/>
        </w:rPr>
        <w:t>Written Statements</w:t>
      </w:r>
      <w:r w:rsidRPr="00AF1D92">
        <w:rPr>
          <w:lang w:val="en"/>
        </w:rPr>
        <w:t xml:space="preserve"> </w:t>
      </w:r>
      <w:r>
        <w:rPr>
          <w:lang w:val="en"/>
        </w:rPr>
        <w:t xml:space="preserve">will be reviewed </w:t>
      </w:r>
      <w:r w:rsidRPr="00AF1D92">
        <w:rPr>
          <w:lang w:val="en"/>
        </w:rPr>
        <w:t xml:space="preserve">in order to </w:t>
      </w:r>
      <w:r w:rsidR="00D102EF">
        <w:rPr>
          <w:lang w:val="en"/>
        </w:rPr>
        <w:t xml:space="preserve">improve the rules establishing employer's obligations to inform employees of the conditions applicable to the contract or employment relationship. </w:t>
      </w:r>
    </w:p>
    <w:p w:rsidR="00FE1D02" w:rsidRDefault="00FE1D02">
      <w:pPr>
        <w:jc w:val="both"/>
        <w:rPr>
          <w:lang w:val="en"/>
        </w:rPr>
      </w:pPr>
      <w:r w:rsidRPr="00FF1F11">
        <w:rPr>
          <w:lang w:val="en"/>
        </w:rPr>
        <w:t xml:space="preserve">In addition, the Commission </w:t>
      </w:r>
      <w:r w:rsidR="00FF1F11" w:rsidRPr="000135BE">
        <w:rPr>
          <w:lang w:val="en"/>
        </w:rPr>
        <w:t xml:space="preserve">will provide guidance to ensure a more effective and fairer implementation of </w:t>
      </w:r>
      <w:r w:rsidR="001D1110" w:rsidRPr="000135BE">
        <w:rPr>
          <w:lang w:val="en"/>
        </w:rPr>
        <w:t xml:space="preserve">the </w:t>
      </w:r>
      <w:r w:rsidR="001D1110" w:rsidRPr="001D1110">
        <w:rPr>
          <w:b/>
          <w:i/>
          <w:lang w:val="en"/>
        </w:rPr>
        <w:t>Working</w:t>
      </w:r>
      <w:r w:rsidRPr="001D1110">
        <w:rPr>
          <w:b/>
          <w:i/>
          <w:lang w:val="en"/>
        </w:rPr>
        <w:t xml:space="preserve"> Time Directive</w:t>
      </w:r>
      <w:r w:rsidRPr="00FF1F11">
        <w:rPr>
          <w:lang w:val="en"/>
        </w:rPr>
        <w:t>.</w:t>
      </w:r>
    </w:p>
    <w:p w:rsidR="00FE1D02" w:rsidRDefault="00305213" w:rsidP="00FE1D02">
      <w:pPr>
        <w:jc w:val="both"/>
        <w:rPr>
          <w:bCs/>
          <w:color w:val="000000"/>
        </w:rPr>
      </w:pPr>
      <w:r w:rsidRPr="001D1110">
        <w:rPr>
          <w:b/>
          <w:i/>
          <w:u w:val="single"/>
          <w:lang w:val="en"/>
        </w:rPr>
        <w:t xml:space="preserve">New </w:t>
      </w:r>
      <w:r w:rsidR="00FE1D02" w:rsidRPr="001D1110">
        <w:rPr>
          <w:b/>
          <w:i/>
          <w:u w:val="single"/>
          <w:lang w:val="en"/>
        </w:rPr>
        <w:t>Evaluations</w:t>
      </w:r>
      <w:r w:rsidR="00FE1D02" w:rsidRPr="00735A5A">
        <w:rPr>
          <w:b/>
          <w:i/>
          <w:lang w:val="en"/>
        </w:rPr>
        <w:t xml:space="preserve">: </w:t>
      </w:r>
      <w:r w:rsidR="00FE1D02">
        <w:rPr>
          <w:lang w:val="en"/>
        </w:rPr>
        <w:t xml:space="preserve">In 2017, the Commission will evaluate legislation on part-time and fixed-term work. The Commission will also carry out an </w:t>
      </w:r>
      <w:r w:rsidR="00FE1D02">
        <w:rPr>
          <w:bCs/>
          <w:color w:val="000000"/>
        </w:rPr>
        <w:t>evaluation of the four decentralised EU agencies active in the field of employment and social policy, the European Foundation for the Improvement of Living and Working conditions (EUROFOUND), the European Centre for the Development of Vocational Training (CEDEFOP), the European Training Foundation (ETF) and the European Agency for Safety and Health at Work (EU-OSHA).</w:t>
      </w:r>
      <w:r w:rsidR="00184E3F">
        <w:rPr>
          <w:bCs/>
          <w:color w:val="000000"/>
        </w:rPr>
        <w:t xml:space="preserve"> </w:t>
      </w:r>
    </w:p>
    <w:p w:rsidR="00FE1D02" w:rsidRPr="00324DE6" w:rsidRDefault="00FE1D02" w:rsidP="00FE1D02">
      <w:pPr>
        <w:pBdr>
          <w:top w:val="single" w:sz="4" w:space="1" w:color="auto"/>
          <w:left w:val="single" w:sz="4" w:space="4" w:color="auto"/>
          <w:bottom w:val="single" w:sz="4" w:space="1" w:color="auto"/>
          <w:right w:val="single" w:sz="4" w:space="4" w:color="auto"/>
        </w:pBdr>
        <w:jc w:val="both"/>
      </w:pPr>
      <w:r w:rsidRPr="001D1110">
        <w:rPr>
          <w:b/>
          <w:i/>
          <w:u w:val="single"/>
        </w:rPr>
        <w:t>Follow-up to REFIT Platform Opinions</w:t>
      </w:r>
      <w:r w:rsidRPr="00324DE6">
        <w:rPr>
          <w:b/>
          <w:i/>
        </w:rPr>
        <w:t>:</w:t>
      </w:r>
      <w:r w:rsidRPr="00324DE6">
        <w:t xml:space="preserve"> The REFIT Platform opinion on </w:t>
      </w:r>
      <w:r w:rsidRPr="001D1110">
        <w:rPr>
          <w:b/>
          <w:i/>
        </w:rPr>
        <w:t>environmental protection investment statistics</w:t>
      </w:r>
      <w:r w:rsidRPr="00324DE6">
        <w:t xml:space="preserve"> recommend</w:t>
      </w:r>
      <w:r w:rsidR="00377755">
        <w:t>s</w:t>
      </w:r>
      <w:r w:rsidRPr="00324DE6">
        <w:rPr>
          <w:noProof/>
          <w:color w:val="000000" w:themeColor="text1"/>
        </w:rPr>
        <w:t xml:space="preserve"> </w:t>
      </w:r>
      <w:r w:rsidRPr="00324DE6">
        <w:t>that the Commission continue its assessment on overlapping reporting requirements under different regulations and replace</w:t>
      </w:r>
      <w:r w:rsidR="00377755">
        <w:t>s</w:t>
      </w:r>
      <w:r w:rsidRPr="00324DE6">
        <w:t xml:space="preserve"> the regulation on structural business statistics with the new </w:t>
      </w:r>
      <w:r w:rsidRPr="001D1110">
        <w:t>Framework Regulation for integrating business Statistics (FRIBS).</w:t>
      </w:r>
      <w:r w:rsidRPr="00324DE6">
        <w:t xml:space="preserve"> The Commission </w:t>
      </w:r>
      <w:r w:rsidR="00377755">
        <w:t xml:space="preserve">recognises that </w:t>
      </w:r>
      <w:r w:rsidRPr="00324DE6">
        <w:t xml:space="preserve">administrative burden </w:t>
      </w:r>
      <w:r w:rsidR="00377755">
        <w:t>is</w:t>
      </w:r>
      <w:r w:rsidR="00377755" w:rsidRPr="00324DE6">
        <w:t xml:space="preserve"> </w:t>
      </w:r>
      <w:r w:rsidRPr="00324DE6">
        <w:t xml:space="preserve">created by </w:t>
      </w:r>
      <w:r w:rsidR="00377755">
        <w:t xml:space="preserve">double </w:t>
      </w:r>
      <w:r w:rsidRPr="00324DE6">
        <w:t>reporting obligations and has examined the legal basis for environmental accounts. To address this</w:t>
      </w:r>
      <w:r w:rsidR="00D70C2D">
        <w:t>,</w:t>
      </w:r>
      <w:r w:rsidRPr="00324DE6">
        <w:t xml:space="preserve"> the Commission </w:t>
      </w:r>
      <w:r w:rsidR="00AA4E70">
        <w:t>will make</w:t>
      </w:r>
      <w:r w:rsidRPr="00324DE6">
        <w:t xml:space="preserve"> a legislative proposal on FRIBS </w:t>
      </w:r>
      <w:r w:rsidR="00AA4E70">
        <w:t>in 2016</w:t>
      </w:r>
      <w:r w:rsidRPr="00324DE6">
        <w:t xml:space="preserve"> which should ensure that there are no overlapping reporting requirements</w:t>
      </w:r>
      <w:r w:rsidR="00D70C2D">
        <w:t xml:space="preserve"> – a simplification proposal for the </w:t>
      </w:r>
      <w:r w:rsidR="00D70C2D" w:rsidRPr="00D70C2D">
        <w:rPr>
          <w:lang w:val="en"/>
        </w:rPr>
        <w:t>Framework Regulation for Agricultural Statistics</w:t>
      </w:r>
      <w:r w:rsidR="00D70C2D">
        <w:rPr>
          <w:lang w:val="en"/>
        </w:rPr>
        <w:t xml:space="preserve"> will also be adopted in 2016</w:t>
      </w:r>
      <w:r w:rsidRPr="00324DE6">
        <w:t>.</w:t>
      </w:r>
    </w:p>
    <w:p w:rsidR="00FE1D02" w:rsidRPr="00FB23E5" w:rsidRDefault="00FE1D02" w:rsidP="00FB23E5">
      <w:pPr>
        <w:pStyle w:val="Heading4"/>
        <w:numPr>
          <w:ilvl w:val="0"/>
          <w:numId w:val="42"/>
        </w:numPr>
        <w:rPr>
          <w:bCs w:val="0"/>
          <w:i w:val="0"/>
          <w:color w:val="365F91" w:themeColor="accent1" w:themeShade="BF"/>
          <w:sz w:val="28"/>
          <w:szCs w:val="28"/>
        </w:rPr>
      </w:pPr>
      <w:r w:rsidRPr="00FB23E5">
        <w:rPr>
          <w:bCs w:val="0"/>
          <w:i w:val="0"/>
          <w:color w:val="365F91" w:themeColor="accent1" w:themeShade="BF"/>
          <w:sz w:val="28"/>
          <w:szCs w:val="28"/>
        </w:rPr>
        <w:lastRenderedPageBreak/>
        <w:t>Progress and Results</w:t>
      </w:r>
    </w:p>
    <w:p w:rsidR="00FE1D02" w:rsidRPr="00696BF7" w:rsidRDefault="00FE1D02" w:rsidP="00FE1D02">
      <w:pPr>
        <w:jc w:val="both"/>
        <w:rPr>
          <w:lang w:val="en"/>
        </w:rPr>
      </w:pPr>
      <w:r>
        <w:rPr>
          <w:b/>
          <w:i/>
        </w:rPr>
        <w:br/>
      </w:r>
      <w:r w:rsidRPr="001D1110">
        <w:rPr>
          <w:b/>
          <w:i/>
          <w:u w:val="single"/>
        </w:rPr>
        <w:t>Evaluations</w:t>
      </w:r>
      <w:r w:rsidR="007D4B40" w:rsidRPr="001D1110">
        <w:rPr>
          <w:b/>
          <w:i/>
          <w:u w:val="single"/>
        </w:rPr>
        <w:t xml:space="preserve"> and follow up</w:t>
      </w:r>
      <w:r w:rsidRPr="009542E5">
        <w:rPr>
          <w:b/>
          <w:i/>
        </w:rPr>
        <w:t xml:space="preserve">: </w:t>
      </w:r>
      <w:r w:rsidRPr="009542E5">
        <w:t xml:space="preserve">Before the end of 2016, results are expected of evaluations of legislation on safety and health at work and on written </w:t>
      </w:r>
      <w:r w:rsidRPr="00696BF7">
        <w:t>statements, as illustrated by the below example:</w:t>
      </w:r>
      <w:r w:rsidR="00184E3F" w:rsidRPr="00696BF7">
        <w:t xml:space="preserve"> </w:t>
      </w:r>
    </w:p>
    <w:p w:rsidR="00FE1D02" w:rsidRPr="001D423A" w:rsidRDefault="00FE1D02" w:rsidP="003A4CF7">
      <w:pPr>
        <w:pStyle w:val="ListParagraph"/>
        <w:numPr>
          <w:ilvl w:val="0"/>
          <w:numId w:val="20"/>
        </w:numPr>
        <w:ind w:left="714" w:hanging="357"/>
        <w:jc w:val="both"/>
        <w:rPr>
          <w:rFonts w:asciiTheme="minorHAnsi" w:hAnsiTheme="minorHAnsi"/>
          <w:noProof/>
          <w:color w:val="000000"/>
        </w:rPr>
      </w:pPr>
      <w:r w:rsidRPr="001D1110">
        <w:rPr>
          <w:rFonts w:asciiTheme="minorHAnsi" w:hAnsiTheme="minorHAnsi"/>
          <w:b/>
          <w:i/>
          <w:lang w:val="en"/>
        </w:rPr>
        <w:t>Evaluation of Written Statement Directive</w:t>
      </w:r>
      <w:r w:rsidRPr="001D423A">
        <w:rPr>
          <w:rFonts w:asciiTheme="minorHAnsi" w:hAnsiTheme="minorHAnsi"/>
          <w:i/>
          <w:lang w:val="en"/>
        </w:rPr>
        <w:t>:</w:t>
      </w:r>
      <w:r w:rsidRPr="001D423A">
        <w:rPr>
          <w:rFonts w:asciiTheme="minorHAnsi" w:hAnsiTheme="minorHAnsi"/>
          <w:lang w:val="en"/>
        </w:rPr>
        <w:t xml:space="preserve"> </w:t>
      </w:r>
      <w:r w:rsidRPr="001D423A">
        <w:rPr>
          <w:rFonts w:asciiTheme="minorHAnsi" w:hAnsiTheme="minorHAnsi"/>
          <w:noProof/>
          <w:color w:val="000000"/>
        </w:rPr>
        <w:t xml:space="preserve">The emerging findings of the  </w:t>
      </w:r>
      <w:hyperlink r:id="rId23" w:history="1">
        <w:r w:rsidRPr="001D423A">
          <w:rPr>
            <w:rFonts w:asciiTheme="minorHAnsi" w:hAnsiTheme="minorHAnsi"/>
            <w:noProof/>
            <w:color w:val="000000"/>
          </w:rPr>
          <w:t>evaluation</w:t>
        </w:r>
      </w:hyperlink>
      <w:r w:rsidRPr="001D423A">
        <w:rPr>
          <w:rFonts w:asciiTheme="minorHAnsi" w:hAnsiTheme="minorHAnsi"/>
          <w:noProof/>
          <w:color w:val="000000"/>
        </w:rPr>
        <w:t xml:space="preserve"> show that the notification of a written statement to employees is not a disproportionate burden compared to the benefits it brings, e.g. legal certainty for both sides and less litigations. The average one-off administrative cost per employed person for all company sizes is estimated at 34 euros. – Following up to the evaluation, the Commission plans to review the Directive in 2017 </w:t>
      </w:r>
      <w:r w:rsidR="00D70C2D">
        <w:rPr>
          <w:rFonts w:asciiTheme="minorHAnsi" w:hAnsiTheme="minorHAnsi"/>
          <w:noProof/>
          <w:color w:val="000000"/>
        </w:rPr>
        <w:t xml:space="preserve">to ensure it remains </w:t>
      </w:r>
      <w:r w:rsidR="00EE5D78">
        <w:rPr>
          <w:rFonts w:asciiTheme="minorHAnsi" w:hAnsiTheme="minorHAnsi"/>
          <w:noProof/>
          <w:color w:val="000000"/>
        </w:rPr>
        <w:t xml:space="preserve">effective and efficienct </w:t>
      </w:r>
      <w:r w:rsidR="00D70C2D">
        <w:rPr>
          <w:rFonts w:asciiTheme="minorHAnsi" w:hAnsiTheme="minorHAnsi"/>
          <w:noProof/>
          <w:color w:val="000000"/>
        </w:rPr>
        <w:t xml:space="preserve">(see above) </w:t>
      </w:r>
      <w:r w:rsidRPr="001D423A">
        <w:rPr>
          <w:rFonts w:asciiTheme="minorHAnsi" w:hAnsiTheme="minorHAnsi"/>
          <w:noProof/>
          <w:color w:val="000000"/>
        </w:rPr>
        <w:t>.</w:t>
      </w:r>
    </w:p>
    <w:p w:rsidR="00FE1D02" w:rsidRPr="009542E5" w:rsidRDefault="00FE1D02" w:rsidP="00FE1D02">
      <w:pPr>
        <w:jc w:val="both"/>
        <w:rPr>
          <w:lang w:val="en"/>
        </w:rPr>
      </w:pPr>
      <w:r w:rsidRPr="001D1110">
        <w:rPr>
          <w:b/>
          <w:i/>
          <w:u w:val="single"/>
        </w:rPr>
        <w:t xml:space="preserve">Proposals and </w:t>
      </w:r>
      <w:r w:rsidR="00E405E8" w:rsidRPr="001D1110">
        <w:rPr>
          <w:b/>
          <w:i/>
          <w:u w:val="single"/>
        </w:rPr>
        <w:t>a</w:t>
      </w:r>
      <w:r w:rsidR="00EE5D78" w:rsidRPr="001D1110">
        <w:rPr>
          <w:b/>
          <w:i/>
          <w:u w:val="single"/>
        </w:rPr>
        <w:t xml:space="preserve">dopted </w:t>
      </w:r>
      <w:r w:rsidR="00E405E8" w:rsidRPr="001D1110">
        <w:rPr>
          <w:b/>
          <w:i/>
          <w:u w:val="single"/>
        </w:rPr>
        <w:t>legal acts</w:t>
      </w:r>
      <w:r w:rsidRPr="001D1110">
        <w:rPr>
          <w:b/>
          <w:i/>
          <w:u w:val="single"/>
        </w:rPr>
        <w:t>:</w:t>
      </w:r>
      <w:r w:rsidRPr="009542E5">
        <w:t xml:space="preserve"> </w:t>
      </w:r>
      <w:r w:rsidRPr="009542E5">
        <w:rPr>
          <w:lang w:val="en"/>
        </w:rPr>
        <w:t>4 proposals for simplification and burden reduction by the Commission are pending in legislative procedure and 5 legal acts have been adopted by Council and Parliament and implementation will be followed-up with Member States</w:t>
      </w:r>
      <w:r w:rsidR="00EE5D78">
        <w:rPr>
          <w:lang w:val="en"/>
        </w:rPr>
        <w:t xml:space="preserve"> (see Scoreboard for details)</w:t>
      </w:r>
      <w:r w:rsidRPr="009542E5">
        <w:rPr>
          <w:lang w:val="en"/>
        </w:rPr>
        <w:t xml:space="preserve">. </w:t>
      </w:r>
      <w:r w:rsidR="00EE5D78">
        <w:rPr>
          <w:lang w:val="en"/>
        </w:rPr>
        <w:t>Pending proposals include</w:t>
      </w:r>
      <w:r w:rsidRPr="009542E5">
        <w:rPr>
          <w:lang w:val="en"/>
        </w:rPr>
        <w:t>:</w:t>
      </w:r>
    </w:p>
    <w:p w:rsidR="00FE1D02" w:rsidRPr="009542E5" w:rsidRDefault="00FE1D02" w:rsidP="00FE1D02">
      <w:pPr>
        <w:pStyle w:val="ListParagraph"/>
        <w:numPr>
          <w:ilvl w:val="0"/>
          <w:numId w:val="20"/>
        </w:numPr>
        <w:jc w:val="both"/>
        <w:rPr>
          <w:rFonts w:asciiTheme="minorHAnsi" w:hAnsiTheme="minorHAnsi"/>
          <w:lang w:val="en"/>
        </w:rPr>
      </w:pPr>
      <w:r w:rsidRPr="001D1110">
        <w:rPr>
          <w:rFonts w:asciiTheme="minorHAnsi" w:hAnsiTheme="minorHAnsi"/>
          <w:b/>
          <w:i/>
          <w:lang w:val="en"/>
        </w:rPr>
        <w:t>Integrating Social Statistics</w:t>
      </w:r>
      <w:r w:rsidRPr="009542E5">
        <w:rPr>
          <w:rFonts w:asciiTheme="minorHAnsi" w:hAnsiTheme="minorHAnsi"/>
          <w:i/>
          <w:lang w:val="en"/>
        </w:rPr>
        <w:t>:</w:t>
      </w:r>
      <w:r w:rsidRPr="009542E5">
        <w:rPr>
          <w:rFonts w:asciiTheme="minorHAnsi" w:hAnsiTheme="minorHAnsi"/>
          <w:lang w:val="en"/>
        </w:rPr>
        <w:t xml:space="preserve"> The proposal made by the Commission in August 2016 is likely to deliver savings between </w:t>
      </w:r>
      <w:r w:rsidR="0054733E">
        <w:rPr>
          <w:rFonts w:asciiTheme="minorHAnsi" w:hAnsiTheme="minorHAnsi"/>
          <w:noProof/>
        </w:rPr>
        <w:t>EUR</w:t>
      </w:r>
      <w:r w:rsidRPr="009542E5">
        <w:rPr>
          <w:rFonts w:asciiTheme="minorHAnsi" w:hAnsiTheme="minorHAnsi"/>
          <w:noProof/>
        </w:rPr>
        <w:t xml:space="preserve"> 3.1 million and </w:t>
      </w:r>
      <w:r w:rsidR="0054733E">
        <w:rPr>
          <w:rFonts w:asciiTheme="minorHAnsi" w:hAnsiTheme="minorHAnsi"/>
          <w:noProof/>
        </w:rPr>
        <w:t>EUR</w:t>
      </w:r>
      <w:r w:rsidRPr="009542E5">
        <w:rPr>
          <w:rFonts w:asciiTheme="minorHAnsi" w:hAnsiTheme="minorHAnsi"/>
          <w:noProof/>
        </w:rPr>
        <w:t xml:space="preserve"> 34 million </w:t>
      </w:r>
      <w:r w:rsidRPr="009542E5">
        <w:rPr>
          <w:rFonts w:asciiTheme="minorHAnsi" w:hAnsiTheme="minorHAnsi"/>
          <w:lang w:val="en"/>
        </w:rPr>
        <w:t xml:space="preserve">for statistical data collection costs </w:t>
      </w:r>
      <w:r w:rsidRPr="009542E5">
        <w:rPr>
          <w:rFonts w:asciiTheme="minorHAnsi" w:hAnsiTheme="minorHAnsi"/>
          <w:noProof/>
        </w:rPr>
        <w:t>depending on the implementation at national level</w:t>
      </w:r>
      <w:r w:rsidRPr="00621878">
        <w:rPr>
          <w:rFonts w:asciiTheme="minorHAnsi" w:hAnsiTheme="minorHAnsi"/>
          <w:noProof/>
        </w:rPr>
        <w:t>.</w:t>
      </w:r>
      <w:r w:rsidRPr="00273A79">
        <w:rPr>
          <w:rFonts w:asciiTheme="minorHAnsi" w:hAnsiTheme="minorHAnsi"/>
          <w:i/>
          <w:noProof/>
        </w:rPr>
        <w:t xml:space="preserve"> </w:t>
      </w:r>
    </w:p>
    <w:p w:rsidR="00FE1D02" w:rsidRPr="009542E5" w:rsidRDefault="00FE1D02" w:rsidP="00FE1D02">
      <w:pPr>
        <w:jc w:val="both"/>
        <w:rPr>
          <w:lang w:val="en"/>
        </w:rPr>
      </w:pPr>
      <w:r w:rsidRPr="001D1110">
        <w:rPr>
          <w:b/>
          <w:i/>
          <w:u w:val="single"/>
          <w:lang w:val="en"/>
        </w:rPr>
        <w:t>Implementation on the Ground</w:t>
      </w:r>
      <w:r w:rsidRPr="009542E5">
        <w:rPr>
          <w:b/>
          <w:i/>
          <w:lang w:val="en"/>
        </w:rPr>
        <w:t>:</w:t>
      </w:r>
      <w:r w:rsidRPr="009542E5">
        <w:rPr>
          <w:lang w:val="en"/>
        </w:rPr>
        <w:t xml:space="preserve"> Information on implementation is available for two initiatives under this priority:</w:t>
      </w:r>
    </w:p>
    <w:p w:rsidR="00FE1D02" w:rsidRPr="009542E5" w:rsidRDefault="00FE1D02" w:rsidP="00FE1D02">
      <w:pPr>
        <w:pStyle w:val="ListParagraph"/>
        <w:numPr>
          <w:ilvl w:val="0"/>
          <w:numId w:val="21"/>
        </w:numPr>
        <w:jc w:val="both"/>
        <w:rPr>
          <w:rFonts w:asciiTheme="minorHAnsi" w:hAnsiTheme="minorHAnsi"/>
          <w:noProof/>
        </w:rPr>
      </w:pPr>
      <w:r w:rsidRPr="001D1110">
        <w:rPr>
          <w:rFonts w:asciiTheme="minorHAnsi" w:hAnsiTheme="minorHAnsi"/>
          <w:b/>
          <w:i/>
          <w:noProof/>
        </w:rPr>
        <w:t>Company Accounts</w:t>
      </w:r>
      <w:r w:rsidRPr="009542E5">
        <w:rPr>
          <w:rFonts w:asciiTheme="minorHAnsi" w:hAnsiTheme="minorHAnsi"/>
          <w:i/>
          <w:noProof/>
        </w:rPr>
        <w:t>:</w:t>
      </w:r>
      <w:r w:rsidRPr="009542E5">
        <w:rPr>
          <w:rFonts w:asciiTheme="minorHAnsi" w:hAnsiTheme="minorHAnsi"/>
          <w:noProof/>
        </w:rPr>
        <w:t xml:space="preserve"> Initial estimations of savings of around 47% of total administrative costs </w:t>
      </w:r>
      <w:r w:rsidR="00184E3F">
        <w:rPr>
          <w:rFonts w:asciiTheme="minorHAnsi" w:hAnsiTheme="minorHAnsi"/>
          <w:noProof/>
        </w:rPr>
        <w:t xml:space="preserve">on average could be surpassed thanks to </w:t>
      </w:r>
      <w:r w:rsidRPr="009542E5">
        <w:rPr>
          <w:rFonts w:asciiTheme="minorHAnsi" w:hAnsiTheme="minorHAnsi"/>
          <w:noProof/>
        </w:rPr>
        <w:t>amendments in legislative procedure. Feedback on implementation by Member States showed savings in the range between 8% and 82%.</w:t>
      </w:r>
    </w:p>
    <w:p w:rsidR="00FE1D02" w:rsidRPr="00825CDA" w:rsidRDefault="00FE1D02" w:rsidP="00FE1D02">
      <w:pPr>
        <w:pStyle w:val="ListParagraph"/>
        <w:numPr>
          <w:ilvl w:val="0"/>
          <w:numId w:val="21"/>
        </w:numPr>
        <w:jc w:val="both"/>
        <w:rPr>
          <w:rFonts w:asciiTheme="minorHAnsi" w:hAnsiTheme="minorHAnsi"/>
          <w:noProof/>
        </w:rPr>
      </w:pPr>
      <w:r w:rsidRPr="001D1110">
        <w:rPr>
          <w:rFonts w:asciiTheme="minorHAnsi" w:hAnsiTheme="minorHAnsi"/>
          <w:b/>
          <w:i/>
          <w:noProof/>
        </w:rPr>
        <w:t>Annual Accounts of Micro Enterprises</w:t>
      </w:r>
      <w:r w:rsidRPr="009542E5">
        <w:rPr>
          <w:rFonts w:asciiTheme="minorHAnsi" w:hAnsiTheme="minorHAnsi"/>
          <w:i/>
          <w:noProof/>
        </w:rPr>
        <w:t xml:space="preserve">: </w:t>
      </w:r>
      <w:r w:rsidRPr="009542E5">
        <w:rPr>
          <w:rFonts w:asciiTheme="minorHAnsi" w:hAnsiTheme="minorHAnsi"/>
          <w:noProof/>
        </w:rPr>
        <w:t>Estimated savings were reduced by the legislator from EUR 6.3 billion to EUR 3.5 billion</w:t>
      </w:r>
      <w:r w:rsidR="003D645D">
        <w:rPr>
          <w:rFonts w:asciiTheme="minorHAnsi" w:hAnsiTheme="minorHAnsi"/>
          <w:noProof/>
        </w:rPr>
        <w:t>.</w:t>
      </w:r>
      <w:r w:rsidRPr="009542E5">
        <w:rPr>
          <w:rFonts w:asciiTheme="minorHAnsi" w:hAnsiTheme="minorHAnsi"/>
          <w:noProof/>
        </w:rPr>
        <w:t xml:space="preserve"> </w:t>
      </w:r>
      <w:r w:rsidR="003D645D">
        <w:rPr>
          <w:rFonts w:asciiTheme="minorHAnsi" w:hAnsiTheme="minorHAnsi"/>
          <w:noProof/>
        </w:rPr>
        <w:t>I</w:t>
      </w:r>
      <w:r w:rsidRPr="009542E5">
        <w:rPr>
          <w:rFonts w:asciiTheme="minorHAnsi" w:hAnsiTheme="minorHAnsi"/>
          <w:noProof/>
        </w:rPr>
        <w:t>mplementation</w:t>
      </w:r>
      <w:r w:rsidRPr="00825CDA">
        <w:rPr>
          <w:rFonts w:asciiTheme="minorHAnsi" w:hAnsiTheme="minorHAnsi"/>
          <w:noProof/>
        </w:rPr>
        <w:t xml:space="preserve"> feedback showed cost reductions between 42% and 70%</w:t>
      </w:r>
      <w:r w:rsidR="00696BF7">
        <w:rPr>
          <w:rFonts w:asciiTheme="minorHAnsi" w:hAnsiTheme="minorHAnsi"/>
          <w:noProof/>
        </w:rPr>
        <w:t>.</w:t>
      </w:r>
      <w:r w:rsidR="00184E3F">
        <w:rPr>
          <w:rFonts w:asciiTheme="minorHAnsi" w:hAnsiTheme="minorHAnsi"/>
          <w:noProof/>
        </w:rPr>
        <w:t xml:space="preserve"> </w:t>
      </w:r>
    </w:p>
    <w:p w:rsidR="00FE1D02" w:rsidRPr="005766F4" w:rsidRDefault="00FE1D02" w:rsidP="00FE1D02">
      <w:pPr>
        <w:pBdr>
          <w:top w:val="single" w:sz="4" w:space="1" w:color="auto"/>
          <w:left w:val="single" w:sz="4" w:space="4" w:color="auto"/>
          <w:bottom w:val="single" w:sz="4" w:space="1" w:color="auto"/>
          <w:right w:val="single" w:sz="4" w:space="4" w:color="auto"/>
        </w:pBdr>
        <w:jc w:val="both"/>
      </w:pPr>
      <w:r w:rsidRPr="00FE1D02">
        <w:rPr>
          <w:b/>
          <w:i/>
        </w:rPr>
        <w:t xml:space="preserve">Commissioner Marianne </w:t>
      </w:r>
      <w:r w:rsidRPr="00FE1D02">
        <w:rPr>
          <w:b/>
          <w:bCs/>
          <w:i/>
        </w:rPr>
        <w:t>Thyssen said on the new framework for social statistics:</w:t>
      </w:r>
      <w:r w:rsidRPr="00FE1D02">
        <w:rPr>
          <w:b/>
          <w:bCs/>
        </w:rPr>
        <w:t xml:space="preserve"> </w:t>
      </w:r>
      <w:r w:rsidRPr="00FE1D02">
        <w:rPr>
          <w:i/>
        </w:rPr>
        <w:t>"The new framework Regulation will bring together 7 existing surveys that are now carried out separately. This will avoid duplication of the data and improve data collection. By merging the 7 surveys, we make sure we use everywhere the same definitions, variables and precision requirements. This standardisation will increase substantially data comparability, make the analysis of the data easier and enable social statistics to be published earlier than today.</w:t>
      </w:r>
      <w:r>
        <w:t xml:space="preserve"> </w:t>
      </w:r>
      <w:hyperlink r:id="rId24" w:history="1">
        <w:r w:rsidRPr="005766F4">
          <w:rPr>
            <w:rStyle w:val="Hyperlink"/>
          </w:rPr>
          <w:t>http://europa.eu/rapid/press-release_MEMO-16-2868_en.htm</w:t>
        </w:r>
      </w:hyperlink>
    </w:p>
    <w:p w:rsidR="009542E5" w:rsidRDefault="009542E5">
      <w:pPr>
        <w:rPr>
          <w:lang w:val="en"/>
        </w:rPr>
      </w:pPr>
      <w:r>
        <w:rPr>
          <w:lang w:val="en"/>
        </w:rPr>
        <w:br w:type="page"/>
      </w:r>
    </w:p>
    <w:p w:rsidR="009542E5" w:rsidRPr="00C1607F" w:rsidRDefault="009542E5" w:rsidP="009542E5">
      <w:pPr>
        <w:pStyle w:val="Heading1"/>
      </w:pPr>
      <w:bookmarkStart w:id="8" w:name="_Toc465076234"/>
      <w:r w:rsidRPr="004925B6">
        <w:lastRenderedPageBreak/>
        <w:t>Priorit</w:t>
      </w:r>
      <w:r>
        <w:t>y 6</w:t>
      </w:r>
      <w:r w:rsidRPr="004925B6">
        <w:t xml:space="preserve">: </w:t>
      </w:r>
      <w:r w:rsidR="00EF71CF" w:rsidRPr="00696BF7">
        <w:t>A Reasonable and Balanced Free Trade Agreement with the U.S.</w:t>
      </w:r>
      <w:bookmarkEnd w:id="8"/>
    </w:p>
    <w:p w:rsidR="009542E5" w:rsidRPr="00FB23E5" w:rsidRDefault="009542E5" w:rsidP="00FB23E5">
      <w:pPr>
        <w:pStyle w:val="Heading4"/>
        <w:numPr>
          <w:ilvl w:val="0"/>
          <w:numId w:val="43"/>
        </w:numPr>
        <w:rPr>
          <w:bCs w:val="0"/>
          <w:i w:val="0"/>
          <w:color w:val="365F91" w:themeColor="accent1" w:themeShade="BF"/>
          <w:sz w:val="28"/>
          <w:szCs w:val="28"/>
        </w:rPr>
      </w:pPr>
      <w:r w:rsidRPr="00FB23E5">
        <w:rPr>
          <w:bCs w:val="0"/>
          <w:i w:val="0"/>
          <w:color w:val="365F91" w:themeColor="accent1" w:themeShade="BF"/>
          <w:sz w:val="28"/>
          <w:szCs w:val="28"/>
        </w:rPr>
        <w:t>Context</w:t>
      </w:r>
    </w:p>
    <w:p w:rsidR="00F2340A" w:rsidRDefault="00FF7CBF" w:rsidP="006C275F">
      <w:pPr>
        <w:jc w:val="both"/>
        <w:rPr>
          <w:color w:val="000000" w:themeColor="text1"/>
        </w:rPr>
      </w:pPr>
      <w:r>
        <w:rPr>
          <w:lang w:val="en"/>
        </w:rPr>
        <w:br/>
      </w:r>
      <w:r w:rsidR="009542E5" w:rsidRPr="006C275F">
        <w:rPr>
          <w:color w:val="000000" w:themeColor="text1"/>
        </w:rPr>
        <w:t xml:space="preserve">EU trade policy is working to create a global system for fair and open trade, open up markets with key partner countries, to ensure that everyone plays by the rules and to promote trade as a force for sustainable development. </w:t>
      </w:r>
      <w:r w:rsidR="002601BC">
        <w:rPr>
          <w:color w:val="000000" w:themeColor="text1"/>
        </w:rPr>
        <w:t>T</w:t>
      </w:r>
      <w:r w:rsidR="009542E5" w:rsidRPr="006C275F">
        <w:rPr>
          <w:color w:val="000000" w:themeColor="text1"/>
        </w:rPr>
        <w:t>rade brings lower prices and a wider variety of goods to the consumer</w:t>
      </w:r>
      <w:r w:rsidR="002601BC">
        <w:rPr>
          <w:color w:val="000000" w:themeColor="text1"/>
        </w:rPr>
        <w:t xml:space="preserve"> and </w:t>
      </w:r>
      <w:r w:rsidR="009542E5" w:rsidRPr="006C275F">
        <w:rPr>
          <w:color w:val="000000" w:themeColor="text1"/>
        </w:rPr>
        <w:t xml:space="preserve">helps businesses make the most of global opportunities </w:t>
      </w:r>
      <w:r w:rsidR="002601BC">
        <w:rPr>
          <w:color w:val="000000" w:themeColor="text1"/>
        </w:rPr>
        <w:t xml:space="preserve">thus </w:t>
      </w:r>
      <w:r w:rsidR="009542E5" w:rsidRPr="006C275F">
        <w:rPr>
          <w:color w:val="000000" w:themeColor="text1"/>
        </w:rPr>
        <w:t>boost</w:t>
      </w:r>
      <w:r w:rsidR="002601BC">
        <w:rPr>
          <w:color w:val="000000" w:themeColor="text1"/>
        </w:rPr>
        <w:t>ing</w:t>
      </w:r>
      <w:r w:rsidR="009542E5" w:rsidRPr="006C275F">
        <w:rPr>
          <w:color w:val="000000" w:themeColor="text1"/>
        </w:rPr>
        <w:t xml:space="preserve"> growth, jobs, competitiveness and investment in the EU. </w:t>
      </w:r>
      <w:r w:rsidR="002601BC">
        <w:rPr>
          <w:color w:val="000000" w:themeColor="text1"/>
        </w:rPr>
        <w:t xml:space="preserve">REFIT contributes to the achievement of trade policy goals by ensuring relevant legislation </w:t>
      </w:r>
      <w:r w:rsidR="00FC0D0D">
        <w:rPr>
          <w:color w:val="000000" w:themeColor="text1"/>
        </w:rPr>
        <w:t xml:space="preserve">delivers on its objectives in the simplest way with the least costs for companies, citizens and public administrations. </w:t>
      </w:r>
    </w:p>
    <w:p w:rsidR="00F2340A" w:rsidRDefault="00F2340A" w:rsidP="003A4CF7">
      <w:pPr>
        <w:pStyle w:val="Heading4"/>
        <w:jc w:val="both"/>
        <w:rPr>
          <w:color w:val="000000" w:themeColor="text1"/>
        </w:rPr>
      </w:pPr>
      <w:r w:rsidRPr="000135BE">
        <w:rPr>
          <w:rFonts w:asciiTheme="minorHAnsi" w:hAnsiTheme="minorHAnsi"/>
          <w:b w:val="0"/>
          <w:i w:val="0"/>
          <w:color w:val="000000" w:themeColor="text1"/>
        </w:rPr>
        <w:t xml:space="preserve">In 2017 the Commission will </w:t>
      </w:r>
      <w:r w:rsidR="00FC0D0D" w:rsidRPr="000135BE">
        <w:rPr>
          <w:rFonts w:asciiTheme="minorHAnsi" w:hAnsiTheme="minorHAnsi"/>
          <w:b w:val="0"/>
          <w:i w:val="0"/>
          <w:color w:val="000000" w:themeColor="text1"/>
        </w:rPr>
        <w:t xml:space="preserve">insist on the need to urgently drive </w:t>
      </w:r>
      <w:r w:rsidRPr="000135BE">
        <w:rPr>
          <w:rFonts w:asciiTheme="minorHAnsi" w:hAnsiTheme="minorHAnsi"/>
          <w:b w:val="0"/>
          <w:i w:val="0"/>
          <w:color w:val="000000" w:themeColor="text1"/>
        </w:rPr>
        <w:t xml:space="preserve">forward further improvement in Europe's trade defence </w:t>
      </w:r>
      <w:r w:rsidR="00FC0D0D" w:rsidRPr="000135BE">
        <w:rPr>
          <w:rFonts w:asciiTheme="minorHAnsi" w:hAnsiTheme="minorHAnsi"/>
          <w:b w:val="0"/>
          <w:i w:val="0"/>
          <w:color w:val="000000" w:themeColor="text1"/>
        </w:rPr>
        <w:t>mechanisms based on its Trade Defence Instrument reform proposals</w:t>
      </w:r>
      <w:r w:rsidR="00FC0D0D">
        <w:rPr>
          <w:rFonts w:asciiTheme="minorHAnsi" w:hAnsiTheme="minorHAnsi"/>
          <w:b w:val="0"/>
          <w:i w:val="0"/>
          <w:color w:val="000000" w:themeColor="text1"/>
        </w:rPr>
        <w:t>.</w:t>
      </w:r>
      <w:r w:rsidR="00FC0D0D" w:rsidRPr="000135BE">
        <w:rPr>
          <w:rFonts w:asciiTheme="minorHAnsi" w:hAnsiTheme="minorHAnsi"/>
          <w:b w:val="0"/>
          <w:i w:val="0"/>
          <w:color w:val="000000" w:themeColor="text1"/>
        </w:rPr>
        <w:t xml:space="preserve"> </w:t>
      </w:r>
      <w:r w:rsidR="00696BF7">
        <w:rPr>
          <w:color w:val="000000" w:themeColor="text1"/>
        </w:rPr>
        <w:br/>
      </w:r>
    </w:p>
    <w:p w:rsidR="00696BF7" w:rsidRPr="00696BF7" w:rsidRDefault="00696BF7" w:rsidP="00696BF7">
      <w:pPr>
        <w:pBdr>
          <w:top w:val="single" w:sz="4" w:space="1" w:color="auto"/>
          <w:left w:val="single" w:sz="4" w:space="4" w:color="auto"/>
          <w:bottom w:val="single" w:sz="4" w:space="1" w:color="auto"/>
          <w:right w:val="single" w:sz="4" w:space="4" w:color="auto"/>
        </w:pBdr>
        <w:jc w:val="both"/>
        <w:rPr>
          <w:i/>
          <w:color w:val="000000" w:themeColor="text1"/>
        </w:rPr>
      </w:pPr>
      <w:r w:rsidRPr="001D423A">
        <w:rPr>
          <w:b/>
          <w:i/>
          <w:color w:val="000000" w:themeColor="text1"/>
        </w:rPr>
        <w:t>President Juncker stressed the urgency of a reform of Trade Defence in the 2016 State of the Union address:</w:t>
      </w:r>
      <w:r w:rsidRPr="001D423A">
        <w:rPr>
          <w:b/>
          <w:color w:val="000000" w:themeColor="text1"/>
        </w:rPr>
        <w:t xml:space="preserve"> </w:t>
      </w:r>
      <w:r w:rsidRPr="001D423A">
        <w:rPr>
          <w:i/>
          <w:color w:val="000000" w:themeColor="text1"/>
        </w:rPr>
        <w:t xml:space="preserve">"Being European also means standing up for our </w:t>
      </w:r>
      <w:r w:rsidRPr="001D423A">
        <w:rPr>
          <w:bCs/>
          <w:i/>
          <w:color w:val="000000" w:themeColor="text1"/>
        </w:rPr>
        <w:t>steel industry</w:t>
      </w:r>
      <w:r w:rsidRPr="001D423A">
        <w:rPr>
          <w:i/>
          <w:color w:val="000000" w:themeColor="text1"/>
        </w:rPr>
        <w:t>. We already have 37 anti-dumping and anti-subsidy measures in place to protect our steel industry from unfair competition. But we need to do more, as overproduction in some parts of the world is putting European producers out of business. This is why I was in China twice this year to address the issue of overcapacity. This is also why the Commission has proposed to change the lesser duty rule. The United States imposes a 265% import tariff on Chinese steel, but here in Eu</w:t>
      </w:r>
      <w:r w:rsidRPr="001D423A">
        <w:rPr>
          <w:i/>
          <w:color w:val="000000" w:themeColor="text1"/>
        </w:rPr>
        <w:softHyphen/>
        <w:t>rope, some governments have for years in</w:t>
      </w:r>
      <w:r w:rsidRPr="001D423A">
        <w:rPr>
          <w:i/>
          <w:color w:val="000000" w:themeColor="text1"/>
        </w:rPr>
        <w:softHyphen/>
        <w:t xml:space="preserve">sisted we reduce tariffs on Chinese steel. I call on all Member States and on this Parliament to support the Commission in strengthening our trade defence instruments. </w:t>
      </w:r>
      <w:r w:rsidRPr="001D423A">
        <w:rPr>
          <w:bCs/>
          <w:i/>
          <w:color w:val="000000" w:themeColor="text1"/>
        </w:rPr>
        <w:t>We should not be naïve free traders, but be able to respond as forcefully to dumping as the United States</w:t>
      </w:r>
      <w:r w:rsidRPr="001D423A">
        <w:rPr>
          <w:i/>
          <w:color w:val="000000" w:themeColor="text1"/>
        </w:rPr>
        <w:t>."</w:t>
      </w:r>
    </w:p>
    <w:p w:rsidR="009542E5" w:rsidRPr="00FB23E5" w:rsidRDefault="009542E5" w:rsidP="00FB23E5">
      <w:pPr>
        <w:pStyle w:val="Heading4"/>
        <w:numPr>
          <w:ilvl w:val="0"/>
          <w:numId w:val="43"/>
        </w:numPr>
        <w:rPr>
          <w:bCs w:val="0"/>
          <w:i w:val="0"/>
          <w:color w:val="365F91" w:themeColor="accent1" w:themeShade="BF"/>
          <w:sz w:val="28"/>
          <w:szCs w:val="28"/>
        </w:rPr>
      </w:pPr>
      <w:r w:rsidRPr="00FB23E5">
        <w:rPr>
          <w:bCs w:val="0"/>
          <w:i w:val="0"/>
          <w:color w:val="365F91" w:themeColor="accent1" w:themeShade="BF"/>
          <w:sz w:val="28"/>
          <w:szCs w:val="28"/>
        </w:rPr>
        <w:t>Progress and Results</w:t>
      </w:r>
    </w:p>
    <w:p w:rsidR="009542E5" w:rsidRPr="001D1110" w:rsidRDefault="00FF7CBF" w:rsidP="003A4CF7">
      <w:pPr>
        <w:pStyle w:val="NormalWeb"/>
        <w:spacing w:line="276" w:lineRule="auto"/>
        <w:jc w:val="both"/>
        <w:rPr>
          <w:rFonts w:asciiTheme="minorHAnsi" w:eastAsiaTheme="minorHAnsi" w:hAnsiTheme="minorHAnsi" w:cstheme="minorBidi"/>
          <w:color w:val="000000" w:themeColor="text1"/>
          <w:sz w:val="22"/>
          <w:szCs w:val="22"/>
          <w:lang w:eastAsia="en-US"/>
        </w:rPr>
      </w:pPr>
      <w:r>
        <w:rPr>
          <w:lang w:val="en"/>
        </w:rPr>
        <w:br/>
      </w:r>
      <w:r w:rsidR="009542E5" w:rsidRPr="001D1110">
        <w:rPr>
          <w:rFonts w:asciiTheme="minorHAnsi" w:eastAsiaTheme="minorHAnsi" w:hAnsiTheme="minorHAnsi" w:cstheme="minorBidi"/>
          <w:b/>
          <w:i/>
          <w:color w:val="000000" w:themeColor="text1"/>
          <w:sz w:val="22"/>
          <w:szCs w:val="22"/>
          <w:u w:val="single"/>
          <w:lang w:eastAsia="en-US"/>
        </w:rPr>
        <w:t xml:space="preserve">Proposals and </w:t>
      </w:r>
      <w:r w:rsidR="00FC0D0D" w:rsidRPr="001D1110">
        <w:rPr>
          <w:rFonts w:asciiTheme="minorHAnsi" w:eastAsiaTheme="minorHAnsi" w:hAnsiTheme="minorHAnsi" w:cstheme="minorBidi"/>
          <w:b/>
          <w:i/>
          <w:color w:val="000000" w:themeColor="text1"/>
          <w:sz w:val="22"/>
          <w:szCs w:val="22"/>
          <w:u w:val="single"/>
          <w:lang w:eastAsia="en-US"/>
        </w:rPr>
        <w:t xml:space="preserve">adopted legal </w:t>
      </w:r>
      <w:r w:rsidR="009542E5" w:rsidRPr="001D1110">
        <w:rPr>
          <w:rFonts w:asciiTheme="minorHAnsi" w:eastAsiaTheme="minorHAnsi" w:hAnsiTheme="minorHAnsi" w:cstheme="minorBidi"/>
          <w:b/>
          <w:i/>
          <w:color w:val="000000" w:themeColor="text1"/>
          <w:sz w:val="22"/>
          <w:szCs w:val="22"/>
          <w:u w:val="single"/>
          <w:lang w:eastAsia="en-US"/>
        </w:rPr>
        <w:t>acts:</w:t>
      </w:r>
      <w:r w:rsidR="009542E5" w:rsidRPr="001D1110">
        <w:rPr>
          <w:rFonts w:asciiTheme="minorHAnsi" w:eastAsiaTheme="minorHAnsi" w:hAnsiTheme="minorHAnsi" w:cstheme="minorBidi"/>
          <w:color w:val="000000" w:themeColor="text1"/>
          <w:sz w:val="22"/>
          <w:szCs w:val="22"/>
          <w:lang w:eastAsia="en-US"/>
        </w:rPr>
        <w:t xml:space="preserve"> A reform of </w:t>
      </w:r>
      <w:r w:rsidR="009542E5" w:rsidRPr="001D1110">
        <w:rPr>
          <w:rFonts w:asciiTheme="minorHAnsi" w:eastAsiaTheme="minorHAnsi" w:hAnsiTheme="minorHAnsi" w:cstheme="minorBidi"/>
          <w:b/>
          <w:i/>
          <w:color w:val="000000" w:themeColor="text1"/>
          <w:sz w:val="22"/>
          <w:szCs w:val="22"/>
          <w:lang w:eastAsia="en-US"/>
        </w:rPr>
        <w:t>Trade Defence Instruments</w:t>
      </w:r>
      <w:r w:rsidR="009542E5" w:rsidRPr="001D1110">
        <w:rPr>
          <w:rFonts w:asciiTheme="minorHAnsi" w:eastAsiaTheme="minorHAnsi" w:hAnsiTheme="minorHAnsi" w:cstheme="minorBidi"/>
          <w:color w:val="000000" w:themeColor="text1"/>
          <w:sz w:val="22"/>
          <w:szCs w:val="22"/>
          <w:lang w:eastAsia="en-US"/>
        </w:rPr>
        <w:t xml:space="preserve"> proposed in 2013 by the Commission remains pending in legislative procedure. The reform proposals intend to improve the effectiveness and efficiency of two key trade defence instruments (anti-dumping regulation and anti-subsidy regulation) by increasing transparency, predictability and legal certainty, improving enforcement and facilitating the cooperation of all stakeholders concerned. The reform also includes specific provisions to assist SMEs in dealing with Trade Defence cases.</w:t>
      </w:r>
    </w:p>
    <w:p w:rsidR="009542E5" w:rsidRPr="001D1110" w:rsidRDefault="009542E5" w:rsidP="009542E5">
      <w:pPr>
        <w:jc w:val="both"/>
        <w:rPr>
          <w:color w:val="000000" w:themeColor="text1"/>
        </w:rPr>
      </w:pPr>
      <w:r w:rsidRPr="001D1110">
        <w:rPr>
          <w:color w:val="000000" w:themeColor="text1"/>
        </w:rPr>
        <w:t xml:space="preserve">In 2016 the Commission adopted a proposal for recasting the system of </w:t>
      </w:r>
      <w:r w:rsidRPr="001D1110">
        <w:rPr>
          <w:b/>
          <w:i/>
          <w:color w:val="000000" w:themeColor="text1"/>
        </w:rPr>
        <w:t>export control of dual-use items</w:t>
      </w:r>
      <w:r w:rsidRPr="001D1110">
        <w:rPr>
          <w:color w:val="000000" w:themeColor="text1"/>
        </w:rPr>
        <w:t xml:space="preserve"> to simplify the existing framework and reduce administrative burden for companies and public administrations. Thanks to the introduction of new EU General Export Authorisations (EUGEAs), controls would become four times less costly for companies, and up to 11 times less costly for licensing authorities. In addition, the number of products subject to control on transfers within the EU would be reduced by approximately 40%.</w:t>
      </w:r>
    </w:p>
    <w:p w:rsidR="009542E5" w:rsidRPr="00953B12" w:rsidRDefault="009542E5" w:rsidP="009542E5">
      <w:pPr>
        <w:pBdr>
          <w:top w:val="single" w:sz="4" w:space="1" w:color="auto"/>
          <w:left w:val="single" w:sz="4" w:space="4" w:color="auto"/>
          <w:bottom w:val="single" w:sz="4" w:space="1" w:color="auto"/>
          <w:right w:val="single" w:sz="4" w:space="4" w:color="auto"/>
        </w:pBdr>
        <w:jc w:val="both"/>
        <w:rPr>
          <w:b/>
          <w:i/>
          <w:color w:val="000000" w:themeColor="text1"/>
        </w:rPr>
      </w:pPr>
      <w:r w:rsidRPr="00953B12">
        <w:rPr>
          <w:b/>
          <w:i/>
          <w:color w:val="000000" w:themeColor="text1"/>
        </w:rPr>
        <w:t xml:space="preserve">Commissioner Malmström said on the recast of export control for dual use items: </w:t>
      </w:r>
      <w:r w:rsidRPr="00953B12">
        <w:rPr>
          <w:i/>
        </w:rPr>
        <w:t xml:space="preserve">"We are living in turbulent times. Preserving peace and protecting human rights are core objectives of the EU and our </w:t>
      </w:r>
      <w:r w:rsidRPr="00953B12">
        <w:rPr>
          <w:i/>
        </w:rPr>
        <w:lastRenderedPageBreak/>
        <w:t>trade policy is essential to that aim. That's why we are proposing a set of modern rules to make sure that exports are not misused to threaten international security or undermine human rights".</w:t>
      </w:r>
      <w:r w:rsidRPr="00953B12">
        <w:rPr>
          <w:i/>
          <w:color w:val="000000" w:themeColor="text1"/>
        </w:rPr>
        <w:t xml:space="preserve"> </w:t>
      </w:r>
    </w:p>
    <w:p w:rsidR="009542E5" w:rsidRDefault="009542E5" w:rsidP="009542E5">
      <w:pPr>
        <w:jc w:val="both"/>
        <w:rPr>
          <w:color w:val="000000" w:themeColor="text1"/>
        </w:rPr>
      </w:pPr>
      <w:r w:rsidRPr="00953B12">
        <w:rPr>
          <w:color w:val="000000" w:themeColor="text1"/>
        </w:rPr>
        <w:t xml:space="preserve">A comprehensive </w:t>
      </w:r>
      <w:r w:rsidRPr="001D1110">
        <w:rPr>
          <w:b/>
          <w:i/>
          <w:color w:val="000000" w:themeColor="text1"/>
        </w:rPr>
        <w:t xml:space="preserve">initiative to </w:t>
      </w:r>
      <w:r w:rsidRPr="001D1110">
        <w:rPr>
          <w:b/>
          <w:i/>
        </w:rPr>
        <w:t>codify, recast and repeal trade legislation</w:t>
      </w:r>
      <w:r>
        <w:t xml:space="preserve">, streamline reporting </w:t>
      </w:r>
      <w:r w:rsidRPr="00953B12">
        <w:rPr>
          <w:color w:val="000000" w:themeColor="text1"/>
        </w:rPr>
        <w:t>requirements and to carry out alignment with requirements in the Lisbon treaty is reaching completion with the update of 26 acts</w:t>
      </w:r>
      <w:r w:rsidR="00FC0D0D">
        <w:rPr>
          <w:color w:val="000000" w:themeColor="text1"/>
        </w:rPr>
        <w:t xml:space="preserve"> (see scoreboard for details)</w:t>
      </w:r>
      <w:r w:rsidRPr="00953B12">
        <w:rPr>
          <w:color w:val="000000" w:themeColor="text1"/>
        </w:rPr>
        <w:t>.</w:t>
      </w:r>
      <w:r w:rsidR="00066572">
        <w:rPr>
          <w:color w:val="000000" w:themeColor="text1"/>
        </w:rPr>
        <w:t xml:space="preserve"> </w:t>
      </w:r>
    </w:p>
    <w:p w:rsidR="009542E5" w:rsidRDefault="009542E5">
      <w:r>
        <w:br w:type="page"/>
      </w:r>
    </w:p>
    <w:p w:rsidR="009542E5" w:rsidRPr="009542E5" w:rsidRDefault="00393F1B" w:rsidP="009542E5">
      <w:pPr>
        <w:pStyle w:val="Heading1"/>
      </w:pPr>
      <w:bookmarkStart w:id="9" w:name="_Toc465076235"/>
      <w:r>
        <w:lastRenderedPageBreak/>
        <w:t>Priority 7: A</w:t>
      </w:r>
      <w:r w:rsidR="009542E5" w:rsidRPr="009542E5">
        <w:t>n area of Justice and Fundamental Rights based on Mutual Trust</w:t>
      </w:r>
      <w:bookmarkEnd w:id="9"/>
    </w:p>
    <w:p w:rsidR="009542E5" w:rsidRPr="00FB23E5" w:rsidRDefault="009542E5" w:rsidP="00FB23E5">
      <w:pPr>
        <w:pStyle w:val="Heading4"/>
        <w:numPr>
          <w:ilvl w:val="0"/>
          <w:numId w:val="44"/>
        </w:numPr>
        <w:rPr>
          <w:bCs w:val="0"/>
          <w:i w:val="0"/>
          <w:color w:val="365F91" w:themeColor="accent1" w:themeShade="BF"/>
          <w:sz w:val="28"/>
          <w:szCs w:val="28"/>
        </w:rPr>
      </w:pPr>
      <w:r w:rsidRPr="00FB23E5">
        <w:rPr>
          <w:bCs w:val="0"/>
          <w:i w:val="0"/>
          <w:color w:val="365F91" w:themeColor="accent1" w:themeShade="BF"/>
          <w:sz w:val="28"/>
          <w:szCs w:val="28"/>
        </w:rPr>
        <w:t>Context</w:t>
      </w:r>
    </w:p>
    <w:p w:rsidR="009542E5" w:rsidRPr="00416514" w:rsidRDefault="00FF7CBF" w:rsidP="003A4CF7">
      <w:pPr>
        <w:pStyle w:val="NormalWeb"/>
        <w:spacing w:line="276" w:lineRule="auto"/>
        <w:jc w:val="both"/>
        <w:rPr>
          <w:rFonts w:asciiTheme="minorHAnsi" w:hAnsiTheme="minorHAnsi" w:cs="Arial"/>
          <w:sz w:val="22"/>
          <w:szCs w:val="22"/>
          <w:lang w:val="en"/>
        </w:rPr>
      </w:pPr>
      <w:r>
        <w:rPr>
          <w:lang w:val="en"/>
        </w:rPr>
        <w:br/>
      </w:r>
      <w:r w:rsidR="009542E5" w:rsidRPr="00416514">
        <w:rPr>
          <w:rFonts w:asciiTheme="minorHAnsi" w:hAnsiTheme="minorHAnsi" w:cs="Arial"/>
          <w:sz w:val="22"/>
          <w:szCs w:val="22"/>
          <w:lang w:val="en"/>
        </w:rPr>
        <w:t xml:space="preserve">The EU </w:t>
      </w:r>
      <w:r w:rsidR="009542E5">
        <w:rPr>
          <w:rFonts w:asciiTheme="minorHAnsi" w:hAnsiTheme="minorHAnsi" w:cs="Arial"/>
          <w:sz w:val="22"/>
          <w:szCs w:val="22"/>
          <w:lang w:val="en"/>
        </w:rPr>
        <w:t>strives</w:t>
      </w:r>
      <w:r w:rsidR="009542E5" w:rsidRPr="00416514">
        <w:rPr>
          <w:rFonts w:asciiTheme="minorHAnsi" w:hAnsiTheme="minorHAnsi" w:cs="Arial"/>
          <w:sz w:val="22"/>
          <w:szCs w:val="22"/>
          <w:lang w:val="en"/>
        </w:rPr>
        <w:t xml:space="preserve"> to make life easier for Europeans who study, work, shop, travel or get married in other EU countries, so that citizens feel at ease and trust that their rights are protected, no matter where they happen to be</w:t>
      </w:r>
      <w:r w:rsidR="009542E5">
        <w:rPr>
          <w:rFonts w:asciiTheme="minorHAnsi" w:hAnsiTheme="minorHAnsi" w:cs="Arial"/>
          <w:sz w:val="22"/>
          <w:szCs w:val="22"/>
          <w:lang w:val="en"/>
        </w:rPr>
        <w:t xml:space="preserve"> in the European Union</w:t>
      </w:r>
      <w:r w:rsidR="009542E5" w:rsidRPr="00416514">
        <w:rPr>
          <w:rFonts w:asciiTheme="minorHAnsi" w:hAnsiTheme="minorHAnsi" w:cs="Arial"/>
          <w:sz w:val="22"/>
          <w:szCs w:val="22"/>
          <w:lang w:val="en"/>
        </w:rPr>
        <w:t xml:space="preserve">. </w:t>
      </w:r>
      <w:r w:rsidR="00FC0D0D">
        <w:rPr>
          <w:rFonts w:asciiTheme="minorHAnsi" w:hAnsiTheme="minorHAnsi" w:cs="Arial"/>
          <w:sz w:val="22"/>
          <w:szCs w:val="22"/>
          <w:lang w:val="en"/>
        </w:rPr>
        <w:t xml:space="preserve">To do this, the </w:t>
      </w:r>
      <w:r w:rsidR="009542E5" w:rsidRPr="00416514">
        <w:rPr>
          <w:rFonts w:asciiTheme="minorHAnsi" w:hAnsiTheme="minorHAnsi" w:cs="Arial"/>
          <w:sz w:val="22"/>
          <w:szCs w:val="22"/>
          <w:lang w:val="en"/>
        </w:rPr>
        <w:t>EU build</w:t>
      </w:r>
      <w:r w:rsidR="009542E5">
        <w:rPr>
          <w:rFonts w:asciiTheme="minorHAnsi" w:hAnsiTheme="minorHAnsi" w:cs="Arial"/>
          <w:sz w:val="22"/>
          <w:szCs w:val="22"/>
          <w:lang w:val="en"/>
        </w:rPr>
        <w:t>s</w:t>
      </w:r>
      <w:r w:rsidR="009542E5" w:rsidRPr="00416514">
        <w:rPr>
          <w:rFonts w:asciiTheme="minorHAnsi" w:hAnsiTheme="minorHAnsi" w:cs="Arial"/>
          <w:sz w:val="22"/>
          <w:szCs w:val="22"/>
          <w:lang w:val="en"/>
        </w:rPr>
        <w:t xml:space="preserve"> bridges between the different national legal systems. A borderless and seamless European justice area ensure</w:t>
      </w:r>
      <w:r w:rsidR="009542E5">
        <w:rPr>
          <w:rFonts w:asciiTheme="minorHAnsi" w:hAnsiTheme="minorHAnsi" w:cs="Arial"/>
          <w:sz w:val="22"/>
          <w:szCs w:val="22"/>
          <w:lang w:val="en"/>
        </w:rPr>
        <w:t>s</w:t>
      </w:r>
      <w:r w:rsidR="009542E5" w:rsidRPr="00416514">
        <w:rPr>
          <w:rFonts w:asciiTheme="minorHAnsi" w:hAnsiTheme="minorHAnsi" w:cs="Arial"/>
          <w:sz w:val="22"/>
          <w:szCs w:val="22"/>
          <w:lang w:val="en"/>
        </w:rPr>
        <w:t xml:space="preserve"> that citizens can </w:t>
      </w:r>
      <w:r w:rsidR="009542E5">
        <w:rPr>
          <w:rFonts w:asciiTheme="minorHAnsi" w:hAnsiTheme="minorHAnsi" w:cs="Arial"/>
          <w:sz w:val="22"/>
          <w:szCs w:val="22"/>
          <w:lang w:val="en"/>
        </w:rPr>
        <w:t>enjoy their</w:t>
      </w:r>
      <w:r w:rsidR="009542E5" w:rsidRPr="00416514">
        <w:rPr>
          <w:rFonts w:asciiTheme="minorHAnsi" w:hAnsiTheme="minorHAnsi" w:cs="Arial"/>
          <w:sz w:val="22"/>
          <w:szCs w:val="22"/>
          <w:lang w:val="en"/>
        </w:rPr>
        <w:t xml:space="preserve"> rights across the continent. Regulatory </w:t>
      </w:r>
      <w:r w:rsidR="009542E5" w:rsidRPr="00416514">
        <w:rPr>
          <w:rFonts w:asciiTheme="minorHAnsi" w:hAnsiTheme="minorHAnsi"/>
          <w:sz w:val="22"/>
          <w:szCs w:val="22"/>
          <w:lang w:val="en"/>
        </w:rPr>
        <w:t xml:space="preserve">Fitness initiatives contribute to this by </w:t>
      </w:r>
      <w:r w:rsidR="009542E5">
        <w:rPr>
          <w:rFonts w:asciiTheme="minorHAnsi" w:hAnsiTheme="minorHAnsi"/>
          <w:sz w:val="22"/>
          <w:szCs w:val="22"/>
          <w:lang w:val="en"/>
        </w:rPr>
        <w:t>examining</w:t>
      </w:r>
      <w:r w:rsidR="009542E5" w:rsidRPr="00416514">
        <w:rPr>
          <w:rFonts w:asciiTheme="minorHAnsi" w:hAnsiTheme="minorHAnsi"/>
          <w:sz w:val="22"/>
          <w:szCs w:val="22"/>
          <w:lang w:val="en"/>
        </w:rPr>
        <w:t xml:space="preserve"> </w:t>
      </w:r>
      <w:r w:rsidR="009542E5">
        <w:rPr>
          <w:rFonts w:asciiTheme="minorHAnsi" w:hAnsiTheme="minorHAnsi" w:cs="Arial"/>
          <w:sz w:val="22"/>
          <w:szCs w:val="22"/>
          <w:lang w:val="en"/>
        </w:rPr>
        <w:t>if</w:t>
      </w:r>
      <w:r w:rsidR="009542E5" w:rsidRPr="00D26CC3">
        <w:rPr>
          <w:rFonts w:asciiTheme="minorHAnsi" w:hAnsiTheme="minorHAnsi" w:cs="Arial"/>
          <w:sz w:val="22"/>
          <w:szCs w:val="22"/>
          <w:lang w:val="en"/>
        </w:rPr>
        <w:t xml:space="preserve"> </w:t>
      </w:r>
      <w:r w:rsidR="00FC0D0D">
        <w:rPr>
          <w:rFonts w:asciiTheme="minorHAnsi" w:hAnsiTheme="minorHAnsi" w:cs="Arial"/>
          <w:sz w:val="22"/>
          <w:szCs w:val="22"/>
          <w:lang w:val="en"/>
        </w:rPr>
        <w:t xml:space="preserve">existing </w:t>
      </w:r>
      <w:r w:rsidR="009542E5" w:rsidRPr="00D26CC3">
        <w:rPr>
          <w:rFonts w:asciiTheme="minorHAnsi" w:hAnsiTheme="minorHAnsi" w:cs="Arial"/>
          <w:sz w:val="22"/>
          <w:szCs w:val="22"/>
          <w:lang w:val="en"/>
        </w:rPr>
        <w:t xml:space="preserve">legislation </w:t>
      </w:r>
      <w:r w:rsidR="009542E5">
        <w:rPr>
          <w:rFonts w:asciiTheme="minorHAnsi" w:hAnsiTheme="minorHAnsi" w:cs="Arial"/>
          <w:sz w:val="22"/>
          <w:szCs w:val="22"/>
          <w:lang w:val="en"/>
        </w:rPr>
        <w:t>is</w:t>
      </w:r>
      <w:r w:rsidR="009542E5" w:rsidRPr="00D26CC3">
        <w:rPr>
          <w:rFonts w:asciiTheme="minorHAnsi" w:hAnsiTheme="minorHAnsi" w:cs="Arial"/>
          <w:sz w:val="22"/>
          <w:szCs w:val="22"/>
          <w:lang w:val="en"/>
        </w:rPr>
        <w:t xml:space="preserve"> fit for purpose, </w:t>
      </w:r>
      <w:r w:rsidR="009542E5">
        <w:rPr>
          <w:rFonts w:asciiTheme="minorHAnsi" w:hAnsiTheme="minorHAnsi" w:cs="Arial"/>
          <w:sz w:val="22"/>
          <w:szCs w:val="22"/>
          <w:lang w:val="en"/>
        </w:rPr>
        <w:t xml:space="preserve">whether laws can be simplified and </w:t>
      </w:r>
      <w:r w:rsidR="009542E5" w:rsidRPr="00D26CC3">
        <w:rPr>
          <w:rFonts w:asciiTheme="minorHAnsi" w:hAnsiTheme="minorHAnsi" w:cs="Arial"/>
          <w:sz w:val="22"/>
          <w:szCs w:val="22"/>
          <w:lang w:val="en"/>
        </w:rPr>
        <w:t xml:space="preserve">unnecessary costs </w:t>
      </w:r>
      <w:r w:rsidR="009542E5">
        <w:rPr>
          <w:rFonts w:asciiTheme="minorHAnsi" w:hAnsiTheme="minorHAnsi" w:cs="Arial"/>
          <w:sz w:val="22"/>
          <w:szCs w:val="22"/>
          <w:lang w:val="en"/>
        </w:rPr>
        <w:t>reduced</w:t>
      </w:r>
      <w:r w:rsidR="009542E5" w:rsidRPr="00D26CC3">
        <w:rPr>
          <w:rFonts w:asciiTheme="minorHAnsi" w:hAnsiTheme="minorHAnsi" w:cs="Arial"/>
          <w:sz w:val="22"/>
          <w:szCs w:val="22"/>
          <w:lang w:val="en"/>
        </w:rPr>
        <w:t xml:space="preserve">. </w:t>
      </w:r>
    </w:p>
    <w:p w:rsidR="009542E5" w:rsidRPr="00FB23E5" w:rsidRDefault="009542E5" w:rsidP="00FB23E5">
      <w:pPr>
        <w:pStyle w:val="Heading4"/>
        <w:numPr>
          <w:ilvl w:val="0"/>
          <w:numId w:val="44"/>
        </w:numPr>
        <w:rPr>
          <w:bCs w:val="0"/>
          <w:i w:val="0"/>
          <w:color w:val="365F91" w:themeColor="accent1" w:themeShade="BF"/>
          <w:sz w:val="28"/>
          <w:szCs w:val="28"/>
        </w:rPr>
      </w:pPr>
      <w:r w:rsidRPr="00FB23E5">
        <w:rPr>
          <w:bCs w:val="0"/>
          <w:i w:val="0"/>
          <w:color w:val="365F91" w:themeColor="accent1" w:themeShade="BF"/>
          <w:sz w:val="28"/>
          <w:szCs w:val="28"/>
        </w:rPr>
        <w:t>New REFIT Initiatives</w:t>
      </w:r>
    </w:p>
    <w:p w:rsidR="00F672C2" w:rsidRPr="00E405E8" w:rsidRDefault="00FF7CBF" w:rsidP="003A4CF7">
      <w:pPr>
        <w:pStyle w:val="NormalWeb"/>
        <w:spacing w:after="192" w:line="276" w:lineRule="auto"/>
        <w:jc w:val="both"/>
        <w:rPr>
          <w:rFonts w:asciiTheme="minorHAnsi" w:hAnsiTheme="minorHAnsi" w:cs="Arial"/>
          <w:sz w:val="22"/>
          <w:szCs w:val="22"/>
        </w:rPr>
      </w:pPr>
      <w:r>
        <w:rPr>
          <w:lang w:val="en"/>
        </w:rPr>
        <w:br/>
      </w:r>
      <w:r w:rsidR="00860B4D" w:rsidRPr="003A4CF7">
        <w:rPr>
          <w:rFonts w:asciiTheme="minorHAnsi" w:hAnsiTheme="minorHAnsi"/>
          <w:sz w:val="22"/>
          <w:szCs w:val="22"/>
          <w:lang w:val="en"/>
        </w:rPr>
        <w:t xml:space="preserve">Under </w:t>
      </w:r>
      <w:r w:rsidR="00860B4D">
        <w:rPr>
          <w:rFonts w:asciiTheme="minorHAnsi" w:hAnsiTheme="minorHAnsi"/>
          <w:sz w:val="22"/>
          <w:szCs w:val="22"/>
          <w:lang w:val="en"/>
        </w:rPr>
        <w:t xml:space="preserve">the </w:t>
      </w:r>
      <w:r w:rsidR="009542E5" w:rsidRPr="001D1110">
        <w:rPr>
          <w:rFonts w:asciiTheme="minorHAnsi" w:hAnsiTheme="minorHAnsi"/>
          <w:b/>
          <w:i/>
          <w:sz w:val="22"/>
          <w:szCs w:val="22"/>
          <w:u w:val="single"/>
          <w:lang w:val="en"/>
        </w:rPr>
        <w:t>Commission Work Programme 2017</w:t>
      </w:r>
      <w:r w:rsidR="00860B4D" w:rsidRPr="003A4CF7">
        <w:rPr>
          <w:rFonts w:asciiTheme="minorHAnsi" w:hAnsiTheme="minorHAnsi"/>
          <w:sz w:val="22"/>
          <w:szCs w:val="22"/>
          <w:lang w:val="en"/>
        </w:rPr>
        <w:t xml:space="preserve">, </w:t>
      </w:r>
      <w:r w:rsidR="00860B4D">
        <w:rPr>
          <w:rFonts w:asciiTheme="minorHAnsi" w:hAnsiTheme="minorHAnsi"/>
          <w:sz w:val="22"/>
          <w:szCs w:val="22"/>
          <w:lang w:val="en"/>
        </w:rPr>
        <w:t>work is planned for the legislative revision of the</w:t>
      </w:r>
      <w:r w:rsidR="003D645D" w:rsidRPr="00E405E8">
        <w:rPr>
          <w:rFonts w:asciiTheme="minorHAnsi" w:hAnsiTheme="minorHAnsi" w:cs="Arial"/>
          <w:sz w:val="22"/>
          <w:szCs w:val="22"/>
          <w:lang w:val="en"/>
        </w:rPr>
        <w:t>:</w:t>
      </w:r>
    </w:p>
    <w:p w:rsidR="003D645D" w:rsidRPr="00860B4D" w:rsidRDefault="003D645D" w:rsidP="003A4CF7">
      <w:pPr>
        <w:pStyle w:val="pfstage"/>
        <w:numPr>
          <w:ilvl w:val="0"/>
          <w:numId w:val="51"/>
        </w:numPr>
        <w:spacing w:before="0" w:after="200" w:line="276" w:lineRule="auto"/>
        <w:ind w:left="714" w:hanging="357"/>
        <w:jc w:val="both"/>
        <w:textAlignment w:val="top"/>
        <w:rPr>
          <w:rFonts w:asciiTheme="minorHAnsi" w:hAnsiTheme="minorHAnsi" w:cs="Times New Roman"/>
          <w:b w:val="0"/>
          <w:bCs w:val="0"/>
          <w:noProof/>
          <w:color w:val="auto"/>
          <w:sz w:val="22"/>
          <w:szCs w:val="22"/>
          <w:lang w:eastAsia="en-US"/>
        </w:rPr>
      </w:pPr>
      <w:r w:rsidRPr="000135BE">
        <w:rPr>
          <w:rFonts w:asciiTheme="minorHAnsi" w:hAnsiTheme="minorHAnsi" w:cs="Times New Roman"/>
          <w:bCs w:val="0"/>
          <w:i/>
          <w:noProof/>
          <w:color w:val="auto"/>
          <w:sz w:val="22"/>
          <w:szCs w:val="22"/>
          <w:lang w:eastAsia="en-US"/>
        </w:rPr>
        <w:t>EU Consumer Law:</w:t>
      </w:r>
      <w:r w:rsidRPr="000135BE">
        <w:rPr>
          <w:rFonts w:asciiTheme="minorHAnsi" w:hAnsiTheme="minorHAnsi" w:cs="Times New Roman"/>
          <w:b w:val="0"/>
          <w:bCs w:val="0"/>
          <w:noProof/>
          <w:color w:val="auto"/>
          <w:sz w:val="22"/>
          <w:szCs w:val="22"/>
          <w:lang w:eastAsia="en-US"/>
        </w:rPr>
        <w:t xml:space="preserve"> </w:t>
      </w:r>
      <w:r w:rsidR="00CA3E04" w:rsidRPr="000135BE">
        <w:rPr>
          <w:rFonts w:asciiTheme="minorHAnsi" w:hAnsiTheme="minorHAnsi" w:cs="Times New Roman"/>
          <w:b w:val="0"/>
          <w:bCs w:val="0"/>
          <w:noProof/>
          <w:color w:val="auto"/>
          <w:sz w:val="22"/>
          <w:szCs w:val="22"/>
          <w:lang w:eastAsia="en-US"/>
        </w:rPr>
        <w:t>Preliminary r</w:t>
      </w:r>
      <w:r w:rsidR="00860B4D">
        <w:rPr>
          <w:rFonts w:asciiTheme="minorHAnsi" w:hAnsiTheme="minorHAnsi" w:cs="Times New Roman"/>
          <w:b w:val="0"/>
          <w:bCs w:val="0"/>
          <w:noProof/>
          <w:color w:val="auto"/>
          <w:sz w:val="22"/>
          <w:szCs w:val="22"/>
          <w:lang w:eastAsia="en-US"/>
        </w:rPr>
        <w:t>e</w:t>
      </w:r>
      <w:r w:rsidR="00CA3E04" w:rsidRPr="000135BE">
        <w:rPr>
          <w:rFonts w:asciiTheme="minorHAnsi" w:hAnsiTheme="minorHAnsi" w:cs="Times New Roman"/>
          <w:b w:val="0"/>
          <w:bCs w:val="0"/>
          <w:noProof/>
          <w:color w:val="auto"/>
          <w:sz w:val="22"/>
          <w:szCs w:val="22"/>
          <w:lang w:eastAsia="en-US"/>
        </w:rPr>
        <w:t xml:space="preserve">sults under the </w:t>
      </w:r>
      <w:r w:rsidR="00860B4D">
        <w:rPr>
          <w:rFonts w:asciiTheme="minorHAnsi" w:hAnsiTheme="minorHAnsi" w:cs="Times New Roman"/>
          <w:b w:val="0"/>
          <w:bCs w:val="0"/>
          <w:noProof/>
          <w:color w:val="auto"/>
          <w:sz w:val="22"/>
          <w:szCs w:val="22"/>
          <w:lang w:eastAsia="en-US"/>
        </w:rPr>
        <w:t xml:space="preserve">on-going </w:t>
      </w:r>
      <w:r w:rsidRPr="000135BE">
        <w:rPr>
          <w:rFonts w:asciiTheme="minorHAnsi" w:hAnsiTheme="minorHAnsi" w:cs="Times New Roman"/>
          <w:b w:val="0"/>
          <w:bCs w:val="0"/>
          <w:noProof/>
          <w:color w:val="auto"/>
          <w:sz w:val="22"/>
          <w:szCs w:val="22"/>
          <w:lang w:eastAsia="en-US"/>
        </w:rPr>
        <w:t xml:space="preserve">Fitness Check of EU Consumer Law </w:t>
      </w:r>
      <w:r w:rsidR="00CA3E04" w:rsidRPr="000135BE">
        <w:rPr>
          <w:rFonts w:asciiTheme="minorHAnsi" w:hAnsiTheme="minorHAnsi" w:cs="Times New Roman"/>
          <w:b w:val="0"/>
          <w:bCs w:val="0"/>
          <w:noProof/>
          <w:color w:val="auto"/>
          <w:sz w:val="22"/>
          <w:szCs w:val="22"/>
          <w:lang w:eastAsia="en-US"/>
        </w:rPr>
        <w:t xml:space="preserve">show </w:t>
      </w:r>
      <w:r w:rsidR="00D20D52" w:rsidRPr="000135BE">
        <w:rPr>
          <w:rFonts w:asciiTheme="minorHAnsi" w:hAnsiTheme="minorHAnsi" w:cs="Times New Roman"/>
          <w:b w:val="0"/>
          <w:bCs w:val="0"/>
          <w:noProof/>
          <w:color w:val="auto"/>
          <w:sz w:val="22"/>
          <w:szCs w:val="22"/>
          <w:lang w:eastAsia="en-US"/>
        </w:rPr>
        <w:t>that c</w:t>
      </w:r>
      <w:r w:rsidRPr="000135BE">
        <w:rPr>
          <w:rFonts w:asciiTheme="minorHAnsi" w:hAnsiTheme="minorHAnsi" w:cs="Times New Roman"/>
          <w:b w:val="0"/>
          <w:bCs w:val="0"/>
          <w:noProof/>
          <w:color w:val="auto"/>
          <w:sz w:val="22"/>
          <w:szCs w:val="22"/>
          <w:lang w:eastAsia="en-US"/>
        </w:rPr>
        <w:t xml:space="preserve">ross-border misleading marketing practices create damages to businesses of more than EUR 500 million </w:t>
      </w:r>
      <w:r w:rsidR="00D20D52" w:rsidRPr="000135BE">
        <w:rPr>
          <w:rFonts w:asciiTheme="minorHAnsi" w:hAnsiTheme="minorHAnsi" w:cs="Times New Roman"/>
          <w:b w:val="0"/>
          <w:bCs w:val="0"/>
          <w:noProof/>
          <w:color w:val="auto"/>
          <w:sz w:val="22"/>
          <w:szCs w:val="22"/>
          <w:lang w:eastAsia="en-US"/>
        </w:rPr>
        <w:t xml:space="preserve"> annually</w:t>
      </w:r>
      <w:r w:rsidRPr="000135BE">
        <w:rPr>
          <w:rFonts w:asciiTheme="minorHAnsi" w:hAnsiTheme="minorHAnsi" w:cs="Times New Roman"/>
          <w:b w:val="0"/>
          <w:bCs w:val="0"/>
          <w:noProof/>
          <w:color w:val="auto"/>
          <w:sz w:val="22"/>
          <w:szCs w:val="22"/>
          <w:lang w:eastAsia="en-US"/>
        </w:rPr>
        <w:t>.</w:t>
      </w:r>
      <w:r w:rsidR="00D20D52" w:rsidRPr="000135BE">
        <w:rPr>
          <w:rFonts w:asciiTheme="minorHAnsi" w:hAnsiTheme="minorHAnsi" w:cs="Times New Roman"/>
          <w:b w:val="0"/>
          <w:bCs w:val="0"/>
          <w:noProof/>
          <w:color w:val="auto"/>
          <w:sz w:val="22"/>
          <w:szCs w:val="22"/>
          <w:lang w:eastAsia="en-US"/>
        </w:rPr>
        <w:t xml:space="preserve"> </w:t>
      </w:r>
      <w:r w:rsidRPr="000135BE">
        <w:rPr>
          <w:rFonts w:asciiTheme="minorHAnsi" w:hAnsiTheme="minorHAnsi" w:cs="Times New Roman"/>
          <w:b w:val="0"/>
          <w:bCs w:val="0"/>
          <w:noProof/>
          <w:color w:val="auto"/>
          <w:sz w:val="22"/>
          <w:szCs w:val="22"/>
          <w:lang w:eastAsia="en-US"/>
        </w:rPr>
        <w:t>A</w:t>
      </w:r>
      <w:r w:rsidR="00D20D52" w:rsidRPr="000135BE">
        <w:rPr>
          <w:rFonts w:asciiTheme="minorHAnsi" w:hAnsiTheme="minorHAnsi" w:cs="Times New Roman"/>
          <w:b w:val="0"/>
          <w:bCs w:val="0"/>
          <w:noProof/>
          <w:color w:val="auto"/>
          <w:sz w:val="22"/>
          <w:szCs w:val="22"/>
          <w:lang w:eastAsia="en-US"/>
        </w:rPr>
        <w:t xml:space="preserve"> strengthened protection c</w:t>
      </w:r>
      <w:r w:rsidRPr="000135BE">
        <w:rPr>
          <w:rFonts w:asciiTheme="minorHAnsi" w:hAnsiTheme="minorHAnsi" w:cs="Times New Roman"/>
          <w:b w:val="0"/>
          <w:bCs w:val="0"/>
          <w:noProof/>
          <w:color w:val="auto"/>
          <w:sz w:val="22"/>
          <w:szCs w:val="22"/>
          <w:lang w:eastAsia="en-US"/>
        </w:rPr>
        <w:t>ould significantly reduce the number of fraudulent practices.</w:t>
      </w:r>
    </w:p>
    <w:p w:rsidR="00D20D52" w:rsidRDefault="00D20D52" w:rsidP="003A4CF7">
      <w:pPr>
        <w:pStyle w:val="pfstage"/>
        <w:numPr>
          <w:ilvl w:val="0"/>
          <w:numId w:val="51"/>
        </w:numPr>
        <w:spacing w:before="0" w:after="200" w:line="276" w:lineRule="auto"/>
        <w:ind w:left="714" w:hanging="357"/>
        <w:jc w:val="both"/>
        <w:textAlignment w:val="top"/>
        <w:rPr>
          <w:rFonts w:asciiTheme="minorHAnsi" w:hAnsiTheme="minorHAnsi" w:cs="Times New Roman"/>
          <w:b w:val="0"/>
          <w:bCs w:val="0"/>
          <w:noProof/>
          <w:color w:val="auto"/>
          <w:sz w:val="22"/>
          <w:szCs w:val="22"/>
          <w:lang w:eastAsia="en-US"/>
        </w:rPr>
      </w:pPr>
      <w:r w:rsidRPr="000135BE">
        <w:rPr>
          <w:rFonts w:asciiTheme="minorHAnsi" w:hAnsiTheme="minorHAnsi" w:cs="Times New Roman"/>
          <w:bCs w:val="0"/>
          <w:i/>
          <w:noProof/>
          <w:color w:val="auto"/>
          <w:sz w:val="22"/>
          <w:szCs w:val="22"/>
          <w:lang w:eastAsia="en-US"/>
        </w:rPr>
        <w:t>Schengen Information System:</w:t>
      </w:r>
      <w:r w:rsidRPr="00E405E8">
        <w:rPr>
          <w:rFonts w:asciiTheme="minorHAnsi" w:hAnsiTheme="minorHAnsi"/>
          <w:sz w:val="22"/>
          <w:szCs w:val="22"/>
          <w:lang w:val="en"/>
        </w:rPr>
        <w:t xml:space="preserve"> </w:t>
      </w:r>
      <w:r w:rsidR="00860B4D">
        <w:rPr>
          <w:rFonts w:asciiTheme="minorHAnsi" w:hAnsiTheme="minorHAnsi" w:cs="Times New Roman"/>
          <w:b w:val="0"/>
          <w:bCs w:val="0"/>
          <w:noProof/>
          <w:color w:val="auto"/>
          <w:sz w:val="22"/>
          <w:szCs w:val="22"/>
          <w:lang w:eastAsia="en-US"/>
        </w:rPr>
        <w:t xml:space="preserve">The </w:t>
      </w:r>
      <w:r w:rsidR="003D645D" w:rsidRPr="000135BE">
        <w:rPr>
          <w:rFonts w:asciiTheme="minorHAnsi" w:hAnsiTheme="minorHAnsi" w:cs="Times New Roman"/>
          <w:b w:val="0"/>
          <w:bCs w:val="0"/>
          <w:noProof/>
          <w:color w:val="auto"/>
          <w:sz w:val="22"/>
          <w:szCs w:val="22"/>
          <w:lang w:eastAsia="en-US"/>
        </w:rPr>
        <w:t xml:space="preserve">evaluation </w:t>
      </w:r>
      <w:r w:rsidR="00860B4D">
        <w:rPr>
          <w:rFonts w:asciiTheme="minorHAnsi" w:hAnsiTheme="minorHAnsi" w:cs="Times New Roman"/>
          <w:b w:val="0"/>
          <w:bCs w:val="0"/>
          <w:noProof/>
          <w:color w:val="auto"/>
          <w:sz w:val="22"/>
          <w:szCs w:val="22"/>
          <w:lang w:eastAsia="en-US"/>
        </w:rPr>
        <w:t xml:space="preserve">of the existing system </w:t>
      </w:r>
      <w:r w:rsidR="003D645D" w:rsidRPr="000135BE">
        <w:rPr>
          <w:rFonts w:asciiTheme="minorHAnsi" w:hAnsiTheme="minorHAnsi" w:cs="Times New Roman"/>
          <w:b w:val="0"/>
          <w:bCs w:val="0"/>
          <w:noProof/>
          <w:color w:val="auto"/>
          <w:sz w:val="22"/>
          <w:szCs w:val="22"/>
          <w:lang w:eastAsia="en-US"/>
        </w:rPr>
        <w:t>point</w:t>
      </w:r>
      <w:r w:rsidR="00860B4D">
        <w:rPr>
          <w:rFonts w:asciiTheme="minorHAnsi" w:hAnsiTheme="minorHAnsi" w:cs="Times New Roman"/>
          <w:b w:val="0"/>
          <w:bCs w:val="0"/>
          <w:noProof/>
          <w:color w:val="auto"/>
          <w:sz w:val="22"/>
          <w:szCs w:val="22"/>
          <w:lang w:eastAsia="en-US"/>
        </w:rPr>
        <w:t>ed</w:t>
      </w:r>
      <w:r w:rsidR="003D645D" w:rsidRPr="000135BE">
        <w:rPr>
          <w:rFonts w:asciiTheme="minorHAnsi" w:hAnsiTheme="minorHAnsi" w:cs="Times New Roman"/>
          <w:b w:val="0"/>
          <w:bCs w:val="0"/>
          <w:noProof/>
          <w:color w:val="auto"/>
          <w:sz w:val="22"/>
          <w:szCs w:val="22"/>
          <w:lang w:eastAsia="en-US"/>
        </w:rPr>
        <w:t xml:space="preserve"> to a number of policy choices </w:t>
      </w:r>
      <w:r w:rsidRPr="000135BE">
        <w:rPr>
          <w:rFonts w:asciiTheme="minorHAnsi" w:hAnsiTheme="minorHAnsi" w:cs="Times New Roman"/>
          <w:b w:val="0"/>
          <w:bCs w:val="0"/>
          <w:noProof/>
          <w:color w:val="auto"/>
          <w:sz w:val="22"/>
          <w:szCs w:val="22"/>
          <w:lang w:eastAsia="en-US"/>
        </w:rPr>
        <w:t xml:space="preserve">regarding scope, </w:t>
      </w:r>
      <w:r w:rsidR="003D645D" w:rsidRPr="000135BE">
        <w:rPr>
          <w:rFonts w:asciiTheme="minorHAnsi" w:hAnsiTheme="minorHAnsi" w:cs="Times New Roman"/>
          <w:b w:val="0"/>
          <w:bCs w:val="0"/>
          <w:noProof/>
          <w:color w:val="auto"/>
          <w:sz w:val="22"/>
          <w:szCs w:val="22"/>
          <w:lang w:eastAsia="en-US"/>
        </w:rPr>
        <w:t>data protection, overall architecture and security of the system</w:t>
      </w:r>
      <w:r w:rsidRPr="000135BE">
        <w:rPr>
          <w:rFonts w:asciiTheme="minorHAnsi" w:hAnsiTheme="minorHAnsi" w:cs="Times New Roman"/>
          <w:b w:val="0"/>
          <w:bCs w:val="0"/>
          <w:noProof/>
          <w:color w:val="auto"/>
          <w:sz w:val="22"/>
          <w:szCs w:val="22"/>
          <w:lang w:eastAsia="en-US"/>
        </w:rPr>
        <w:t xml:space="preserve"> which could be assessed in the preparation of the proposal</w:t>
      </w:r>
      <w:r w:rsidR="003D645D" w:rsidRPr="000135BE">
        <w:rPr>
          <w:rFonts w:asciiTheme="minorHAnsi" w:hAnsiTheme="minorHAnsi" w:cs="Times New Roman"/>
          <w:b w:val="0"/>
          <w:bCs w:val="0"/>
          <w:noProof/>
          <w:color w:val="auto"/>
          <w:sz w:val="22"/>
          <w:szCs w:val="22"/>
          <w:lang w:eastAsia="en-US"/>
        </w:rPr>
        <w:t>.</w:t>
      </w:r>
    </w:p>
    <w:p w:rsidR="00372314" w:rsidRDefault="00372314" w:rsidP="003A4CF7">
      <w:pPr>
        <w:pStyle w:val="pfstage"/>
        <w:numPr>
          <w:ilvl w:val="0"/>
          <w:numId w:val="51"/>
        </w:numPr>
        <w:spacing w:before="0" w:after="200" w:line="276" w:lineRule="auto"/>
        <w:ind w:left="714" w:hanging="357"/>
        <w:jc w:val="both"/>
        <w:textAlignment w:val="top"/>
        <w:rPr>
          <w:rFonts w:asciiTheme="minorHAnsi" w:hAnsiTheme="minorHAnsi" w:cs="Times New Roman"/>
          <w:b w:val="0"/>
          <w:bCs w:val="0"/>
          <w:noProof/>
          <w:color w:val="auto"/>
          <w:sz w:val="22"/>
          <w:szCs w:val="22"/>
          <w:lang w:eastAsia="en-US"/>
        </w:rPr>
      </w:pPr>
      <w:r w:rsidRPr="003A4CF7">
        <w:rPr>
          <w:rFonts w:asciiTheme="minorHAnsi" w:hAnsiTheme="minorHAnsi" w:cs="Times New Roman"/>
          <w:bCs w:val="0"/>
          <w:i/>
          <w:noProof/>
          <w:color w:val="auto"/>
          <w:sz w:val="22"/>
          <w:szCs w:val="22"/>
          <w:lang w:val="en" w:eastAsia="en-US"/>
        </w:rPr>
        <w:t xml:space="preserve">ePrivacy </w:t>
      </w:r>
      <w:r w:rsidR="00860B4D" w:rsidRPr="003A4CF7">
        <w:rPr>
          <w:rFonts w:asciiTheme="minorHAnsi" w:hAnsiTheme="minorHAnsi" w:cs="Times New Roman"/>
          <w:bCs w:val="0"/>
          <w:i/>
          <w:noProof/>
          <w:color w:val="auto"/>
          <w:sz w:val="22"/>
          <w:szCs w:val="22"/>
          <w:lang w:val="en" w:eastAsia="en-US"/>
        </w:rPr>
        <w:t>Directive</w:t>
      </w:r>
      <w:r w:rsidR="00860B4D">
        <w:rPr>
          <w:rFonts w:asciiTheme="minorHAnsi" w:hAnsiTheme="minorHAnsi" w:cs="Times New Roman"/>
          <w:b w:val="0"/>
          <w:bCs w:val="0"/>
          <w:i/>
          <w:noProof/>
          <w:color w:val="auto"/>
          <w:sz w:val="22"/>
          <w:szCs w:val="22"/>
          <w:lang w:val="en" w:eastAsia="en-US"/>
        </w:rPr>
        <w:t xml:space="preserve"> </w:t>
      </w:r>
      <w:r w:rsidRPr="00372314">
        <w:rPr>
          <w:rFonts w:asciiTheme="minorHAnsi" w:hAnsiTheme="minorHAnsi" w:cs="Times New Roman"/>
          <w:b w:val="0"/>
          <w:bCs w:val="0"/>
          <w:noProof/>
          <w:color w:val="auto"/>
          <w:sz w:val="22"/>
          <w:szCs w:val="22"/>
          <w:lang w:val="en" w:eastAsia="en-US"/>
        </w:rPr>
        <w:t>to update it in the light of latest technological developments and taking into account the opinion of the REFIT Platform</w:t>
      </w:r>
      <w:r w:rsidR="007B1802">
        <w:rPr>
          <w:rFonts w:asciiTheme="minorHAnsi" w:hAnsiTheme="minorHAnsi" w:cs="Times New Roman"/>
          <w:b w:val="0"/>
          <w:bCs w:val="0"/>
          <w:noProof/>
          <w:color w:val="auto"/>
          <w:sz w:val="22"/>
          <w:szCs w:val="22"/>
          <w:lang w:val="en" w:eastAsia="en-US"/>
        </w:rPr>
        <w:t>.</w:t>
      </w:r>
    </w:p>
    <w:p w:rsidR="003D645D" w:rsidRDefault="00AA28AB" w:rsidP="003A4CF7">
      <w:pPr>
        <w:pStyle w:val="pfstage"/>
        <w:spacing w:before="0" w:after="0" w:line="276" w:lineRule="auto"/>
        <w:jc w:val="both"/>
        <w:textAlignment w:val="top"/>
        <w:rPr>
          <w:rFonts w:asciiTheme="minorHAnsi" w:hAnsiTheme="minorHAnsi" w:cs="Times New Roman"/>
          <w:b w:val="0"/>
          <w:bCs w:val="0"/>
          <w:noProof/>
          <w:color w:val="auto"/>
          <w:sz w:val="22"/>
          <w:szCs w:val="22"/>
          <w:lang w:eastAsia="en-US"/>
        </w:rPr>
      </w:pPr>
      <w:r w:rsidRPr="00AA28AB">
        <w:rPr>
          <w:rFonts w:asciiTheme="minorHAnsi" w:hAnsiTheme="minorHAnsi" w:cs="Times New Roman"/>
          <w:bCs w:val="0"/>
          <w:i/>
          <w:noProof/>
          <w:color w:val="auto"/>
          <w:sz w:val="22"/>
          <w:szCs w:val="22"/>
          <w:u w:val="single"/>
          <w:lang w:eastAsia="en-US"/>
        </w:rPr>
        <w:t>New Evaluations:</w:t>
      </w:r>
      <w:r w:rsidRPr="00AA28AB">
        <w:rPr>
          <w:rFonts w:asciiTheme="minorHAnsi" w:hAnsiTheme="minorHAnsi" w:cs="Times New Roman"/>
          <w:b w:val="0"/>
          <w:bCs w:val="0"/>
          <w:noProof/>
          <w:color w:val="auto"/>
          <w:sz w:val="22"/>
          <w:szCs w:val="22"/>
          <w:lang w:eastAsia="en-US"/>
        </w:rPr>
        <w:t xml:space="preserve"> In 2017, the Commission will carry-out a Fitness Check of counter-terrorism instruments.</w:t>
      </w:r>
    </w:p>
    <w:p w:rsidR="00860B4D" w:rsidRDefault="00860B4D" w:rsidP="00AA28AB">
      <w:pPr>
        <w:pStyle w:val="pfstage"/>
        <w:spacing w:before="0" w:after="0"/>
        <w:jc w:val="both"/>
        <w:textAlignment w:val="top"/>
        <w:rPr>
          <w:rFonts w:asciiTheme="minorHAnsi" w:hAnsiTheme="minorHAnsi" w:cs="Times New Roman"/>
          <w:b w:val="0"/>
          <w:bCs w:val="0"/>
          <w:noProof/>
          <w:color w:val="auto"/>
          <w:sz w:val="22"/>
          <w:szCs w:val="22"/>
          <w:lang w:eastAsia="en-US"/>
        </w:rPr>
      </w:pPr>
    </w:p>
    <w:p w:rsidR="00860B4D" w:rsidRPr="00D95D94" w:rsidRDefault="00860B4D" w:rsidP="00860B4D">
      <w:pPr>
        <w:pBdr>
          <w:top w:val="single" w:sz="4" w:space="1" w:color="auto"/>
          <w:left w:val="single" w:sz="4" w:space="4" w:color="auto"/>
          <w:bottom w:val="single" w:sz="4" w:space="1" w:color="auto"/>
          <w:right w:val="single" w:sz="4" w:space="4" w:color="auto"/>
        </w:pBdr>
        <w:jc w:val="both"/>
      </w:pPr>
      <w:r w:rsidRPr="00002899">
        <w:rPr>
          <w:rFonts w:cs="Arial"/>
          <w:b/>
          <w:i/>
          <w:u w:val="single"/>
        </w:rPr>
        <w:t>Follow-up to REFIT Platform Opinions:</w:t>
      </w:r>
      <w:r w:rsidRPr="00781D31">
        <w:t xml:space="preserve"> In its opinion on the </w:t>
      </w:r>
      <w:r w:rsidRPr="00002899">
        <w:rPr>
          <w:b/>
          <w:i/>
        </w:rPr>
        <w:t>ePrivacy Directive</w:t>
      </w:r>
      <w:r w:rsidRPr="00781D31">
        <w:t xml:space="preserve">, the </w:t>
      </w:r>
      <w:r>
        <w:t xml:space="preserve">REFIT </w:t>
      </w:r>
      <w:r w:rsidRPr="00781D31">
        <w:t>Platform</w:t>
      </w:r>
      <w:r>
        <w:t xml:space="preserve"> </w:t>
      </w:r>
      <w:r w:rsidRPr="00781D31">
        <w:t xml:space="preserve">recommends that the revised ePrivacy Directive is aligned with the General Data Protection Regulation, that additional exceptions to the ‘consent’ rule for cookies are considered and that the Commission addresses national implementation problems. The Commission will </w:t>
      </w:r>
      <w:r>
        <w:t>pay particular attention to</w:t>
      </w:r>
      <w:r w:rsidRPr="00781D31">
        <w:t xml:space="preserve"> these recommendations in the context of the ePrivacy review, </w:t>
      </w:r>
      <w:r>
        <w:t xml:space="preserve">with a proposal for a revised directive </w:t>
      </w:r>
      <w:r w:rsidRPr="00781D31">
        <w:t xml:space="preserve">planned for adoption </w:t>
      </w:r>
      <w:r>
        <w:t xml:space="preserve">early </w:t>
      </w:r>
      <w:r w:rsidRPr="00781D31">
        <w:t>in 201</w:t>
      </w:r>
      <w:r>
        <w:t>7</w:t>
      </w:r>
      <w:r w:rsidRPr="00781D31">
        <w:t>.</w:t>
      </w:r>
    </w:p>
    <w:p w:rsidR="00860B4D" w:rsidRPr="00AA28AB" w:rsidRDefault="00860B4D" w:rsidP="00AA28AB">
      <w:pPr>
        <w:pStyle w:val="pfstage"/>
        <w:spacing w:before="0" w:after="0"/>
        <w:jc w:val="both"/>
        <w:textAlignment w:val="top"/>
        <w:rPr>
          <w:rFonts w:asciiTheme="minorHAnsi" w:hAnsiTheme="minorHAnsi" w:cs="Times New Roman"/>
          <w:b w:val="0"/>
          <w:bCs w:val="0"/>
          <w:noProof/>
          <w:color w:val="auto"/>
          <w:sz w:val="22"/>
          <w:szCs w:val="22"/>
          <w:lang w:eastAsia="en-US"/>
        </w:rPr>
      </w:pPr>
    </w:p>
    <w:p w:rsidR="009542E5" w:rsidRPr="00FB23E5" w:rsidRDefault="009542E5" w:rsidP="00B3582B">
      <w:pPr>
        <w:pStyle w:val="Heading4"/>
        <w:numPr>
          <w:ilvl w:val="0"/>
          <w:numId w:val="44"/>
        </w:numPr>
        <w:rPr>
          <w:bCs w:val="0"/>
          <w:i w:val="0"/>
          <w:color w:val="365F91" w:themeColor="accent1" w:themeShade="BF"/>
          <w:sz w:val="28"/>
          <w:szCs w:val="28"/>
        </w:rPr>
      </w:pPr>
      <w:r w:rsidRPr="00FB23E5">
        <w:rPr>
          <w:bCs w:val="0"/>
          <w:i w:val="0"/>
          <w:color w:val="365F91" w:themeColor="accent1" w:themeShade="BF"/>
          <w:sz w:val="28"/>
          <w:szCs w:val="28"/>
        </w:rPr>
        <w:t>Progress and Results</w:t>
      </w:r>
    </w:p>
    <w:p w:rsidR="009542E5" w:rsidRDefault="00FF7CBF" w:rsidP="009542E5">
      <w:pPr>
        <w:jc w:val="both"/>
      </w:pPr>
      <w:r>
        <w:rPr>
          <w:lang w:val="en"/>
        </w:rPr>
        <w:br/>
      </w:r>
      <w:r w:rsidR="009542E5" w:rsidRPr="001D1110">
        <w:rPr>
          <w:b/>
          <w:i/>
          <w:u w:val="single"/>
          <w:lang w:val="en"/>
        </w:rPr>
        <w:t xml:space="preserve">Evaluations and </w:t>
      </w:r>
      <w:r w:rsidR="00154737" w:rsidRPr="001D1110">
        <w:rPr>
          <w:b/>
          <w:i/>
          <w:u w:val="single"/>
          <w:lang w:val="en"/>
        </w:rPr>
        <w:t>f</w:t>
      </w:r>
      <w:r w:rsidR="009542E5" w:rsidRPr="001D1110">
        <w:rPr>
          <w:b/>
          <w:i/>
          <w:u w:val="single"/>
          <w:lang w:val="en"/>
        </w:rPr>
        <w:t>ollow-</w:t>
      </w:r>
      <w:r w:rsidR="00154737" w:rsidRPr="001D1110">
        <w:rPr>
          <w:b/>
          <w:i/>
          <w:u w:val="single"/>
          <w:lang w:val="en"/>
        </w:rPr>
        <w:t>u</w:t>
      </w:r>
      <w:r w:rsidR="009542E5" w:rsidRPr="001D1110">
        <w:rPr>
          <w:b/>
          <w:i/>
          <w:u w:val="single"/>
          <w:lang w:val="en"/>
        </w:rPr>
        <w:t>p</w:t>
      </w:r>
      <w:r w:rsidR="009542E5" w:rsidRPr="00D26CC3">
        <w:rPr>
          <w:b/>
          <w:i/>
          <w:lang w:val="en"/>
        </w:rPr>
        <w:t>:</w:t>
      </w:r>
      <w:r w:rsidR="009542E5">
        <w:rPr>
          <w:lang w:val="en"/>
        </w:rPr>
        <w:t xml:space="preserve"> In</w:t>
      </w:r>
      <w:r w:rsidR="009542E5">
        <w:t xml:space="preserve"> 2016 and 2017, results are expected of Fitness Checks and evaluations in the areas of consumer law, emergency travel documents and equal treatment in social security. Since May 2015, two evaluations have been concluded and were followed-up by legislative proposals </w:t>
      </w:r>
      <w:r w:rsidR="009542E5">
        <w:lastRenderedPageBreak/>
        <w:t xml:space="preserve">in the areas of consumer protection cooperation and </w:t>
      </w:r>
      <w:r w:rsidR="009542E5" w:rsidRPr="00BF02F6">
        <w:rPr>
          <w:lang w:val="en-US"/>
        </w:rPr>
        <w:t xml:space="preserve">recognition and enforcement of </w:t>
      </w:r>
      <w:r w:rsidR="009542E5" w:rsidRPr="00DE08FC">
        <w:rPr>
          <w:lang w:val="en-US"/>
        </w:rPr>
        <w:t>judgments</w:t>
      </w:r>
      <w:r w:rsidR="009542E5" w:rsidRPr="00BF02F6">
        <w:rPr>
          <w:lang w:val="en-US"/>
        </w:rPr>
        <w:t xml:space="preserve"> in </w:t>
      </w:r>
      <w:r w:rsidR="009542E5" w:rsidRPr="00DE08FC">
        <w:rPr>
          <w:lang w:val="en-US"/>
        </w:rPr>
        <w:t>matrimonial</w:t>
      </w:r>
      <w:r w:rsidR="009542E5" w:rsidRPr="00BF02F6">
        <w:rPr>
          <w:lang w:val="en-US"/>
        </w:rPr>
        <w:t xml:space="preserve"> matters and matters of parental </w:t>
      </w:r>
      <w:r w:rsidR="009542E5" w:rsidRPr="00DE08FC">
        <w:rPr>
          <w:lang w:val="en-US"/>
        </w:rPr>
        <w:t>responsibility</w:t>
      </w:r>
      <w:r w:rsidR="009542E5">
        <w:rPr>
          <w:lang w:val="en-US"/>
        </w:rPr>
        <w:t xml:space="preserve"> (Brussels IIA Regulation)</w:t>
      </w:r>
      <w:r w:rsidR="009542E5">
        <w:t>:</w:t>
      </w:r>
    </w:p>
    <w:p w:rsidR="009542E5" w:rsidRPr="00D26CC3" w:rsidRDefault="009542E5" w:rsidP="009542E5">
      <w:pPr>
        <w:pStyle w:val="ListParagraph"/>
        <w:numPr>
          <w:ilvl w:val="0"/>
          <w:numId w:val="24"/>
        </w:numPr>
        <w:jc w:val="both"/>
        <w:rPr>
          <w:lang w:val="en"/>
        </w:rPr>
      </w:pPr>
      <w:r w:rsidRPr="001D1110">
        <w:rPr>
          <w:b/>
          <w:i/>
        </w:rPr>
        <w:t>Consumer protection cooperation</w:t>
      </w:r>
      <w:r w:rsidRPr="00D26CC3">
        <w:rPr>
          <w:i/>
        </w:rPr>
        <w:t>:</w:t>
      </w:r>
      <w:r>
        <w:t xml:space="preserve"> </w:t>
      </w:r>
      <w:r w:rsidRPr="00DE08FC">
        <w:rPr>
          <w:lang w:val="en-US"/>
        </w:rPr>
        <w:t xml:space="preserve">The </w:t>
      </w:r>
      <w:r w:rsidRPr="000135BE">
        <w:rPr>
          <w:rFonts w:asciiTheme="minorHAnsi" w:eastAsiaTheme="minorHAnsi" w:hAnsiTheme="minorHAnsi" w:cstheme="minorBidi"/>
        </w:rPr>
        <w:t xml:space="preserve">proposal </w:t>
      </w:r>
      <w:r w:rsidR="000549CD" w:rsidRPr="000135BE">
        <w:rPr>
          <w:rFonts w:asciiTheme="minorHAnsi" w:eastAsiaTheme="minorHAnsi" w:hAnsiTheme="minorHAnsi" w:cstheme="minorBidi"/>
        </w:rPr>
        <w:t>(COM(2016)283)</w:t>
      </w:r>
      <w:r w:rsidR="00FC0D0D">
        <w:rPr>
          <w:lang w:val="en-US"/>
        </w:rPr>
        <w:t xml:space="preserve"> </w:t>
      </w:r>
      <w:r w:rsidRPr="00481E8B">
        <w:rPr>
          <w:lang w:val="en-US"/>
        </w:rPr>
        <w:t>will help Member states to enforce EU law more efficiently and in a coordinated manner for cross border markets</w:t>
      </w:r>
      <w:r>
        <w:rPr>
          <w:lang w:val="en-US"/>
        </w:rPr>
        <w:t>.</w:t>
      </w:r>
      <w:r w:rsidRPr="00481E8B">
        <w:rPr>
          <w:lang w:val="en-US"/>
        </w:rPr>
        <w:t xml:space="preserve"> </w:t>
      </w:r>
      <w:r>
        <w:rPr>
          <w:lang w:val="en-US"/>
        </w:rPr>
        <w:t>This</w:t>
      </w:r>
      <w:r w:rsidRPr="00481E8B">
        <w:rPr>
          <w:lang w:val="en-US"/>
        </w:rPr>
        <w:t xml:space="preserve"> will in turn benefit consumers </w:t>
      </w:r>
      <w:r>
        <w:rPr>
          <w:lang w:val="en-US"/>
        </w:rPr>
        <w:t>by making market conditions safe when purchasing across borders</w:t>
      </w:r>
      <w:r w:rsidRPr="00481E8B">
        <w:rPr>
          <w:lang w:val="en-US"/>
        </w:rPr>
        <w:t xml:space="preserve">. </w:t>
      </w:r>
    </w:p>
    <w:p w:rsidR="009542E5" w:rsidRPr="00D26CC3" w:rsidRDefault="009542E5" w:rsidP="003A4CF7">
      <w:pPr>
        <w:pStyle w:val="ListParagraph"/>
        <w:numPr>
          <w:ilvl w:val="0"/>
          <w:numId w:val="24"/>
        </w:numPr>
        <w:spacing w:before="120" w:after="120"/>
        <w:ind w:left="714" w:hanging="357"/>
        <w:jc w:val="both"/>
        <w:rPr>
          <w:lang w:val="en-US"/>
        </w:rPr>
      </w:pPr>
      <w:r w:rsidRPr="001D1110">
        <w:rPr>
          <w:b/>
          <w:i/>
          <w:lang w:val="en"/>
        </w:rPr>
        <w:t>Brussels IIA Regulation</w:t>
      </w:r>
      <w:r w:rsidR="00FA769E" w:rsidRPr="001D1110">
        <w:rPr>
          <w:b/>
          <w:i/>
          <w:lang w:val="en"/>
        </w:rPr>
        <w:t xml:space="preserve"> (COM(2016)411</w:t>
      </w:r>
      <w:r w:rsidR="00FA769E" w:rsidRPr="001D1110">
        <w:rPr>
          <w:rFonts w:ascii="Times New Roman" w:hAnsi="Times New Roman"/>
          <w:b/>
          <w:i/>
          <w:noProof/>
        </w:rPr>
        <w:t>)</w:t>
      </w:r>
      <w:r w:rsidRPr="001D1110">
        <w:rPr>
          <w:b/>
          <w:i/>
          <w:lang w:val="en"/>
        </w:rPr>
        <w:t>:</w:t>
      </w:r>
      <w:r w:rsidRPr="00D26CC3">
        <w:rPr>
          <w:i/>
          <w:lang w:val="en"/>
        </w:rPr>
        <w:t xml:space="preserve"> </w:t>
      </w:r>
      <w:r>
        <w:rPr>
          <w:lang w:val="en-US"/>
        </w:rPr>
        <w:t>C</w:t>
      </w:r>
      <w:r w:rsidRPr="00DE08FC">
        <w:rPr>
          <w:lang w:val="en-US"/>
        </w:rPr>
        <w:t>itizens seeking</w:t>
      </w:r>
      <w:r w:rsidRPr="00D26CC3">
        <w:rPr>
          <w:lang w:val="en-US"/>
        </w:rPr>
        <w:t xml:space="preserve"> recognition and enforcement of </w:t>
      </w:r>
      <w:r w:rsidRPr="00DE08FC">
        <w:rPr>
          <w:lang w:val="en-US"/>
        </w:rPr>
        <w:t>judgments</w:t>
      </w:r>
      <w:r w:rsidRPr="00D26CC3">
        <w:rPr>
          <w:lang w:val="en-US"/>
        </w:rPr>
        <w:t xml:space="preserve"> </w:t>
      </w:r>
      <w:r w:rsidRPr="00DE08FC">
        <w:rPr>
          <w:lang w:val="en-US"/>
        </w:rPr>
        <w:t>in matrimonial</w:t>
      </w:r>
      <w:r w:rsidRPr="00D26CC3">
        <w:rPr>
          <w:lang w:val="en-US"/>
        </w:rPr>
        <w:t xml:space="preserve"> matters and matters of parental </w:t>
      </w:r>
      <w:r w:rsidRPr="00DE08FC">
        <w:rPr>
          <w:lang w:val="en-US"/>
        </w:rPr>
        <w:t xml:space="preserve">responsibility </w:t>
      </w:r>
      <w:r>
        <w:rPr>
          <w:lang w:val="en-US"/>
        </w:rPr>
        <w:t>will be able to reduce</w:t>
      </w:r>
      <w:r w:rsidRPr="003A3A62">
        <w:rPr>
          <w:lang w:val="en-US"/>
        </w:rPr>
        <w:t xml:space="preserve"> current average procedure costs of </w:t>
      </w:r>
      <w:r w:rsidR="0054733E">
        <w:rPr>
          <w:lang w:val="en-US"/>
        </w:rPr>
        <w:t>EUR</w:t>
      </w:r>
      <w:r w:rsidRPr="003A3A62">
        <w:rPr>
          <w:lang w:val="en-US"/>
        </w:rPr>
        <w:t xml:space="preserve"> 2,200</w:t>
      </w:r>
      <w:r>
        <w:rPr>
          <w:lang w:val="en-US"/>
        </w:rPr>
        <w:t xml:space="preserve"> considerably through the</w:t>
      </w:r>
      <w:r w:rsidRPr="00DE08FC">
        <w:rPr>
          <w:lang w:val="en-US"/>
        </w:rPr>
        <w:t xml:space="preserve"> </w:t>
      </w:r>
      <w:r w:rsidRPr="00D26CC3">
        <w:rPr>
          <w:lang w:val="en-US"/>
        </w:rPr>
        <w:t xml:space="preserve">abolition of the exequatur process (specific authorisation of enforcement of a </w:t>
      </w:r>
      <w:r w:rsidRPr="00DE08FC">
        <w:rPr>
          <w:lang w:val="en-US"/>
        </w:rPr>
        <w:t>judgment</w:t>
      </w:r>
      <w:r w:rsidRPr="00D26CC3">
        <w:rPr>
          <w:lang w:val="en-US"/>
        </w:rPr>
        <w:t>)</w:t>
      </w:r>
      <w:r>
        <w:rPr>
          <w:lang w:val="en-US"/>
        </w:rPr>
        <w:t xml:space="preserve">. </w:t>
      </w:r>
    </w:p>
    <w:p w:rsidR="00F672C2" w:rsidRDefault="009542E5" w:rsidP="001D423A">
      <w:pPr>
        <w:jc w:val="both"/>
        <w:rPr>
          <w:lang w:val="en"/>
        </w:rPr>
      </w:pPr>
      <w:r w:rsidRPr="001D1110">
        <w:rPr>
          <w:b/>
          <w:i/>
          <w:u w:val="single"/>
          <w:lang w:val="en"/>
        </w:rPr>
        <w:t>P</w:t>
      </w:r>
      <w:r w:rsidR="00FC0D0D" w:rsidRPr="001D1110">
        <w:rPr>
          <w:b/>
          <w:i/>
          <w:u w:val="single"/>
          <w:lang w:val="en"/>
        </w:rPr>
        <w:t>ending p</w:t>
      </w:r>
      <w:r w:rsidRPr="001D1110">
        <w:rPr>
          <w:b/>
          <w:i/>
          <w:u w:val="single"/>
          <w:lang w:val="en"/>
        </w:rPr>
        <w:t xml:space="preserve">roposals and </w:t>
      </w:r>
      <w:r w:rsidR="00FC0D0D" w:rsidRPr="001D1110">
        <w:rPr>
          <w:b/>
          <w:i/>
          <w:u w:val="single"/>
          <w:lang w:val="en"/>
        </w:rPr>
        <w:t xml:space="preserve">adopted </w:t>
      </w:r>
      <w:r w:rsidRPr="001D1110">
        <w:rPr>
          <w:b/>
          <w:i/>
          <w:u w:val="single"/>
          <w:lang w:val="en"/>
        </w:rPr>
        <w:t>legal acts</w:t>
      </w:r>
      <w:r w:rsidRPr="009542E5">
        <w:rPr>
          <w:b/>
          <w:i/>
          <w:lang w:val="en"/>
        </w:rPr>
        <w:t xml:space="preserve">: </w:t>
      </w:r>
      <w:r w:rsidRPr="009542E5">
        <w:rPr>
          <w:lang w:val="en"/>
        </w:rPr>
        <w:t>Three main legal acts have been adopted by Council and Parliament and are being implemented and another 5 proposals by the Commission are pending in legislative procedure.</w:t>
      </w:r>
      <w:r w:rsidR="003F2C3A">
        <w:rPr>
          <w:lang w:val="en"/>
        </w:rPr>
        <w:t xml:space="preserve"> </w:t>
      </w:r>
    </w:p>
    <w:p w:rsidR="009542E5" w:rsidRPr="009542E5" w:rsidRDefault="003F2C3A" w:rsidP="001D423A">
      <w:pPr>
        <w:jc w:val="both"/>
        <w:rPr>
          <w:lang w:val="en-US"/>
        </w:rPr>
      </w:pPr>
      <w:r>
        <w:rPr>
          <w:lang w:val="en"/>
        </w:rPr>
        <w:t>Th</w:t>
      </w:r>
      <w:r w:rsidR="00FC0D0D">
        <w:rPr>
          <w:lang w:val="en"/>
        </w:rPr>
        <w:t>ese</w:t>
      </w:r>
      <w:r>
        <w:rPr>
          <w:lang w:val="en"/>
        </w:rPr>
        <w:t xml:space="preserve"> include legislation on </w:t>
      </w:r>
      <w:r w:rsidR="009542E5" w:rsidRPr="001D1110">
        <w:rPr>
          <w:b/>
          <w:i/>
          <w:lang w:val="en"/>
        </w:rPr>
        <w:t>Personal Data Protection</w:t>
      </w:r>
      <w:r w:rsidR="00FC0D0D">
        <w:rPr>
          <w:i/>
          <w:lang w:val="en"/>
        </w:rPr>
        <w:t>.</w:t>
      </w:r>
      <w:r w:rsidR="00FC0D0D" w:rsidRPr="009542E5">
        <w:rPr>
          <w:i/>
          <w:lang w:val="en"/>
        </w:rPr>
        <w:t xml:space="preserve"> </w:t>
      </w:r>
      <w:r w:rsidR="009542E5" w:rsidRPr="009542E5">
        <w:t xml:space="preserve">Adopted in April 2016, a single European law for data protection will replace 28 national laws and lead to estimated savings of up to </w:t>
      </w:r>
      <w:r w:rsidR="0054733E">
        <w:t>EUR</w:t>
      </w:r>
      <w:r w:rsidR="009542E5" w:rsidRPr="009542E5">
        <w:t xml:space="preserve"> 2.3 billion per year.  The new EU law means direct benefits for citizens through better </w:t>
      </w:r>
      <w:r w:rsidR="009542E5" w:rsidRPr="009542E5">
        <w:rPr>
          <w:lang w:val="en-US"/>
        </w:rPr>
        <w:t>data protection and for businesses that will see their administrative burdens reduced and will be able to operate with one single legislative framework throughout the Union.</w:t>
      </w:r>
    </w:p>
    <w:p w:rsidR="00F672C2" w:rsidRPr="0040174B" w:rsidRDefault="00F672C2" w:rsidP="00F672C2">
      <w:pPr>
        <w:pBdr>
          <w:top w:val="single" w:sz="4" w:space="1" w:color="auto"/>
          <w:left w:val="single" w:sz="4" w:space="4" w:color="auto"/>
          <w:bottom w:val="single" w:sz="4" w:space="1" w:color="auto"/>
          <w:right w:val="single" w:sz="4" w:space="4" w:color="auto"/>
        </w:pBdr>
        <w:spacing w:before="120" w:after="120" w:line="240" w:lineRule="auto"/>
        <w:jc w:val="both"/>
        <w:rPr>
          <w:color w:val="1F497D"/>
          <w:lang w:val="en-US"/>
        </w:rPr>
      </w:pPr>
      <w:r w:rsidRPr="00D26CC3">
        <w:rPr>
          <w:rFonts w:cs="Arial"/>
          <w:b/>
          <w:i/>
        </w:rPr>
        <w:t>Joint Statement on the final adoption of the new EU rules for personal data protection</w:t>
      </w:r>
      <w:r>
        <w:rPr>
          <w:rFonts w:cs="Arial"/>
          <w:b/>
          <w:i/>
        </w:rPr>
        <w:t>:</w:t>
      </w:r>
      <w:r w:rsidRPr="00D26CC3">
        <w:rPr>
          <w:lang w:val="en-US"/>
        </w:rPr>
        <w:t xml:space="preserve"> </w:t>
      </w:r>
      <w:r>
        <w:rPr>
          <w:i/>
          <w:lang w:val="en-US"/>
        </w:rPr>
        <w:t>"</w:t>
      </w:r>
      <w:r w:rsidRPr="00D26CC3">
        <w:rPr>
          <w:i/>
          <w:lang w:val="en-US"/>
        </w:rPr>
        <w:t>The new rules will ensure that the fundamental right to personal data protection is guaranteed for all. The General Data Protection Regulation will help stimulate the Digital Single Market in the EU by fostering trust in online services by consumers and legal certainty for businesses based on clear and uniform rules. These rules are for the benefit of everyone in the EU. Individuals must be empowered: they must know what their rights are, and know how to defend their rights if they feel they are not respected. Our work in creating first-rate data protection rules providing for the world's highest standard of protection is complete. Now we must work together to implement these new standards across the EU so citizens and businesses can enjoy the benefits as soon as possible."</w:t>
      </w:r>
      <w:r>
        <w:rPr>
          <w:i/>
          <w:lang w:val="en-US"/>
        </w:rPr>
        <w:t xml:space="preserve"> </w:t>
      </w:r>
      <w:r>
        <w:rPr>
          <w:b/>
          <w:bCs/>
          <w:i/>
        </w:rPr>
        <w:t xml:space="preserve">Joint Statement by </w:t>
      </w:r>
      <w:r>
        <w:rPr>
          <w:b/>
          <w:bCs/>
          <w:i/>
          <w:lang w:val="en-US"/>
        </w:rPr>
        <w:t xml:space="preserve">First Vice President Frans Timmermans, Vice President Andrus Ansip and </w:t>
      </w:r>
      <w:r w:rsidRPr="00BF02F6">
        <w:rPr>
          <w:b/>
          <w:bCs/>
          <w:i/>
          <w:lang w:val="en-US"/>
        </w:rPr>
        <w:t>Commissioner Vera Jourova</w:t>
      </w:r>
      <w:r>
        <w:rPr>
          <w:b/>
          <w:bCs/>
          <w:i/>
          <w:lang w:val="en-US"/>
        </w:rPr>
        <w:t xml:space="preserve"> </w:t>
      </w:r>
      <w:hyperlink r:id="rId25" w:history="1">
        <w:r w:rsidRPr="0040174B">
          <w:rPr>
            <w:rStyle w:val="Hyperlink"/>
            <w:lang w:val="en-US"/>
          </w:rPr>
          <w:t>http://europa.eu/rapid/press-release_STATEMENT-16-1403_en.htm</w:t>
        </w:r>
      </w:hyperlink>
      <w:r w:rsidRPr="0040174B">
        <w:rPr>
          <w:color w:val="1F497D"/>
          <w:lang w:val="en-US"/>
        </w:rPr>
        <w:t xml:space="preserve"> )</w:t>
      </w:r>
    </w:p>
    <w:p w:rsidR="009542E5" w:rsidRPr="009542E5" w:rsidRDefault="00F672C2" w:rsidP="001D423A">
      <w:pPr>
        <w:spacing w:before="120" w:after="120"/>
        <w:jc w:val="both"/>
        <w:textAlignment w:val="top"/>
        <w:rPr>
          <w:lang w:val="en"/>
        </w:rPr>
      </w:pPr>
      <w:r>
        <w:br/>
      </w:r>
      <w:r w:rsidR="009542E5" w:rsidRPr="001D1110">
        <w:rPr>
          <w:b/>
          <w:i/>
          <w:u w:val="single"/>
          <w:lang w:val="en"/>
        </w:rPr>
        <w:t xml:space="preserve">Implementation on the </w:t>
      </w:r>
      <w:r w:rsidR="00154737" w:rsidRPr="001D1110">
        <w:rPr>
          <w:b/>
          <w:i/>
          <w:u w:val="single"/>
          <w:lang w:val="en"/>
        </w:rPr>
        <w:t>g</w:t>
      </w:r>
      <w:r w:rsidR="009542E5" w:rsidRPr="001D1110">
        <w:rPr>
          <w:b/>
          <w:i/>
          <w:u w:val="single"/>
          <w:lang w:val="en"/>
        </w:rPr>
        <w:t>round</w:t>
      </w:r>
      <w:r w:rsidR="009542E5" w:rsidRPr="009542E5">
        <w:rPr>
          <w:b/>
          <w:i/>
          <w:lang w:val="en"/>
        </w:rPr>
        <w:t>:</w:t>
      </w:r>
      <w:r w:rsidR="009542E5" w:rsidRPr="009542E5">
        <w:rPr>
          <w:lang w:val="en"/>
        </w:rPr>
        <w:t xml:space="preserve"> </w:t>
      </w:r>
      <w:r w:rsidR="000B0117">
        <w:rPr>
          <w:lang w:val="en"/>
        </w:rPr>
        <w:t>t</w:t>
      </w:r>
      <w:r w:rsidR="009542E5" w:rsidRPr="009542E5">
        <w:rPr>
          <w:lang w:val="en"/>
        </w:rPr>
        <w:t xml:space="preserve">wo </w:t>
      </w:r>
      <w:r w:rsidR="000B0117">
        <w:rPr>
          <w:lang w:val="en"/>
        </w:rPr>
        <w:t xml:space="preserve">REFIT initiatives have reached the stage of implementation by </w:t>
      </w:r>
      <w:r w:rsidR="009542E5" w:rsidRPr="009542E5">
        <w:rPr>
          <w:lang w:val="en"/>
        </w:rPr>
        <w:t>Member States:</w:t>
      </w:r>
    </w:p>
    <w:p w:rsidR="009542E5" w:rsidRPr="009542E5" w:rsidRDefault="009542E5" w:rsidP="003A4CF7">
      <w:pPr>
        <w:pStyle w:val="ListParagraph"/>
        <w:numPr>
          <w:ilvl w:val="0"/>
          <w:numId w:val="23"/>
        </w:numPr>
        <w:ind w:left="714" w:hanging="357"/>
        <w:jc w:val="both"/>
        <w:rPr>
          <w:rFonts w:asciiTheme="minorHAnsi" w:hAnsiTheme="minorHAnsi"/>
          <w:lang w:val="en-US"/>
        </w:rPr>
      </w:pPr>
      <w:r w:rsidRPr="001D1110">
        <w:rPr>
          <w:rFonts w:asciiTheme="minorHAnsi" w:hAnsiTheme="minorHAnsi"/>
          <w:b/>
          <w:i/>
        </w:rPr>
        <w:t>Package Travel</w:t>
      </w:r>
      <w:r w:rsidRPr="009542E5">
        <w:rPr>
          <w:rFonts w:asciiTheme="minorHAnsi" w:hAnsiTheme="minorHAnsi"/>
          <w:i/>
        </w:rPr>
        <w:t>:</w:t>
      </w:r>
      <w:r w:rsidRPr="009542E5">
        <w:rPr>
          <w:rFonts w:asciiTheme="minorHAnsi" w:hAnsiTheme="minorHAnsi"/>
        </w:rPr>
        <w:t xml:space="preserve"> The Directive is estimated to save consumers </w:t>
      </w:r>
      <w:r w:rsidR="0054733E">
        <w:rPr>
          <w:rFonts w:asciiTheme="minorHAnsi" w:hAnsiTheme="minorHAnsi"/>
          <w:lang w:val="en-US"/>
        </w:rPr>
        <w:t>EUR</w:t>
      </w:r>
      <w:r w:rsidR="00FA769E">
        <w:rPr>
          <w:rFonts w:asciiTheme="minorHAnsi" w:hAnsiTheme="minorHAnsi"/>
          <w:lang w:val="en-US"/>
        </w:rPr>
        <w:t xml:space="preserve"> </w:t>
      </w:r>
      <w:r w:rsidRPr="009542E5">
        <w:rPr>
          <w:rFonts w:asciiTheme="minorHAnsi" w:hAnsiTheme="minorHAnsi"/>
          <w:lang w:val="en-US"/>
        </w:rPr>
        <w:t xml:space="preserve">430 million/year by reinforcing their rights. </w:t>
      </w:r>
      <w:r w:rsidRPr="009542E5">
        <w:rPr>
          <w:rFonts w:asciiTheme="minorHAnsi" w:eastAsia="Times New Roman" w:hAnsiTheme="minorHAnsi"/>
          <w:noProof/>
        </w:rPr>
        <w:t xml:space="preserve">Simplification and cutting red-tape measures are expected to reduce costs for businesses by  </w:t>
      </w:r>
      <w:r w:rsidR="0054733E">
        <w:rPr>
          <w:rFonts w:asciiTheme="minorHAnsi" w:eastAsia="Times New Roman" w:hAnsiTheme="minorHAnsi"/>
          <w:noProof/>
        </w:rPr>
        <w:t>EUR</w:t>
      </w:r>
      <w:r w:rsidR="00FA769E">
        <w:rPr>
          <w:rFonts w:asciiTheme="minorHAnsi" w:eastAsia="Times New Roman" w:hAnsiTheme="minorHAnsi"/>
          <w:noProof/>
        </w:rPr>
        <w:t xml:space="preserve"> </w:t>
      </w:r>
      <w:r w:rsidRPr="009542E5">
        <w:rPr>
          <w:rFonts w:asciiTheme="minorHAnsi" w:eastAsia="Times New Roman" w:hAnsiTheme="minorHAnsi"/>
          <w:noProof/>
        </w:rPr>
        <w:t xml:space="preserve">475 million per year. </w:t>
      </w:r>
    </w:p>
    <w:p w:rsidR="009542E5" w:rsidRPr="00D26CC3" w:rsidRDefault="009542E5" w:rsidP="003A4CF7">
      <w:pPr>
        <w:pStyle w:val="ListParagraph"/>
        <w:numPr>
          <w:ilvl w:val="0"/>
          <w:numId w:val="23"/>
        </w:numPr>
        <w:spacing w:before="120" w:after="120"/>
        <w:ind w:left="714" w:hanging="357"/>
        <w:jc w:val="both"/>
        <w:rPr>
          <w:rFonts w:asciiTheme="minorHAnsi" w:hAnsiTheme="minorHAnsi"/>
        </w:rPr>
      </w:pPr>
      <w:r w:rsidRPr="001D1110">
        <w:rPr>
          <w:rFonts w:asciiTheme="minorHAnsi" w:hAnsiTheme="minorHAnsi"/>
          <w:b/>
          <w:i/>
          <w:lang w:val="en-US"/>
        </w:rPr>
        <w:t>Small Claims</w:t>
      </w:r>
      <w:r w:rsidRPr="009542E5">
        <w:rPr>
          <w:rFonts w:asciiTheme="minorHAnsi" w:hAnsiTheme="minorHAnsi"/>
          <w:i/>
          <w:lang w:val="en-US"/>
        </w:rPr>
        <w:t>:</w:t>
      </w:r>
      <w:r w:rsidRPr="009542E5">
        <w:rPr>
          <w:rFonts w:asciiTheme="minorHAnsi" w:hAnsiTheme="minorHAnsi"/>
          <w:lang w:val="en-US"/>
        </w:rPr>
        <w:t xml:space="preserve"> </w:t>
      </w:r>
      <w:r w:rsidRPr="009542E5">
        <w:rPr>
          <w:rFonts w:asciiTheme="minorHAnsi" w:hAnsiTheme="minorHAnsi"/>
        </w:rPr>
        <w:t xml:space="preserve">The Regulation on small claims allows for a simplified and accelerated civil procedure for cross-border claims up to a certain maximum value. The Regulation was estimated to reduce </w:t>
      </w:r>
      <w:r w:rsidR="000B0117">
        <w:rPr>
          <w:rFonts w:asciiTheme="minorHAnsi" w:hAnsiTheme="minorHAnsi"/>
        </w:rPr>
        <w:t xml:space="preserve">average </w:t>
      </w:r>
      <w:r w:rsidRPr="009542E5">
        <w:rPr>
          <w:rFonts w:asciiTheme="minorHAnsi" w:hAnsiTheme="minorHAnsi"/>
        </w:rPr>
        <w:t xml:space="preserve">court proceeding costs by </w:t>
      </w:r>
      <w:r w:rsidR="0054733E">
        <w:rPr>
          <w:rFonts w:asciiTheme="minorHAnsi" w:hAnsiTheme="minorHAnsi"/>
        </w:rPr>
        <w:t>EUR</w:t>
      </w:r>
      <w:r w:rsidR="00FA769E">
        <w:rPr>
          <w:rFonts w:asciiTheme="minorHAnsi" w:hAnsiTheme="minorHAnsi"/>
        </w:rPr>
        <w:t xml:space="preserve"> </w:t>
      </w:r>
      <w:r w:rsidRPr="009542E5">
        <w:rPr>
          <w:rFonts w:asciiTheme="minorHAnsi" w:hAnsiTheme="minorHAnsi"/>
        </w:rPr>
        <w:t xml:space="preserve">1,250 </w:t>
      </w:r>
      <w:r w:rsidR="000B0117">
        <w:rPr>
          <w:rFonts w:asciiTheme="minorHAnsi" w:hAnsiTheme="minorHAnsi"/>
        </w:rPr>
        <w:t xml:space="preserve">for any </w:t>
      </w:r>
      <w:r w:rsidRPr="009542E5">
        <w:rPr>
          <w:rFonts w:asciiTheme="minorHAnsi" w:hAnsiTheme="minorHAnsi"/>
        </w:rPr>
        <w:t xml:space="preserve">case which would otherwise have to be dealt with under national ordinary civil proceedings. The </w:t>
      </w:r>
      <w:r w:rsidRPr="00B3582B">
        <w:rPr>
          <w:rFonts w:asciiTheme="minorHAnsi" w:hAnsiTheme="minorHAnsi"/>
        </w:rPr>
        <w:t xml:space="preserve">use of </w:t>
      </w:r>
      <w:r w:rsidRPr="001D423A">
        <w:rPr>
          <w:rFonts w:asciiTheme="minorHAnsi" w:hAnsiTheme="minorHAnsi"/>
        </w:rPr>
        <w:t>modern communication</w:t>
      </w:r>
      <w:r w:rsidRPr="00B3582B">
        <w:rPr>
          <w:rFonts w:asciiTheme="minorHAnsi" w:hAnsiTheme="minorHAnsi"/>
        </w:rPr>
        <w:t xml:space="preserve"> </w:t>
      </w:r>
      <w:r w:rsidRPr="00F672C2">
        <w:rPr>
          <w:rFonts w:asciiTheme="minorHAnsi" w:hAnsiTheme="minorHAnsi"/>
        </w:rPr>
        <w:t xml:space="preserve">technologies </w:t>
      </w:r>
      <w:r w:rsidR="003F2C3A" w:rsidRPr="00F672C2">
        <w:rPr>
          <w:rFonts w:asciiTheme="minorHAnsi" w:hAnsiTheme="minorHAnsi"/>
        </w:rPr>
        <w:t xml:space="preserve">promoted by the new Regulation </w:t>
      </w:r>
      <w:r w:rsidRPr="001D423A">
        <w:rPr>
          <w:rFonts w:asciiTheme="minorHAnsi" w:hAnsiTheme="minorHAnsi"/>
        </w:rPr>
        <w:t>could reduce</w:t>
      </w:r>
      <w:r w:rsidRPr="009542E5">
        <w:rPr>
          <w:rFonts w:asciiTheme="minorHAnsi" w:hAnsiTheme="minorHAnsi"/>
        </w:rPr>
        <w:t xml:space="preserve"> costs of proceedings further by between </w:t>
      </w:r>
      <w:r w:rsidR="0054733E">
        <w:rPr>
          <w:rFonts w:asciiTheme="minorHAnsi" w:hAnsiTheme="minorHAnsi"/>
        </w:rPr>
        <w:t>EUR</w:t>
      </w:r>
      <w:r w:rsidR="00FA769E">
        <w:rPr>
          <w:rFonts w:asciiTheme="minorHAnsi" w:hAnsiTheme="minorHAnsi"/>
        </w:rPr>
        <w:t xml:space="preserve"> </w:t>
      </w:r>
      <w:r w:rsidRPr="009542E5">
        <w:rPr>
          <w:rFonts w:asciiTheme="minorHAnsi" w:hAnsiTheme="minorHAnsi"/>
        </w:rPr>
        <w:t xml:space="preserve">300 and </w:t>
      </w:r>
      <w:r w:rsidR="0054733E">
        <w:rPr>
          <w:rFonts w:asciiTheme="minorHAnsi" w:hAnsiTheme="minorHAnsi"/>
        </w:rPr>
        <w:t>EUR</w:t>
      </w:r>
      <w:r w:rsidR="00FA769E">
        <w:rPr>
          <w:rFonts w:asciiTheme="minorHAnsi" w:hAnsiTheme="minorHAnsi"/>
        </w:rPr>
        <w:t xml:space="preserve"> </w:t>
      </w:r>
      <w:r w:rsidRPr="009542E5">
        <w:rPr>
          <w:rFonts w:asciiTheme="minorHAnsi" w:hAnsiTheme="minorHAnsi"/>
        </w:rPr>
        <w:t xml:space="preserve">700 per case and shorten court proceedings by 9 days on average. The Commission proposed application of this procedure </w:t>
      </w:r>
      <w:r w:rsidRPr="009542E5">
        <w:rPr>
          <w:rFonts w:asciiTheme="minorHAnsi" w:hAnsiTheme="minorHAnsi"/>
        </w:rPr>
        <w:lastRenderedPageBreak/>
        <w:t xml:space="preserve">for claims up to a threshold of </w:t>
      </w:r>
      <w:r w:rsidR="00FA769E">
        <w:rPr>
          <w:rFonts w:asciiTheme="minorHAnsi" w:hAnsiTheme="minorHAnsi"/>
        </w:rPr>
        <w:t xml:space="preserve">EUR </w:t>
      </w:r>
      <w:r w:rsidRPr="009542E5">
        <w:rPr>
          <w:rFonts w:asciiTheme="minorHAnsi" w:hAnsiTheme="minorHAnsi"/>
        </w:rPr>
        <w:t>10.000</w:t>
      </w:r>
      <w:r>
        <w:rPr>
          <w:rFonts w:asciiTheme="minorHAnsi" w:hAnsiTheme="minorHAnsi"/>
        </w:rPr>
        <w:t>.</w:t>
      </w:r>
      <w:r w:rsidRPr="00D26CC3">
        <w:rPr>
          <w:rFonts w:asciiTheme="minorHAnsi" w:hAnsiTheme="minorHAnsi"/>
        </w:rPr>
        <w:t xml:space="preserve"> </w:t>
      </w:r>
      <w:r>
        <w:rPr>
          <w:rFonts w:asciiTheme="minorHAnsi" w:hAnsiTheme="minorHAnsi"/>
        </w:rPr>
        <w:t>T</w:t>
      </w:r>
      <w:r w:rsidRPr="00D26CC3">
        <w:rPr>
          <w:rFonts w:asciiTheme="minorHAnsi" w:hAnsiTheme="minorHAnsi"/>
        </w:rPr>
        <w:t xml:space="preserve">his was reduced by the legislator to </w:t>
      </w:r>
      <w:r w:rsidR="00FA769E">
        <w:rPr>
          <w:rFonts w:asciiTheme="minorHAnsi" w:hAnsiTheme="minorHAnsi"/>
        </w:rPr>
        <w:t xml:space="preserve">EUR </w:t>
      </w:r>
      <w:r w:rsidRPr="00D26CC3">
        <w:rPr>
          <w:rFonts w:asciiTheme="minorHAnsi" w:hAnsiTheme="minorHAnsi"/>
        </w:rPr>
        <w:t>5.000 with the result that e</w:t>
      </w:r>
      <w:r>
        <w:rPr>
          <w:rFonts w:asciiTheme="minorHAnsi" w:hAnsiTheme="minorHAnsi"/>
        </w:rPr>
        <w:t xml:space="preserve">stimated </w:t>
      </w:r>
      <w:r w:rsidRPr="00D26CC3">
        <w:rPr>
          <w:rFonts w:asciiTheme="minorHAnsi" w:hAnsiTheme="minorHAnsi"/>
        </w:rPr>
        <w:t xml:space="preserve">savings </w:t>
      </w:r>
      <w:r>
        <w:rPr>
          <w:rFonts w:asciiTheme="minorHAnsi" w:hAnsiTheme="minorHAnsi"/>
        </w:rPr>
        <w:t>may</w:t>
      </w:r>
      <w:r w:rsidRPr="00D26CC3">
        <w:rPr>
          <w:rFonts w:asciiTheme="minorHAnsi" w:hAnsiTheme="minorHAnsi"/>
        </w:rPr>
        <w:t xml:space="preserve"> not be fully re</w:t>
      </w:r>
      <w:r>
        <w:rPr>
          <w:rFonts w:asciiTheme="minorHAnsi" w:hAnsiTheme="minorHAnsi"/>
        </w:rPr>
        <w:t>alized</w:t>
      </w:r>
      <w:r w:rsidRPr="00D26CC3">
        <w:rPr>
          <w:rFonts w:asciiTheme="minorHAnsi" w:hAnsiTheme="minorHAnsi"/>
        </w:rPr>
        <w:t>.</w:t>
      </w:r>
    </w:p>
    <w:p w:rsidR="00D33114" w:rsidRDefault="00D33114"/>
    <w:p w:rsidR="00621878" w:rsidRDefault="00621878"/>
    <w:p w:rsidR="00621878" w:rsidRDefault="00621878"/>
    <w:p w:rsidR="00621878" w:rsidRDefault="00621878">
      <w:r>
        <w:br w:type="page"/>
      </w:r>
    </w:p>
    <w:p w:rsidR="00621878" w:rsidRPr="00393F1B" w:rsidRDefault="00621878" w:rsidP="00393F1B">
      <w:pPr>
        <w:pStyle w:val="Heading1"/>
      </w:pPr>
      <w:bookmarkStart w:id="10" w:name="_Toc465076236"/>
      <w:r w:rsidRPr="00273A79">
        <w:lastRenderedPageBreak/>
        <w:t>Priority 8: Towards a New Policy on Migration</w:t>
      </w:r>
      <w:bookmarkEnd w:id="10"/>
    </w:p>
    <w:p w:rsidR="00BA7223" w:rsidRDefault="00BA7223" w:rsidP="00273A79">
      <w:pPr>
        <w:jc w:val="both"/>
        <w:rPr>
          <w:rFonts w:asciiTheme="majorHAnsi" w:hAnsiTheme="majorHAnsi"/>
          <w:b/>
          <w:color w:val="365F91" w:themeColor="accent1" w:themeShade="BF"/>
          <w:sz w:val="28"/>
          <w:szCs w:val="28"/>
        </w:rPr>
      </w:pPr>
    </w:p>
    <w:p w:rsidR="00621878" w:rsidRPr="00273A79" w:rsidRDefault="00621878" w:rsidP="00273A79">
      <w:pPr>
        <w:jc w:val="both"/>
        <w:rPr>
          <w:rFonts w:asciiTheme="majorHAnsi" w:hAnsiTheme="majorHAnsi"/>
          <w:b/>
          <w:color w:val="365F91" w:themeColor="accent1" w:themeShade="BF"/>
          <w:sz w:val="28"/>
          <w:szCs w:val="28"/>
        </w:rPr>
      </w:pPr>
      <w:r w:rsidRPr="00273A79">
        <w:rPr>
          <w:rFonts w:asciiTheme="majorHAnsi" w:hAnsiTheme="majorHAnsi"/>
          <w:b/>
          <w:color w:val="365F91" w:themeColor="accent1" w:themeShade="BF"/>
          <w:sz w:val="28"/>
          <w:szCs w:val="28"/>
        </w:rPr>
        <w:t>1.</w:t>
      </w:r>
      <w:r w:rsidRPr="00273A79">
        <w:rPr>
          <w:rFonts w:asciiTheme="majorHAnsi" w:hAnsiTheme="majorHAnsi"/>
          <w:b/>
          <w:color w:val="365F91" w:themeColor="accent1" w:themeShade="BF"/>
          <w:sz w:val="28"/>
          <w:szCs w:val="28"/>
        </w:rPr>
        <w:tab/>
        <w:t>Context</w:t>
      </w:r>
    </w:p>
    <w:p w:rsidR="00621878" w:rsidRDefault="00F328D8" w:rsidP="00273A79">
      <w:pPr>
        <w:jc w:val="both"/>
      </w:pPr>
      <w:r>
        <w:t>Under the European Agend</w:t>
      </w:r>
      <w:r w:rsidR="00F672C2">
        <w:t>a</w:t>
      </w:r>
      <w:r>
        <w:t xml:space="preserve"> on Migration, the Commission has worked with the European </w:t>
      </w:r>
      <w:r w:rsidR="00080980">
        <w:t>P</w:t>
      </w:r>
      <w:r>
        <w:t>arliament, the Council and the Member States to enable a swift coordinated response to the refugee crisis and to outline a long-term framework based on solidarity and responsibility</w:t>
      </w:r>
      <w:r w:rsidR="00621878">
        <w:t>. Regulatory Fitness contribute</w:t>
      </w:r>
      <w:r w:rsidR="00DC32ED">
        <w:t>s</w:t>
      </w:r>
      <w:r w:rsidR="00621878">
        <w:t xml:space="preserve"> to th</w:t>
      </w:r>
      <w:r>
        <w:t>ese</w:t>
      </w:r>
      <w:r w:rsidR="00621878">
        <w:t xml:space="preserve"> objective</w:t>
      </w:r>
      <w:r>
        <w:t>s</w:t>
      </w:r>
      <w:r w:rsidR="00621878">
        <w:t xml:space="preserve"> by ensuring that the current EU acquis on migration remains fit for purpose; that opportunities for simplification are used and that costs and burdens are reduced while the benefits of EU law are maintained.</w:t>
      </w:r>
    </w:p>
    <w:p w:rsidR="00621878" w:rsidRPr="00273A79" w:rsidRDefault="00621878" w:rsidP="00273A79">
      <w:pPr>
        <w:jc w:val="both"/>
        <w:rPr>
          <w:rFonts w:asciiTheme="majorHAnsi" w:hAnsiTheme="majorHAnsi"/>
          <w:b/>
          <w:color w:val="365F91" w:themeColor="accent1" w:themeShade="BF"/>
          <w:sz w:val="28"/>
          <w:szCs w:val="28"/>
        </w:rPr>
      </w:pPr>
      <w:r w:rsidRPr="00273A79">
        <w:rPr>
          <w:rFonts w:asciiTheme="majorHAnsi" w:hAnsiTheme="majorHAnsi"/>
          <w:b/>
          <w:color w:val="365F91" w:themeColor="accent1" w:themeShade="BF"/>
          <w:sz w:val="28"/>
          <w:szCs w:val="28"/>
        </w:rPr>
        <w:t>2.</w:t>
      </w:r>
      <w:r w:rsidRPr="00273A79">
        <w:rPr>
          <w:rFonts w:asciiTheme="majorHAnsi" w:hAnsiTheme="majorHAnsi"/>
          <w:b/>
          <w:color w:val="365F91" w:themeColor="accent1" w:themeShade="BF"/>
          <w:sz w:val="28"/>
          <w:szCs w:val="28"/>
        </w:rPr>
        <w:tab/>
        <w:t>New REFIT Initiatives</w:t>
      </w:r>
    </w:p>
    <w:p w:rsidR="00621878" w:rsidRDefault="00621878" w:rsidP="00273A79">
      <w:pPr>
        <w:jc w:val="both"/>
      </w:pPr>
      <w:r w:rsidRPr="001D1110">
        <w:rPr>
          <w:b/>
          <w:i/>
          <w:u w:val="single"/>
        </w:rPr>
        <w:t>Commission Work Programme 2017</w:t>
      </w:r>
      <w:r>
        <w:t xml:space="preserve">: In 2017, the Commission will carry-out </w:t>
      </w:r>
      <w:r w:rsidR="00860B4D">
        <w:t xml:space="preserve">a </w:t>
      </w:r>
      <w:r>
        <w:t>legislative revision of the Visa Information System (VIS)</w:t>
      </w:r>
      <w:r w:rsidR="00305213">
        <w:t xml:space="preserve"> following up on the results of an evaluation</w:t>
      </w:r>
      <w:r>
        <w:t>.</w:t>
      </w:r>
      <w:r w:rsidR="00080980">
        <w:t xml:space="preserve"> </w:t>
      </w:r>
      <w:r w:rsidR="00080980" w:rsidRPr="00080980">
        <w:t xml:space="preserve">A </w:t>
      </w:r>
      <w:r w:rsidR="00080980">
        <w:t xml:space="preserve">comprehensive </w:t>
      </w:r>
      <w:r w:rsidR="00080980" w:rsidRPr="00080980">
        <w:t xml:space="preserve">Fitness Check on legislation in the area of legal migration will </w:t>
      </w:r>
      <w:r w:rsidR="00080980">
        <w:t xml:space="preserve">also </w:t>
      </w:r>
      <w:r w:rsidR="00080980" w:rsidRPr="00080980">
        <w:t>start in 2017.</w:t>
      </w:r>
    </w:p>
    <w:p w:rsidR="00305213" w:rsidRDefault="00305213" w:rsidP="000135BE">
      <w:pPr>
        <w:pStyle w:val="ListParagraph"/>
        <w:numPr>
          <w:ilvl w:val="0"/>
          <w:numId w:val="49"/>
        </w:numPr>
        <w:jc w:val="both"/>
      </w:pPr>
      <w:r w:rsidRPr="001D1110">
        <w:rPr>
          <w:b/>
          <w:i/>
        </w:rPr>
        <w:t>Visa Information System</w:t>
      </w:r>
      <w:r>
        <w:t>: The evaluation of the Visa Information System completed in October 2016 found that the costs of setting up the VIS were outweighed by the gains brought by the system in terms of simplifying the visa procedure. At the same time the evaluation showed that Member States need to do more to implement the VIS in order to reap its full benefits and it recommends that the VIS regulatory framework is updated to respond to new challenges in visa, border and security policies.</w:t>
      </w:r>
    </w:p>
    <w:p w:rsidR="00621878" w:rsidRPr="00273A79" w:rsidRDefault="00621878" w:rsidP="00273A79">
      <w:pPr>
        <w:jc w:val="both"/>
        <w:rPr>
          <w:rFonts w:asciiTheme="majorHAnsi" w:hAnsiTheme="majorHAnsi"/>
          <w:b/>
          <w:color w:val="365F91" w:themeColor="accent1" w:themeShade="BF"/>
          <w:sz w:val="28"/>
          <w:szCs w:val="28"/>
        </w:rPr>
      </w:pPr>
      <w:r w:rsidRPr="00273A79">
        <w:rPr>
          <w:rFonts w:asciiTheme="majorHAnsi" w:hAnsiTheme="majorHAnsi"/>
          <w:b/>
          <w:color w:val="365F91" w:themeColor="accent1" w:themeShade="BF"/>
          <w:sz w:val="28"/>
          <w:szCs w:val="28"/>
        </w:rPr>
        <w:t>3.</w:t>
      </w:r>
      <w:r w:rsidRPr="00273A79">
        <w:rPr>
          <w:rFonts w:asciiTheme="majorHAnsi" w:hAnsiTheme="majorHAnsi"/>
          <w:b/>
          <w:color w:val="365F91" w:themeColor="accent1" w:themeShade="BF"/>
          <w:sz w:val="28"/>
          <w:szCs w:val="28"/>
        </w:rPr>
        <w:tab/>
        <w:t>Progress and Results</w:t>
      </w:r>
    </w:p>
    <w:p w:rsidR="00621878" w:rsidRDefault="00621878" w:rsidP="00273A79">
      <w:pPr>
        <w:jc w:val="both"/>
      </w:pPr>
      <w:r w:rsidRPr="001D1110">
        <w:rPr>
          <w:b/>
          <w:i/>
          <w:u w:val="single"/>
        </w:rPr>
        <w:t>Evaluations</w:t>
      </w:r>
      <w:r w:rsidR="00305213" w:rsidRPr="001D1110">
        <w:rPr>
          <w:b/>
          <w:i/>
          <w:u w:val="single"/>
        </w:rPr>
        <w:t xml:space="preserve"> and </w:t>
      </w:r>
      <w:r w:rsidR="00154737" w:rsidRPr="001D1110">
        <w:rPr>
          <w:b/>
          <w:i/>
          <w:u w:val="single"/>
        </w:rPr>
        <w:t>f</w:t>
      </w:r>
      <w:r w:rsidR="00305213" w:rsidRPr="001D1110">
        <w:rPr>
          <w:b/>
          <w:i/>
          <w:u w:val="single"/>
        </w:rPr>
        <w:t>ollow-</w:t>
      </w:r>
      <w:r w:rsidR="00154737" w:rsidRPr="001D1110">
        <w:rPr>
          <w:b/>
          <w:i/>
          <w:u w:val="single"/>
        </w:rPr>
        <w:t>u</w:t>
      </w:r>
      <w:r w:rsidR="00305213" w:rsidRPr="001D1110">
        <w:rPr>
          <w:b/>
          <w:i/>
          <w:u w:val="single"/>
        </w:rPr>
        <w:t>p</w:t>
      </w:r>
      <w:r w:rsidRPr="001D1110">
        <w:rPr>
          <w:u w:val="single"/>
        </w:rPr>
        <w:t>:</w:t>
      </w:r>
      <w:r>
        <w:t xml:space="preserve"> </w:t>
      </w:r>
      <w:r w:rsidR="00305213">
        <w:t>An</w:t>
      </w:r>
      <w:r w:rsidR="00080980">
        <w:t xml:space="preserve"> evaluation </w:t>
      </w:r>
      <w:r>
        <w:t xml:space="preserve">of the legislation </w:t>
      </w:r>
      <w:r w:rsidR="00DC32ED">
        <w:t xml:space="preserve"> on </w:t>
      </w:r>
      <w:r>
        <w:t xml:space="preserve">unauthorized entry, transit and residence is expected to be completed before the end of 2016. </w:t>
      </w:r>
    </w:p>
    <w:p w:rsidR="00621878" w:rsidRDefault="009F7FE5" w:rsidP="009618D8">
      <w:pPr>
        <w:jc w:val="both"/>
      </w:pPr>
      <w:r w:rsidRPr="001D1110">
        <w:rPr>
          <w:b/>
          <w:i/>
          <w:u w:val="single"/>
        </w:rPr>
        <w:t xml:space="preserve">Pending proposals </w:t>
      </w:r>
      <w:r w:rsidR="00621878" w:rsidRPr="001D1110">
        <w:rPr>
          <w:b/>
          <w:i/>
          <w:u w:val="single"/>
        </w:rPr>
        <w:t xml:space="preserve">and </w:t>
      </w:r>
      <w:r w:rsidRPr="001D1110">
        <w:rPr>
          <w:b/>
          <w:i/>
          <w:u w:val="single"/>
        </w:rPr>
        <w:t xml:space="preserve">adopted </w:t>
      </w:r>
      <w:r w:rsidR="00621878" w:rsidRPr="001D1110">
        <w:rPr>
          <w:b/>
          <w:i/>
          <w:u w:val="single"/>
        </w:rPr>
        <w:t>legal acts</w:t>
      </w:r>
      <w:r w:rsidR="00621878">
        <w:t>: While legal acts codifying the Schengen Borders Code and on Entry and stay in the EU for third-country nationals students, researchers and other groups have been adopted by the legislator in 2016, the Commission proposal on a revision of the Visa Code made in 2014 remains pending in legislative procedure.</w:t>
      </w:r>
      <w:r w:rsidR="0021697D">
        <w:t xml:space="preserve"> </w:t>
      </w:r>
    </w:p>
    <w:p w:rsidR="00621878" w:rsidRDefault="00621878" w:rsidP="009618D8">
      <w:pPr>
        <w:pStyle w:val="ListParagraph"/>
        <w:numPr>
          <w:ilvl w:val="0"/>
          <w:numId w:val="46"/>
        </w:numPr>
        <w:jc w:val="both"/>
      </w:pPr>
      <w:r w:rsidRPr="001D1110">
        <w:rPr>
          <w:b/>
          <w:i/>
        </w:rPr>
        <w:t>Revision of the Visa Code</w:t>
      </w:r>
      <w:r>
        <w:t>: The proposal for a revision of the Visa Code aims to shorten and simplify procedures for short stays visits reducing costs and bureaucracy while maintaining a high level of security. As a result, the common visa policy would become more user-friendly and efficient for both the visa applicants and the visa issuing authorities.</w:t>
      </w:r>
    </w:p>
    <w:p w:rsidR="00621878" w:rsidRDefault="00621878" w:rsidP="003A4CF7">
      <w:pPr>
        <w:pStyle w:val="ListParagraph"/>
        <w:numPr>
          <w:ilvl w:val="0"/>
          <w:numId w:val="46"/>
        </w:numPr>
        <w:ind w:left="714" w:hanging="357"/>
        <w:jc w:val="both"/>
      </w:pPr>
      <w:r w:rsidRPr="001D1110">
        <w:rPr>
          <w:b/>
          <w:i/>
        </w:rPr>
        <w:t>Conditions for the entry and residence of third-country nationals for students, researchers and other groups</w:t>
      </w:r>
      <w:r>
        <w:t xml:space="preserve">: The recast Directive adopted on 11 May 2016 aligns, simplifies and improves existing provisions for entry and residence of certain third-country nationals. It will lead to a decrease of administrative burdens and enable more intra-EU mobility of third-country researchers and students and facilitate job-seeking and business creation. </w:t>
      </w:r>
    </w:p>
    <w:p w:rsidR="000673F7" w:rsidRDefault="00AF4E48" w:rsidP="003A4CF7">
      <w:pPr>
        <w:pStyle w:val="ListParagraph"/>
        <w:numPr>
          <w:ilvl w:val="0"/>
          <w:numId w:val="46"/>
        </w:numPr>
        <w:ind w:left="714" w:hanging="357"/>
        <w:jc w:val="both"/>
      </w:pPr>
      <w:r w:rsidRPr="001D1110">
        <w:rPr>
          <w:b/>
          <w:i/>
        </w:rPr>
        <w:t xml:space="preserve">The </w:t>
      </w:r>
      <w:r w:rsidR="00621878" w:rsidRPr="001D1110">
        <w:rPr>
          <w:b/>
          <w:i/>
        </w:rPr>
        <w:t>Schengen borders code</w:t>
      </w:r>
      <w:r>
        <w:rPr>
          <w:i/>
        </w:rPr>
        <w:t xml:space="preserve"> </w:t>
      </w:r>
      <w:bookmarkStart w:id="11" w:name="_GoBack"/>
      <w:bookmarkEnd w:id="11"/>
      <w:r w:rsidR="00621878">
        <w:t xml:space="preserve">codified in March 2016, will compile all existing amendments into one text, making the provisions clearer, more accessible and easier to apply. </w:t>
      </w:r>
    </w:p>
    <w:p w:rsidR="002F4775" w:rsidRPr="00AF4E48" w:rsidRDefault="00DA55A1" w:rsidP="000135BE">
      <w:pPr>
        <w:pStyle w:val="NormalWeb"/>
        <w:numPr>
          <w:ilvl w:val="0"/>
          <w:numId w:val="46"/>
        </w:numPr>
        <w:jc w:val="both"/>
      </w:pPr>
      <w:r w:rsidRPr="001D1110">
        <w:rPr>
          <w:rFonts w:ascii="Calibri" w:eastAsia="Calibri" w:hAnsi="Calibri"/>
          <w:b/>
          <w:i/>
          <w:sz w:val="22"/>
          <w:szCs w:val="22"/>
          <w:lang w:eastAsia="en-US"/>
        </w:rPr>
        <w:lastRenderedPageBreak/>
        <w:t>Asylum:</w:t>
      </w:r>
      <w:r w:rsidRPr="00AF4E48">
        <w:rPr>
          <w:rFonts w:ascii="Calibri" w:eastAsia="Calibri" w:hAnsi="Calibri"/>
          <w:sz w:val="22"/>
          <w:szCs w:val="22"/>
          <w:lang w:eastAsia="en-US"/>
        </w:rPr>
        <w:t xml:space="preserve"> The Commission proposed a revision of the Common European Asylum System in order to move towards a fully efficient, fair and humane asylum policy which can function effectively both in times of normal and high migratory pressure.</w:t>
      </w:r>
    </w:p>
    <w:p w:rsidR="009E1BB2" w:rsidRDefault="00621878" w:rsidP="000135B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i/>
        </w:rPr>
      </w:pPr>
      <w:r w:rsidRPr="00273A79">
        <w:rPr>
          <w:b/>
          <w:i/>
        </w:rPr>
        <w:t>Commissioner Dimitris Avramopoulos said on the adoption of the recast Directive on entry and residence of third-country nationals for students, researchers and other groups</w:t>
      </w:r>
      <w:r>
        <w:t>:</w:t>
      </w:r>
      <w:r w:rsidR="000673F7">
        <w:t xml:space="preserve"> </w:t>
      </w:r>
      <w:r>
        <w:t xml:space="preserve">"Hosting more students and researchers is good for the EU economy, promoting more contacts between young people from different educational and research cultures." </w:t>
      </w:r>
    </w:p>
    <w:p w:rsidR="00AF4E48" w:rsidRDefault="00AF4E48">
      <w:pPr>
        <w:rPr>
          <w:rFonts w:asciiTheme="majorHAnsi" w:eastAsiaTheme="majorEastAsia" w:hAnsiTheme="majorHAnsi" w:cstheme="majorBidi"/>
          <w:bCs/>
          <w:i/>
          <w:color w:val="365F91" w:themeColor="accent1" w:themeShade="BF"/>
          <w:sz w:val="40"/>
          <w:szCs w:val="40"/>
          <w:lang w:val="en"/>
        </w:rPr>
      </w:pPr>
      <w:r>
        <w:rPr>
          <w:b/>
          <w:i/>
        </w:rPr>
        <w:br w:type="page"/>
      </w:r>
    </w:p>
    <w:p w:rsidR="00E46706" w:rsidRPr="00393F1B" w:rsidRDefault="00E46706" w:rsidP="00E46706">
      <w:pPr>
        <w:pStyle w:val="Heading1"/>
      </w:pPr>
      <w:bookmarkStart w:id="12" w:name="_Toc465076237"/>
      <w:r w:rsidRPr="00273A79">
        <w:lastRenderedPageBreak/>
        <w:t xml:space="preserve">Priority </w:t>
      </w:r>
      <w:r>
        <w:t>10</w:t>
      </w:r>
      <w:r w:rsidRPr="00273A79">
        <w:t xml:space="preserve">: </w:t>
      </w:r>
      <w:r>
        <w:t>A Union of Democratic Change</w:t>
      </w:r>
      <w:bookmarkEnd w:id="12"/>
    </w:p>
    <w:p w:rsidR="00E46706" w:rsidRDefault="00E46706" w:rsidP="00E46706">
      <w:pPr>
        <w:jc w:val="both"/>
        <w:rPr>
          <w:rFonts w:asciiTheme="majorHAnsi" w:hAnsiTheme="majorHAnsi"/>
          <w:b/>
          <w:color w:val="365F91" w:themeColor="accent1" w:themeShade="BF"/>
          <w:sz w:val="28"/>
          <w:szCs w:val="28"/>
        </w:rPr>
      </w:pPr>
    </w:p>
    <w:p w:rsidR="00E46706" w:rsidRPr="00273A79" w:rsidRDefault="00E46706" w:rsidP="00E46706">
      <w:pPr>
        <w:jc w:val="both"/>
        <w:rPr>
          <w:rFonts w:asciiTheme="majorHAnsi" w:hAnsiTheme="majorHAnsi"/>
          <w:b/>
          <w:color w:val="365F91" w:themeColor="accent1" w:themeShade="BF"/>
          <w:sz w:val="28"/>
          <w:szCs w:val="28"/>
        </w:rPr>
      </w:pPr>
      <w:r w:rsidRPr="00273A79">
        <w:rPr>
          <w:rFonts w:asciiTheme="majorHAnsi" w:hAnsiTheme="majorHAnsi"/>
          <w:b/>
          <w:color w:val="365F91" w:themeColor="accent1" w:themeShade="BF"/>
          <w:sz w:val="28"/>
          <w:szCs w:val="28"/>
        </w:rPr>
        <w:t>1.</w:t>
      </w:r>
      <w:r w:rsidRPr="00273A79">
        <w:rPr>
          <w:rFonts w:asciiTheme="majorHAnsi" w:hAnsiTheme="majorHAnsi"/>
          <w:b/>
          <w:color w:val="365F91" w:themeColor="accent1" w:themeShade="BF"/>
          <w:sz w:val="28"/>
          <w:szCs w:val="28"/>
        </w:rPr>
        <w:tab/>
        <w:t>Context</w:t>
      </w:r>
    </w:p>
    <w:p w:rsidR="00E46706" w:rsidRPr="009F7FE5" w:rsidRDefault="003F2C3A" w:rsidP="00E46706">
      <w:pPr>
        <w:jc w:val="both"/>
      </w:pPr>
      <w:r w:rsidRPr="000135BE">
        <w:rPr>
          <w:rFonts w:cs="Times New Roman"/>
        </w:rPr>
        <w:t xml:space="preserve">Better regulation, accountability and transparency continue to be the core business model of this Commission and all </w:t>
      </w:r>
      <w:r w:rsidRPr="000135BE">
        <w:rPr>
          <w:rFonts w:cs="Times New Roman"/>
          <w:iCs/>
        </w:rPr>
        <w:t xml:space="preserve">EU institutions need to apply these principles in a consistent and committed manner </w:t>
      </w:r>
      <w:r w:rsidR="009E1BB2" w:rsidRPr="000135BE">
        <w:rPr>
          <w:rFonts w:cs="Times New Roman"/>
          <w:iCs/>
        </w:rPr>
        <w:t xml:space="preserve">in order to </w:t>
      </w:r>
      <w:r w:rsidRPr="000135BE">
        <w:rPr>
          <w:rFonts w:cs="Times New Roman"/>
          <w:iCs/>
        </w:rPr>
        <w:t>win back the trust of citizens</w:t>
      </w:r>
      <w:r w:rsidRPr="000135BE">
        <w:rPr>
          <w:rFonts w:cs="Times New Roman"/>
        </w:rPr>
        <w:t xml:space="preserve">. </w:t>
      </w:r>
    </w:p>
    <w:p w:rsidR="00E46706" w:rsidRPr="007909C3" w:rsidRDefault="00E46706" w:rsidP="00E46706">
      <w:pPr>
        <w:jc w:val="both"/>
        <w:rPr>
          <w:rFonts w:asciiTheme="majorHAnsi" w:hAnsiTheme="majorHAnsi"/>
          <w:b/>
          <w:color w:val="365F91" w:themeColor="accent1" w:themeShade="BF"/>
          <w:sz w:val="28"/>
          <w:szCs w:val="28"/>
        </w:rPr>
      </w:pPr>
      <w:r w:rsidRPr="007909C3">
        <w:rPr>
          <w:rFonts w:asciiTheme="majorHAnsi" w:hAnsiTheme="majorHAnsi"/>
          <w:b/>
          <w:color w:val="365F91" w:themeColor="accent1" w:themeShade="BF"/>
          <w:sz w:val="28"/>
          <w:szCs w:val="28"/>
        </w:rPr>
        <w:t>2.</w:t>
      </w:r>
      <w:r w:rsidRPr="007909C3">
        <w:rPr>
          <w:rFonts w:asciiTheme="majorHAnsi" w:hAnsiTheme="majorHAnsi"/>
          <w:b/>
          <w:color w:val="365F91" w:themeColor="accent1" w:themeShade="BF"/>
          <w:sz w:val="28"/>
          <w:szCs w:val="28"/>
        </w:rPr>
        <w:tab/>
        <w:t>New REFIT Initiatives</w:t>
      </w:r>
    </w:p>
    <w:p w:rsidR="00A753DF" w:rsidRDefault="00A753DF" w:rsidP="00A753DF">
      <w:pPr>
        <w:keepNext/>
        <w:tabs>
          <w:tab w:val="left" w:pos="284"/>
        </w:tabs>
        <w:spacing w:after="240"/>
        <w:jc w:val="both"/>
        <w:rPr>
          <w:rFonts w:cs="Times New Roman"/>
          <w:noProof/>
          <w:lang w:val="en-US"/>
        </w:rPr>
      </w:pPr>
      <w:r w:rsidRPr="001D1110">
        <w:rPr>
          <w:b/>
          <w:i/>
          <w:u w:val="single"/>
        </w:rPr>
        <w:t>Commission Work Programme 2017</w:t>
      </w:r>
      <w:r w:rsidRPr="009F7FE5">
        <w:t xml:space="preserve">: </w:t>
      </w:r>
      <w:r w:rsidRPr="000135BE">
        <w:rPr>
          <w:rFonts w:cs="Times New Roman"/>
        </w:rPr>
        <w:t xml:space="preserve">To ensure that the EU's legal instruments have the intended effect, the Commission intends to step up its efforts on the application, implementation and enforcement of EU law. This includes proposals </w:t>
      </w:r>
      <w:r w:rsidRPr="000135BE">
        <w:rPr>
          <w:rFonts w:cs="Times New Roman"/>
          <w:noProof/>
          <w:lang w:val="en-US"/>
        </w:rPr>
        <w:t>to simplify environmental reporting following the recent Fitness Check, and measures to facilitate access to justice and support environmental compliance assurance in Member States</w:t>
      </w:r>
      <w:r w:rsidR="00B16E56">
        <w:rPr>
          <w:rFonts w:cs="Times New Roman"/>
          <w:noProof/>
          <w:lang w:val="en-US"/>
        </w:rPr>
        <w:t>:</w:t>
      </w:r>
    </w:p>
    <w:p w:rsidR="00063611" w:rsidRPr="008E63D2" w:rsidRDefault="00063611" w:rsidP="00063611">
      <w:pPr>
        <w:pStyle w:val="ListParagraph"/>
        <w:numPr>
          <w:ilvl w:val="0"/>
          <w:numId w:val="52"/>
        </w:numPr>
        <w:jc w:val="both"/>
      </w:pPr>
      <w:r w:rsidRPr="000135BE">
        <w:rPr>
          <w:rFonts w:asciiTheme="minorHAnsi" w:hAnsiTheme="minorHAnsi"/>
          <w:b/>
          <w:i/>
          <w:color w:val="000000"/>
        </w:rPr>
        <w:t>Simplification of environmental reporting:</w:t>
      </w:r>
      <w:r w:rsidRPr="000135BE">
        <w:rPr>
          <w:rFonts w:asciiTheme="minorHAnsi" w:hAnsiTheme="minorHAnsi"/>
          <w:color w:val="000000"/>
        </w:rPr>
        <w:t xml:space="preserve"> The Commission plans to enable the development of a more modern, effective and efficient monitoring and reporting for EU environment policy in order to reduce regulatory burdens and make environmental information more visible and accessible to citizens.</w:t>
      </w:r>
    </w:p>
    <w:p w:rsidR="00B16E56" w:rsidRPr="003A4CF7" w:rsidRDefault="00B16E56" w:rsidP="000135BE">
      <w:pPr>
        <w:pStyle w:val="ListParagraph"/>
        <w:keepNext/>
        <w:numPr>
          <w:ilvl w:val="0"/>
          <w:numId w:val="52"/>
        </w:numPr>
        <w:tabs>
          <w:tab w:val="left" w:pos="284"/>
        </w:tabs>
        <w:spacing w:after="240"/>
        <w:jc w:val="both"/>
        <w:rPr>
          <w:color w:val="000000" w:themeColor="text1"/>
        </w:rPr>
      </w:pPr>
      <w:r w:rsidRPr="000135BE">
        <w:rPr>
          <w:rFonts w:asciiTheme="minorHAnsi" w:hAnsiTheme="minorHAnsi"/>
          <w:b/>
          <w:i/>
          <w:color w:val="000000" w:themeColor="text1"/>
        </w:rPr>
        <w:t>Access to Justice:</w:t>
      </w:r>
      <w:r w:rsidRPr="000135BE">
        <w:rPr>
          <w:rFonts w:asciiTheme="minorHAnsi" w:hAnsiTheme="minorHAnsi"/>
          <w:color w:val="000000" w:themeColor="text1"/>
        </w:rPr>
        <w:t xml:space="preserve"> The Commission </w:t>
      </w:r>
      <w:r w:rsidR="00E405E8">
        <w:rPr>
          <w:rFonts w:asciiTheme="minorHAnsi" w:hAnsiTheme="minorHAnsi"/>
          <w:color w:val="000000" w:themeColor="text1"/>
        </w:rPr>
        <w:t xml:space="preserve">will promote </w:t>
      </w:r>
      <w:r w:rsidRPr="000135BE">
        <w:rPr>
          <w:rFonts w:asciiTheme="minorHAnsi" w:hAnsiTheme="minorHAnsi"/>
          <w:color w:val="000000" w:themeColor="text1"/>
        </w:rPr>
        <w:t>effective judicial protection at national level in environmental matters when implementing EU law</w:t>
      </w:r>
      <w:r w:rsidR="00E405E8">
        <w:rPr>
          <w:rFonts w:asciiTheme="minorHAnsi" w:hAnsiTheme="minorHAnsi"/>
          <w:color w:val="000000" w:themeColor="text1"/>
        </w:rPr>
        <w:t xml:space="preserve"> while </w:t>
      </w:r>
      <w:r w:rsidRPr="000135BE">
        <w:rPr>
          <w:rFonts w:asciiTheme="minorHAnsi" w:hAnsiTheme="minorHAnsi"/>
          <w:color w:val="000000" w:themeColor="text1"/>
        </w:rPr>
        <w:t>reflect</w:t>
      </w:r>
      <w:r w:rsidR="00E405E8">
        <w:rPr>
          <w:rFonts w:asciiTheme="minorHAnsi" w:hAnsiTheme="minorHAnsi"/>
          <w:color w:val="000000" w:themeColor="text1"/>
        </w:rPr>
        <w:t>ing</w:t>
      </w:r>
      <w:r w:rsidRPr="000135BE">
        <w:rPr>
          <w:rFonts w:asciiTheme="minorHAnsi" w:hAnsiTheme="minorHAnsi"/>
          <w:color w:val="000000" w:themeColor="text1"/>
        </w:rPr>
        <w:t xml:space="preserve"> the case-law of the European Court of Justice.</w:t>
      </w:r>
    </w:p>
    <w:p w:rsidR="00063611" w:rsidRPr="003A4CF7" w:rsidRDefault="00063611" w:rsidP="003A4CF7">
      <w:pPr>
        <w:pStyle w:val="ListParagraph"/>
        <w:numPr>
          <w:ilvl w:val="0"/>
          <w:numId w:val="52"/>
        </w:numPr>
        <w:jc w:val="both"/>
        <w:rPr>
          <w:color w:val="000000"/>
        </w:rPr>
      </w:pPr>
      <w:r w:rsidRPr="000135BE">
        <w:rPr>
          <w:rFonts w:asciiTheme="minorHAnsi" w:hAnsiTheme="minorHAnsi"/>
          <w:b/>
          <w:i/>
          <w:noProof/>
        </w:rPr>
        <w:t>Environmental Compliance Assurance</w:t>
      </w:r>
      <w:r w:rsidRPr="000135BE">
        <w:rPr>
          <w:rFonts w:asciiTheme="minorHAnsi" w:hAnsiTheme="minorHAnsi"/>
          <w:i/>
          <w:noProof/>
        </w:rPr>
        <w:t>:</w:t>
      </w:r>
      <w:r w:rsidRPr="000135BE">
        <w:rPr>
          <w:rFonts w:asciiTheme="minorHAnsi" w:hAnsiTheme="minorHAnsi"/>
          <w:noProof/>
        </w:rPr>
        <w:t xml:space="preserve"> The Commission </w:t>
      </w:r>
      <w:r>
        <w:rPr>
          <w:rFonts w:asciiTheme="minorHAnsi" w:hAnsiTheme="minorHAnsi"/>
          <w:noProof/>
        </w:rPr>
        <w:t xml:space="preserve">will support environmental compliance assurance in </w:t>
      </w:r>
      <w:r w:rsidRPr="000135BE">
        <w:rPr>
          <w:rFonts w:asciiTheme="minorHAnsi" w:hAnsiTheme="minorHAnsi"/>
        </w:rPr>
        <w:t>Member States.</w:t>
      </w:r>
      <w:r w:rsidRPr="000135BE">
        <w:rPr>
          <w:rFonts w:asciiTheme="minorHAnsi" w:hAnsiTheme="minorHAnsi"/>
          <w:color w:val="000000"/>
        </w:rPr>
        <w:t xml:space="preserve"> </w:t>
      </w:r>
    </w:p>
    <w:p w:rsidR="00696BF7" w:rsidRPr="00B3582B" w:rsidRDefault="00696BF7" w:rsidP="001D423A">
      <w:pPr>
        <w:pBdr>
          <w:top w:val="single" w:sz="4" w:space="1" w:color="auto"/>
          <w:left w:val="single" w:sz="4" w:space="4" w:color="auto"/>
          <w:bottom w:val="single" w:sz="4" w:space="1" w:color="auto"/>
          <w:right w:val="single" w:sz="4" w:space="4" w:color="auto"/>
        </w:pBdr>
        <w:spacing w:before="120" w:after="120" w:line="240" w:lineRule="auto"/>
        <w:jc w:val="both"/>
        <w:rPr>
          <w:rFonts w:cs="Arial"/>
        </w:rPr>
      </w:pPr>
      <w:r w:rsidRPr="001D1110">
        <w:rPr>
          <w:rFonts w:cs="Arial"/>
          <w:b/>
          <w:i/>
          <w:u w:val="single"/>
        </w:rPr>
        <w:t>Follow-up to REFIT Platform Opinions</w:t>
      </w:r>
      <w:r w:rsidRPr="001D423A">
        <w:rPr>
          <w:rFonts w:cs="Arial"/>
          <w:b/>
          <w:i/>
        </w:rPr>
        <w:t xml:space="preserve">: </w:t>
      </w:r>
      <w:r w:rsidRPr="001D423A">
        <w:rPr>
          <w:rFonts w:cs="Arial"/>
        </w:rPr>
        <w:t xml:space="preserve">The REFIT Platform adopted an opinion on the </w:t>
      </w:r>
      <w:r w:rsidRPr="001D1110">
        <w:rPr>
          <w:rFonts w:cs="Arial"/>
          <w:b/>
          <w:i/>
        </w:rPr>
        <w:t>European Citizens' Initiative</w:t>
      </w:r>
      <w:r w:rsidRPr="001D423A">
        <w:rPr>
          <w:rFonts w:cs="Arial"/>
        </w:rPr>
        <w:t xml:space="preserve"> suggesting that it could become more 'fit for purpose' through simpler requirements </w:t>
      </w:r>
      <w:r w:rsidR="00B36031">
        <w:rPr>
          <w:rFonts w:cs="Arial"/>
        </w:rPr>
        <w:t xml:space="preserve">for the preparation of such initiatives </w:t>
      </w:r>
      <w:r w:rsidRPr="001D423A">
        <w:rPr>
          <w:rFonts w:cs="Arial"/>
        </w:rPr>
        <w:t>and a revision of the legal framework. The Commission will consider this when it takes measures to simplify the implementation of the ECI.</w:t>
      </w:r>
    </w:p>
    <w:p w:rsidR="00E46706" w:rsidRPr="001D423A" w:rsidRDefault="00E46706" w:rsidP="007909C3">
      <w:pPr>
        <w:jc w:val="both"/>
        <w:rPr>
          <w:b/>
          <w:i/>
        </w:rPr>
      </w:pPr>
    </w:p>
    <w:p w:rsidR="00E46706" w:rsidRPr="007909C3" w:rsidRDefault="00E46706"/>
    <w:p w:rsidR="00E46706" w:rsidRPr="00475F50" w:rsidRDefault="00E46706"/>
    <w:p w:rsidR="00E46706" w:rsidRPr="00696BF7" w:rsidRDefault="00E46706">
      <w:pPr>
        <w:rPr>
          <w:lang w:val="en"/>
        </w:rPr>
      </w:pPr>
    </w:p>
    <w:sectPr w:rsidR="00E46706" w:rsidRPr="00696BF7" w:rsidSect="001559E6">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A4" w:rsidRDefault="00BF54A4" w:rsidP="00121C79">
      <w:pPr>
        <w:spacing w:after="0" w:line="240" w:lineRule="auto"/>
      </w:pPr>
      <w:r>
        <w:separator/>
      </w:r>
    </w:p>
  </w:endnote>
  <w:endnote w:type="continuationSeparator" w:id="0">
    <w:p w:rsidR="00BF54A4" w:rsidRDefault="00BF54A4" w:rsidP="0012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8173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BA" w:rsidRPr="004212BA" w:rsidRDefault="004212BA" w:rsidP="004212BA">
    <w:pPr>
      <w:pStyle w:val="FooterCoverPage"/>
      <w:rPr>
        <w:rFonts w:ascii="Arial" w:hAnsi="Arial" w:cs="Arial"/>
        <w:b/>
        <w:sz w:val="48"/>
      </w:rPr>
    </w:pPr>
    <w:r w:rsidRPr="004212BA">
      <w:rPr>
        <w:rFonts w:ascii="Arial" w:hAnsi="Arial" w:cs="Arial"/>
        <w:b/>
        <w:sz w:val="48"/>
      </w:rPr>
      <w:t>EN</w:t>
    </w:r>
    <w:r w:rsidRPr="004212BA">
      <w:rPr>
        <w:rFonts w:ascii="Arial" w:hAnsi="Arial" w:cs="Arial"/>
        <w:b/>
        <w:sz w:val="48"/>
      </w:rPr>
      <w:tab/>
    </w:r>
    <w:r w:rsidRPr="004212BA">
      <w:rPr>
        <w:rFonts w:ascii="Arial" w:hAnsi="Arial" w:cs="Arial"/>
        <w:b/>
        <w:sz w:val="48"/>
      </w:rPr>
      <w:tab/>
    </w:r>
    <w:fldSimple w:instr=" DOCVARIABLE &quot;LW_Confidence&quot; \* MERGEFORMAT ">
      <w:r w:rsidR="00817380">
        <w:t xml:space="preserve"> </w:t>
      </w:r>
    </w:fldSimple>
    <w:r w:rsidRPr="004212BA">
      <w:tab/>
    </w:r>
    <w:r w:rsidRPr="004212B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8173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E8" w:rsidRDefault="00E405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884841"/>
      <w:docPartObj>
        <w:docPartGallery w:val="Page Numbers (Bottom of Page)"/>
        <w:docPartUnique/>
      </w:docPartObj>
    </w:sdtPr>
    <w:sdtEndPr>
      <w:rPr>
        <w:noProof/>
      </w:rPr>
    </w:sdtEndPr>
    <w:sdtContent>
      <w:p w:rsidR="00E405E8" w:rsidRDefault="00E405E8">
        <w:pPr>
          <w:pStyle w:val="Footer"/>
        </w:pPr>
        <w:r>
          <w:fldChar w:fldCharType="begin"/>
        </w:r>
        <w:r>
          <w:instrText xml:space="preserve"> PAGE   \* MERGEFORMAT </w:instrText>
        </w:r>
        <w:r>
          <w:fldChar w:fldCharType="separate"/>
        </w:r>
        <w:r w:rsidR="00817380">
          <w:rPr>
            <w:noProof/>
          </w:rPr>
          <w:t>6</w:t>
        </w:r>
        <w:r>
          <w:rPr>
            <w:noProof/>
          </w:rPr>
          <w:fldChar w:fldCharType="end"/>
        </w:r>
      </w:p>
    </w:sdtContent>
  </w:sdt>
  <w:p w:rsidR="00E405E8" w:rsidRDefault="00E405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E8" w:rsidRDefault="00E40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A4" w:rsidRDefault="00BF54A4" w:rsidP="00121C79">
      <w:pPr>
        <w:spacing w:after="0" w:line="240" w:lineRule="auto"/>
      </w:pPr>
      <w:r>
        <w:separator/>
      </w:r>
    </w:p>
  </w:footnote>
  <w:footnote w:type="continuationSeparator" w:id="0">
    <w:p w:rsidR="00BF54A4" w:rsidRDefault="00BF54A4" w:rsidP="00121C79">
      <w:pPr>
        <w:spacing w:after="0" w:line="240" w:lineRule="auto"/>
      </w:pPr>
      <w:r>
        <w:continuationSeparator/>
      </w:r>
    </w:p>
  </w:footnote>
  <w:footnote w:id="1">
    <w:p w:rsidR="00002899" w:rsidRPr="00002899" w:rsidRDefault="00002899">
      <w:pPr>
        <w:pStyle w:val="FootnoteText"/>
      </w:pPr>
      <w:r>
        <w:rPr>
          <w:rStyle w:val="FootnoteReference"/>
        </w:rPr>
        <w:footnoteRef/>
      </w:r>
      <w:r>
        <w:t xml:space="preserve"> </w:t>
      </w:r>
      <w:r w:rsidRPr="00324DE6">
        <w:rPr>
          <w:lang w:val="en-GB"/>
        </w:rPr>
        <w:t>REFIT</w:t>
      </w:r>
      <w:r w:rsidRPr="00E90CF6">
        <w:t xml:space="preserve"> was launched in December 2012</w:t>
      </w:r>
      <w:r>
        <w:t xml:space="preserve"> (</w:t>
      </w:r>
      <w:r w:rsidRPr="00E90CF6">
        <w:t>see</w:t>
      </w:r>
      <w:r w:rsidRPr="00324DE6">
        <w:rPr>
          <w:lang w:val="en-GB"/>
        </w:rPr>
        <w:t xml:space="preserve"> COM(2012)746</w:t>
      </w:r>
      <w:r>
        <w:t xml:space="preserve">). It builds on </w:t>
      </w:r>
      <w:r w:rsidRPr="00C561AF">
        <w:t>experience gained with the Administrative Burden Reduction (ABR) Programme</w:t>
      </w:r>
      <w:r>
        <w:t xml:space="preserve"> implemented since 2007</w:t>
      </w:r>
      <w:r w:rsidRPr="00C561AF">
        <w:t xml:space="preserve"> and integrates </w:t>
      </w:r>
      <w:r>
        <w:t xml:space="preserve">other </w:t>
      </w:r>
      <w:r w:rsidRPr="00C561AF">
        <w:t>initiatives related to regulatory fitness such as the S</w:t>
      </w:r>
      <w:r>
        <w:t>implification Programme and</w:t>
      </w:r>
      <w:r w:rsidRPr="00C561AF">
        <w:t xml:space="preserve"> the follow up to the ABR programme (ABR+) and to the Top 10 consultation</w:t>
      </w:r>
      <w:r>
        <w:t>,</w:t>
      </w:r>
      <w:r w:rsidRPr="00C561AF">
        <w:t xml:space="preserve"> as well as the SME Scoreboard</w:t>
      </w:r>
      <w:r>
        <w:t xml:space="preserve">: </w:t>
      </w:r>
      <w:hyperlink r:id="rId1" w:history="1">
        <w:r w:rsidRPr="00324DE6">
          <w:rPr>
            <w:rStyle w:val="Hyperlink"/>
            <w:lang w:val="en-GB"/>
          </w:rPr>
          <w:t>http://ec.europa.eu/info/law-making-process/evaluating-and-improving-existing-laws/refit-making-eu-law-simpler-and-less_en</w:t>
        </w:r>
      </w:hyperlink>
    </w:p>
  </w:footnote>
  <w:footnote w:id="2">
    <w:p w:rsidR="00002899" w:rsidRPr="00002899" w:rsidRDefault="00002899">
      <w:pPr>
        <w:pStyle w:val="FootnoteText"/>
        <w:rPr>
          <w:lang w:val="en-GB"/>
        </w:rPr>
      </w:pPr>
      <w:r>
        <w:rPr>
          <w:rStyle w:val="FootnoteReference"/>
        </w:rPr>
        <w:footnoteRef/>
      </w:r>
      <w:r>
        <w:t xml:space="preserve"> </w:t>
      </w:r>
      <w:r w:rsidRPr="0060498E">
        <w:t>The Platform is composed of high-level experts from business, civil society (including the social partners) the Economic and Social Committee, and the Committee of Regions and Member States. The Platform receives suggestions sent in via the 'Lighten the load – Have your say' website. It can bring in ideas from the Platform members themselves or their contact networks</w:t>
      </w:r>
      <w:r w:rsidRPr="00002899">
        <w:rPr>
          <w:lang w:val="en-GB"/>
        </w:rPr>
        <w:t>.</w:t>
      </w:r>
    </w:p>
  </w:footnote>
  <w:footnote w:id="3">
    <w:p w:rsidR="00002899" w:rsidRPr="00AA28AB" w:rsidRDefault="00002899">
      <w:pPr>
        <w:pStyle w:val="FootnoteText"/>
        <w:rPr>
          <w:lang w:val="en-GB"/>
        </w:rPr>
      </w:pPr>
      <w:r>
        <w:rPr>
          <w:rStyle w:val="FootnoteReference"/>
        </w:rPr>
        <w:footnoteRef/>
      </w:r>
      <w:r>
        <w:t xml:space="preserve"> </w:t>
      </w:r>
      <w:hyperlink r:id="rId2" w:anchor="up" w:history="1">
        <w:r w:rsidRPr="00CD2C01">
          <w:rPr>
            <w:rStyle w:val="Hyperlink"/>
          </w:rPr>
          <w:t>http://ec.europa.eu/smart-regulation/refit/simplification/consultation/consultation_en.htm#up</w:t>
        </w:r>
      </w:hyperlink>
    </w:p>
  </w:footnote>
  <w:footnote w:id="4">
    <w:p w:rsidR="00E405E8" w:rsidRPr="00E405E8" w:rsidRDefault="00E405E8">
      <w:pPr>
        <w:pStyle w:val="FootnoteText"/>
      </w:pPr>
      <w:r>
        <w:rPr>
          <w:rStyle w:val="FootnoteReference"/>
        </w:rPr>
        <w:footnoteRef/>
      </w:r>
      <w:r>
        <w:t xml:space="preserve"> </w:t>
      </w:r>
      <w:r w:rsidR="009F6FCF">
        <w:t>COM(2015)2</w:t>
      </w:r>
      <w:r w:rsidRPr="00E405E8">
        <w:t>15 final</w:t>
      </w:r>
    </w:p>
  </w:footnote>
  <w:footnote w:id="5">
    <w:p w:rsidR="003A4CF7" w:rsidRPr="004212BA" w:rsidRDefault="003A4CF7">
      <w:pPr>
        <w:pStyle w:val="FootnoteText"/>
        <w:rPr>
          <w:lang w:val="en-GB"/>
        </w:rPr>
      </w:pPr>
      <w:r>
        <w:rPr>
          <w:rStyle w:val="FootnoteReference"/>
        </w:rPr>
        <w:footnoteRef/>
      </w:r>
      <w:r>
        <w:t xml:space="preserve"> </w:t>
      </w:r>
      <w:r w:rsidRPr="004212BA">
        <w:rPr>
          <w:lang w:val="en-GB"/>
        </w:rPr>
        <w:t>SWD(2016)400</w:t>
      </w:r>
      <w:r w:rsidR="00520138">
        <w:rPr>
          <w:lang w:val="en-GB"/>
        </w:rPr>
        <w:t>, part 2</w:t>
      </w:r>
      <w:r w:rsidR="00FA42C1" w:rsidRPr="004212BA">
        <w:rPr>
          <w:lang w:val="en-GB"/>
        </w:rPr>
        <w:t>.</w:t>
      </w:r>
    </w:p>
  </w:footnote>
  <w:footnote w:id="6">
    <w:p w:rsidR="00E405E8" w:rsidRPr="00796158" w:rsidRDefault="00E405E8" w:rsidP="00295C86">
      <w:pPr>
        <w:pStyle w:val="FootnoteText"/>
        <w:rPr>
          <w:lang w:val="en-GB"/>
        </w:rPr>
      </w:pPr>
      <w:r>
        <w:rPr>
          <w:rStyle w:val="FootnoteReference"/>
        </w:rPr>
        <w:footnoteRef/>
      </w:r>
      <w:r>
        <w:t xml:space="preserve"> </w:t>
      </w:r>
      <w:r w:rsidRPr="00796158">
        <w:rPr>
          <w:lang w:val="en-GB"/>
        </w:rPr>
        <w:t xml:space="preserve">In the context of </w:t>
      </w:r>
      <w:r>
        <w:rPr>
          <w:lang w:val="en-GB"/>
        </w:rPr>
        <w:t>t</w:t>
      </w:r>
      <w:r w:rsidRPr="00796158">
        <w:rPr>
          <w:lang w:val="en-GB"/>
        </w:rPr>
        <w:t xml:space="preserve">he </w:t>
      </w:r>
      <w:r>
        <w:rPr>
          <w:lang w:val="en-GB"/>
        </w:rPr>
        <w:t xml:space="preserve">proposal for </w:t>
      </w:r>
      <w:r w:rsidRPr="00796158">
        <w:rPr>
          <w:lang w:val="en-GB"/>
        </w:rPr>
        <w:t>repeal of</w:t>
      </w:r>
      <w:r>
        <w:rPr>
          <w:lang w:val="en-GB"/>
        </w:rPr>
        <w:t xml:space="preserve"> the S</w:t>
      </w:r>
      <w:r>
        <w:t>tandardi</w:t>
      </w:r>
      <w:r>
        <w:rPr>
          <w:lang w:val="en-GB"/>
        </w:rPr>
        <w:t>s</w:t>
      </w:r>
      <w:r>
        <w:t xml:space="preserve">ed </w:t>
      </w:r>
      <w:r w:rsidRPr="00796158">
        <w:rPr>
          <w:lang w:val="en-GB"/>
        </w:rPr>
        <w:t>R</w:t>
      </w:r>
      <w:r>
        <w:t>eporting Directive (91/692/EEC)</w:t>
      </w:r>
      <w:r w:rsidRPr="00796158">
        <w:rPr>
          <w:lang w:val="en-GB"/>
        </w:rPr>
        <w:t xml:space="preserve"> planned for end 2016.</w:t>
      </w:r>
    </w:p>
  </w:footnote>
  <w:footnote w:id="7">
    <w:p w:rsidR="00E405E8" w:rsidRPr="00796158" w:rsidRDefault="00E405E8" w:rsidP="00295C86">
      <w:pPr>
        <w:pStyle w:val="FootnoteText"/>
        <w:rPr>
          <w:lang w:val="en-GB"/>
        </w:rPr>
      </w:pPr>
      <w:r>
        <w:rPr>
          <w:rStyle w:val="FootnoteReference"/>
        </w:rPr>
        <w:footnoteRef/>
      </w:r>
      <w:r>
        <w:t xml:space="preserve"> </w:t>
      </w:r>
      <w:r w:rsidRPr="00796158">
        <w:rPr>
          <w:lang w:val="en-GB"/>
        </w:rPr>
        <w:t xml:space="preserve">Initiative for Monitoring, Transparency and Focused </w:t>
      </w:r>
      <w:r>
        <w:rPr>
          <w:lang w:val="en-GB"/>
        </w:rPr>
        <w:t>R</w:t>
      </w:r>
      <w:r w:rsidRPr="00796158">
        <w:rPr>
          <w:lang w:val="en-GB"/>
        </w:rPr>
        <w:t xml:space="preserve">eporting planned </w:t>
      </w:r>
      <w:r>
        <w:rPr>
          <w:lang w:val="en-GB"/>
        </w:rPr>
        <w:t>in the Commission Work Programme for</w:t>
      </w:r>
      <w:r w:rsidRPr="00796158">
        <w:rPr>
          <w:lang w:val="en-GB"/>
        </w:rPr>
        <w:t xml:space="preserve"> 2017</w:t>
      </w:r>
      <w:r>
        <w:rPr>
          <w:lang w:val="en-GB"/>
        </w:rPr>
        <w:t>.</w:t>
      </w:r>
    </w:p>
  </w:footnote>
  <w:footnote w:id="8">
    <w:p w:rsidR="00E405E8" w:rsidRPr="007909C3" w:rsidRDefault="00E405E8">
      <w:pPr>
        <w:pStyle w:val="FootnoteText"/>
      </w:pPr>
      <w:r>
        <w:rPr>
          <w:rStyle w:val="FootnoteReference"/>
        </w:rPr>
        <w:footnoteRef/>
      </w:r>
      <w:r>
        <w:t xml:space="preserve"> </w:t>
      </w:r>
      <w:r w:rsidRPr="00696BF7">
        <w:rPr>
          <w:lang w:val="en-GB"/>
        </w:rPr>
        <w:t xml:space="preserve">Calculation based on </w:t>
      </w:r>
      <w:r>
        <w:rPr>
          <w:lang w:val="en-GB"/>
        </w:rPr>
        <w:t>the possibility for</w:t>
      </w:r>
      <w:r w:rsidRPr="004A3089">
        <w:t xml:space="preserve"> a single delegated and implementing regulation for each major heading of the CMO, including 15 Commission Regulations on marketing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8173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8173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8173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E8" w:rsidRDefault="00E405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E8" w:rsidRDefault="00E405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E8" w:rsidRDefault="00E40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9DC"/>
    <w:multiLevelType w:val="hybridMultilevel"/>
    <w:tmpl w:val="D79E7B38"/>
    <w:lvl w:ilvl="0" w:tplc="FB16192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23DA4"/>
    <w:multiLevelType w:val="hybridMultilevel"/>
    <w:tmpl w:val="DCE60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FC3A58"/>
    <w:multiLevelType w:val="hybridMultilevel"/>
    <w:tmpl w:val="EC80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1D6A22"/>
    <w:multiLevelType w:val="hybridMultilevel"/>
    <w:tmpl w:val="EE80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8515D"/>
    <w:multiLevelType w:val="hybridMultilevel"/>
    <w:tmpl w:val="0A862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D734DC"/>
    <w:multiLevelType w:val="hybridMultilevel"/>
    <w:tmpl w:val="4B743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E37371"/>
    <w:multiLevelType w:val="hybridMultilevel"/>
    <w:tmpl w:val="7A50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6B29BD"/>
    <w:multiLevelType w:val="hybridMultilevel"/>
    <w:tmpl w:val="37646436"/>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EC13A1"/>
    <w:multiLevelType w:val="hybridMultilevel"/>
    <w:tmpl w:val="5C46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6B2711"/>
    <w:multiLevelType w:val="hybridMultilevel"/>
    <w:tmpl w:val="7A46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CA476D"/>
    <w:multiLevelType w:val="hybridMultilevel"/>
    <w:tmpl w:val="A8E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8E4EA3"/>
    <w:multiLevelType w:val="hybridMultilevel"/>
    <w:tmpl w:val="37646436"/>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C16D89"/>
    <w:multiLevelType w:val="hybridMultilevel"/>
    <w:tmpl w:val="0A862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1A2C80"/>
    <w:multiLevelType w:val="hybridMultilevel"/>
    <w:tmpl w:val="BA060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C5C21"/>
    <w:multiLevelType w:val="hybridMultilevel"/>
    <w:tmpl w:val="37646436"/>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3E0C61"/>
    <w:multiLevelType w:val="hybridMultilevel"/>
    <w:tmpl w:val="CAD839E0"/>
    <w:lvl w:ilvl="0" w:tplc="CFEE8962">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E54801"/>
    <w:multiLevelType w:val="hybridMultilevel"/>
    <w:tmpl w:val="37646436"/>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F44056"/>
    <w:multiLevelType w:val="hybridMultilevel"/>
    <w:tmpl w:val="8F0A1558"/>
    <w:lvl w:ilvl="0" w:tplc="08090001">
      <w:start w:val="1"/>
      <w:numFmt w:val="bullet"/>
      <w:lvlText w:val=""/>
      <w:lvlJc w:val="left"/>
      <w:pPr>
        <w:ind w:left="720" w:hanging="360"/>
      </w:pPr>
      <w:rPr>
        <w:rFonts w:ascii="Symbol" w:hAnsi="Symbol" w:hint="default"/>
      </w:rPr>
    </w:lvl>
    <w:lvl w:ilvl="1" w:tplc="21F8AC7A">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854E67"/>
    <w:multiLevelType w:val="hybridMultilevel"/>
    <w:tmpl w:val="2E30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4173B4"/>
    <w:multiLevelType w:val="hybridMultilevel"/>
    <w:tmpl w:val="39FCC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5C0368"/>
    <w:multiLevelType w:val="hybridMultilevel"/>
    <w:tmpl w:val="BA060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910D5C"/>
    <w:multiLevelType w:val="hybridMultilevel"/>
    <w:tmpl w:val="6E3C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93327A"/>
    <w:multiLevelType w:val="hybridMultilevel"/>
    <w:tmpl w:val="5750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7061A2"/>
    <w:multiLevelType w:val="hybridMultilevel"/>
    <w:tmpl w:val="AF9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540E1B"/>
    <w:multiLevelType w:val="hybridMultilevel"/>
    <w:tmpl w:val="211CB608"/>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7561F7"/>
    <w:multiLevelType w:val="hybridMultilevel"/>
    <w:tmpl w:val="AE822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B76658"/>
    <w:multiLevelType w:val="hybridMultilevel"/>
    <w:tmpl w:val="211CB608"/>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F706B82"/>
    <w:multiLevelType w:val="hybridMultilevel"/>
    <w:tmpl w:val="9E66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830610"/>
    <w:multiLevelType w:val="hybridMultilevel"/>
    <w:tmpl w:val="9E94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886A9B"/>
    <w:multiLevelType w:val="hybridMultilevel"/>
    <w:tmpl w:val="BB28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5034531"/>
    <w:multiLevelType w:val="hybridMultilevel"/>
    <w:tmpl w:val="5370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A322E56"/>
    <w:multiLevelType w:val="hybridMultilevel"/>
    <w:tmpl w:val="BA060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E961D30"/>
    <w:multiLevelType w:val="hybridMultilevel"/>
    <w:tmpl w:val="211CB608"/>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8236D52"/>
    <w:multiLevelType w:val="hybridMultilevel"/>
    <w:tmpl w:val="211CB608"/>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6B0926"/>
    <w:multiLevelType w:val="hybridMultilevel"/>
    <w:tmpl w:val="211CB608"/>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BB141F"/>
    <w:multiLevelType w:val="hybridMultilevel"/>
    <w:tmpl w:val="19B4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CA0CC6"/>
    <w:multiLevelType w:val="hybridMultilevel"/>
    <w:tmpl w:val="743E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FB6A92"/>
    <w:multiLevelType w:val="hybridMultilevel"/>
    <w:tmpl w:val="211CB608"/>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454F7C"/>
    <w:multiLevelType w:val="hybridMultilevel"/>
    <w:tmpl w:val="330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4CC2C80"/>
    <w:multiLevelType w:val="hybridMultilevel"/>
    <w:tmpl w:val="CAD839E0"/>
    <w:lvl w:ilvl="0" w:tplc="CFEE8962">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5720962"/>
    <w:multiLevelType w:val="hybridMultilevel"/>
    <w:tmpl w:val="211CB608"/>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573415B"/>
    <w:multiLevelType w:val="hybridMultilevel"/>
    <w:tmpl w:val="CAD839E0"/>
    <w:lvl w:ilvl="0" w:tplc="CFEE8962">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6A87FFB"/>
    <w:multiLevelType w:val="hybridMultilevel"/>
    <w:tmpl w:val="255E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0A5727"/>
    <w:multiLevelType w:val="hybridMultilevel"/>
    <w:tmpl w:val="12C0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8A470C"/>
    <w:multiLevelType w:val="hybridMultilevel"/>
    <w:tmpl w:val="CAD839E0"/>
    <w:lvl w:ilvl="0" w:tplc="CFEE8962">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DBC0CAC"/>
    <w:multiLevelType w:val="hybridMultilevel"/>
    <w:tmpl w:val="211CB608"/>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1214FED"/>
    <w:multiLevelType w:val="hybridMultilevel"/>
    <w:tmpl w:val="211CB608"/>
    <w:lvl w:ilvl="0" w:tplc="D9E6D2C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2A03571"/>
    <w:multiLevelType w:val="hybridMultilevel"/>
    <w:tmpl w:val="EE88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A124A22"/>
    <w:multiLevelType w:val="hybridMultilevel"/>
    <w:tmpl w:val="8320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95760A"/>
    <w:multiLevelType w:val="hybridMultilevel"/>
    <w:tmpl w:val="57C8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DC96409"/>
    <w:multiLevelType w:val="hybridMultilevel"/>
    <w:tmpl w:val="DBA4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FFB0657"/>
    <w:multiLevelType w:val="hybridMultilevel"/>
    <w:tmpl w:val="B8E8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5"/>
  </w:num>
  <w:num w:numId="4">
    <w:abstractNumId w:val="19"/>
  </w:num>
  <w:num w:numId="5">
    <w:abstractNumId w:val="3"/>
  </w:num>
  <w:num w:numId="6">
    <w:abstractNumId w:val="21"/>
  </w:num>
  <w:num w:numId="7">
    <w:abstractNumId w:val="51"/>
  </w:num>
  <w:num w:numId="8">
    <w:abstractNumId w:val="9"/>
  </w:num>
  <w:num w:numId="9">
    <w:abstractNumId w:val="35"/>
  </w:num>
  <w:num w:numId="10">
    <w:abstractNumId w:val="47"/>
  </w:num>
  <w:num w:numId="11">
    <w:abstractNumId w:val="22"/>
  </w:num>
  <w:num w:numId="12">
    <w:abstractNumId w:val="42"/>
  </w:num>
  <w:num w:numId="13">
    <w:abstractNumId w:val="48"/>
  </w:num>
  <w:num w:numId="14">
    <w:abstractNumId w:val="2"/>
  </w:num>
  <w:num w:numId="15">
    <w:abstractNumId w:val="43"/>
  </w:num>
  <w:num w:numId="16">
    <w:abstractNumId w:val="30"/>
  </w:num>
  <w:num w:numId="17">
    <w:abstractNumId w:val="10"/>
  </w:num>
  <w:num w:numId="18">
    <w:abstractNumId w:val="50"/>
  </w:num>
  <w:num w:numId="19">
    <w:abstractNumId w:val="28"/>
  </w:num>
  <w:num w:numId="20">
    <w:abstractNumId w:val="6"/>
  </w:num>
  <w:num w:numId="21">
    <w:abstractNumId w:val="27"/>
  </w:num>
  <w:num w:numId="22">
    <w:abstractNumId w:val="4"/>
  </w:num>
  <w:num w:numId="23">
    <w:abstractNumId w:val="29"/>
  </w:num>
  <w:num w:numId="24">
    <w:abstractNumId w:val="17"/>
  </w:num>
  <w:num w:numId="25">
    <w:abstractNumId w:val="13"/>
  </w:num>
  <w:num w:numId="26">
    <w:abstractNumId w:val="31"/>
  </w:num>
  <w:num w:numId="27">
    <w:abstractNumId w:val="20"/>
  </w:num>
  <w:num w:numId="28">
    <w:abstractNumId w:val="14"/>
  </w:num>
  <w:num w:numId="29">
    <w:abstractNumId w:val="7"/>
  </w:num>
  <w:num w:numId="30">
    <w:abstractNumId w:val="16"/>
  </w:num>
  <w:num w:numId="31">
    <w:abstractNumId w:val="11"/>
  </w:num>
  <w:num w:numId="32">
    <w:abstractNumId w:val="26"/>
  </w:num>
  <w:num w:numId="33">
    <w:abstractNumId w:val="37"/>
  </w:num>
  <w:num w:numId="34">
    <w:abstractNumId w:val="32"/>
  </w:num>
  <w:num w:numId="35">
    <w:abstractNumId w:val="34"/>
  </w:num>
  <w:num w:numId="36">
    <w:abstractNumId w:val="33"/>
  </w:num>
  <w:num w:numId="37">
    <w:abstractNumId w:val="46"/>
  </w:num>
  <w:num w:numId="38">
    <w:abstractNumId w:val="45"/>
  </w:num>
  <w:num w:numId="39">
    <w:abstractNumId w:val="40"/>
  </w:num>
  <w:num w:numId="40">
    <w:abstractNumId w:val="24"/>
  </w:num>
  <w:num w:numId="41">
    <w:abstractNumId w:val="15"/>
  </w:num>
  <w:num w:numId="42">
    <w:abstractNumId w:val="39"/>
  </w:num>
  <w:num w:numId="43">
    <w:abstractNumId w:val="44"/>
  </w:num>
  <w:num w:numId="44">
    <w:abstractNumId w:val="41"/>
  </w:num>
  <w:num w:numId="45">
    <w:abstractNumId w:val="36"/>
  </w:num>
  <w:num w:numId="46">
    <w:abstractNumId w:val="38"/>
  </w:num>
  <w:num w:numId="47">
    <w:abstractNumId w:val="0"/>
  </w:num>
  <w:num w:numId="48">
    <w:abstractNumId w:val="1"/>
  </w:num>
  <w:num w:numId="49">
    <w:abstractNumId w:val="5"/>
  </w:num>
  <w:num w:numId="50">
    <w:abstractNumId w:val="8"/>
  </w:num>
  <w:num w:numId="51">
    <w:abstractNumId w:val="49"/>
  </w:num>
  <w:num w:numId="5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7173396275494AAEAA11D4B6E06D5E5B"/>
    <w:docVar w:name="LW_CROSSREFERENCE" w:val="{COM(2016) 710 final}"/>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Commission Work Programme 2017_x000b__x000b_Delivering a Europe that protects, empowers and defends_x000b_"/>
    <w:docVar w:name="LW_PART_NBR" w:val="1"/>
    <w:docVar w:name="LW_PART_NBR_TOTAL" w:val="2"/>
    <w:docVar w:name="LW_REF.INST.NEW" w:val="SWD"/>
    <w:docVar w:name="LW_REF.INST.NEW_ADOPTED" w:val="&lt;EMPTY&gt;"/>
    <w:docVar w:name="LW_REF.INST.NEW_TEXT" w:val="(2016) 400 final"/>
    <w:docVar w:name="LW_REF.INTERNE" w:val="&lt;UNUSED&gt;"/>
    <w:docVar w:name="LW_SUPERTITRE" w:val="&lt;UNUSED&gt;"/>
    <w:docVar w:name="LW_TITRE.OBJ.CP" w:val="Regulatory Fitness and Performance Programme _x000b_REFIT and the 10 Priorities of the Commission"/>
    <w:docVar w:name="LW_TYPE.DOC.CP" w:val="COMMISSION STAFF WORKING DOCUMENT"/>
    <w:docVar w:name="LW_TYPEACTEPRINCIPAL.CP" w:val="COMMUNICATION FROM THE COMMISSION TO THE EUROPEAN PARLIAMENT, THE COUNCIL, THE EUROPEAN ECONOMIC AND SOCIAL COMMITTEE AND THE COMMITTEE OF THE REGIONS_x000b_"/>
  </w:docVars>
  <w:rsids>
    <w:rsidRoot w:val="00121C79"/>
    <w:rsid w:val="00002899"/>
    <w:rsid w:val="000135BE"/>
    <w:rsid w:val="0001734F"/>
    <w:rsid w:val="00030792"/>
    <w:rsid w:val="0003098F"/>
    <w:rsid w:val="0003195A"/>
    <w:rsid w:val="0003202E"/>
    <w:rsid w:val="000508DB"/>
    <w:rsid w:val="000549CD"/>
    <w:rsid w:val="00063611"/>
    <w:rsid w:val="00066572"/>
    <w:rsid w:val="000673F7"/>
    <w:rsid w:val="00080980"/>
    <w:rsid w:val="00083C04"/>
    <w:rsid w:val="0008681C"/>
    <w:rsid w:val="00093B56"/>
    <w:rsid w:val="00093C51"/>
    <w:rsid w:val="00094D02"/>
    <w:rsid w:val="000A2E63"/>
    <w:rsid w:val="000B0117"/>
    <w:rsid w:val="000B0838"/>
    <w:rsid w:val="000C510D"/>
    <w:rsid w:val="000E5CFA"/>
    <w:rsid w:val="000F26E1"/>
    <w:rsid w:val="0010079E"/>
    <w:rsid w:val="0010358F"/>
    <w:rsid w:val="00103866"/>
    <w:rsid w:val="0012194F"/>
    <w:rsid w:val="00121C79"/>
    <w:rsid w:val="00123674"/>
    <w:rsid w:val="00123E04"/>
    <w:rsid w:val="00125FDB"/>
    <w:rsid w:val="001421C3"/>
    <w:rsid w:val="00154737"/>
    <w:rsid w:val="001559E6"/>
    <w:rsid w:val="001704B6"/>
    <w:rsid w:val="00172885"/>
    <w:rsid w:val="001820BF"/>
    <w:rsid w:val="00184E3F"/>
    <w:rsid w:val="0018707A"/>
    <w:rsid w:val="001943AD"/>
    <w:rsid w:val="00194FE3"/>
    <w:rsid w:val="001A283E"/>
    <w:rsid w:val="001A3602"/>
    <w:rsid w:val="001A6606"/>
    <w:rsid w:val="001D1110"/>
    <w:rsid w:val="001D423A"/>
    <w:rsid w:val="001E0864"/>
    <w:rsid w:val="001F7B43"/>
    <w:rsid w:val="002066B5"/>
    <w:rsid w:val="002072FC"/>
    <w:rsid w:val="00213775"/>
    <w:rsid w:val="0021697D"/>
    <w:rsid w:val="00217B95"/>
    <w:rsid w:val="002212C9"/>
    <w:rsid w:val="00224477"/>
    <w:rsid w:val="00232648"/>
    <w:rsid w:val="0023538C"/>
    <w:rsid w:val="00240DD8"/>
    <w:rsid w:val="0025355F"/>
    <w:rsid w:val="00257EA1"/>
    <w:rsid w:val="002601BC"/>
    <w:rsid w:val="00271ACA"/>
    <w:rsid w:val="00272053"/>
    <w:rsid w:val="00273A79"/>
    <w:rsid w:val="00282AF8"/>
    <w:rsid w:val="002917E7"/>
    <w:rsid w:val="00295C86"/>
    <w:rsid w:val="002A1E42"/>
    <w:rsid w:val="002A211F"/>
    <w:rsid w:val="002A3FE5"/>
    <w:rsid w:val="002A4AB7"/>
    <w:rsid w:val="002A7488"/>
    <w:rsid w:val="002C573A"/>
    <w:rsid w:val="002C5F9B"/>
    <w:rsid w:val="002D6CC8"/>
    <w:rsid w:val="002E6115"/>
    <w:rsid w:val="002F4541"/>
    <w:rsid w:val="002F4775"/>
    <w:rsid w:val="002F76FF"/>
    <w:rsid w:val="00305213"/>
    <w:rsid w:val="00306026"/>
    <w:rsid w:val="003367C6"/>
    <w:rsid w:val="00370331"/>
    <w:rsid w:val="00372314"/>
    <w:rsid w:val="00377755"/>
    <w:rsid w:val="00390A46"/>
    <w:rsid w:val="00393F1B"/>
    <w:rsid w:val="003A4CF7"/>
    <w:rsid w:val="003C7936"/>
    <w:rsid w:val="003D645D"/>
    <w:rsid w:val="003E070F"/>
    <w:rsid w:val="003E41DF"/>
    <w:rsid w:val="003F2C3A"/>
    <w:rsid w:val="00403250"/>
    <w:rsid w:val="004212BA"/>
    <w:rsid w:val="00422304"/>
    <w:rsid w:val="00423F96"/>
    <w:rsid w:val="004375A6"/>
    <w:rsid w:val="0044453A"/>
    <w:rsid w:val="00464DAC"/>
    <w:rsid w:val="00466530"/>
    <w:rsid w:val="00472CBC"/>
    <w:rsid w:val="004746B8"/>
    <w:rsid w:val="00475CCC"/>
    <w:rsid w:val="00475F50"/>
    <w:rsid w:val="004A520D"/>
    <w:rsid w:val="004A714D"/>
    <w:rsid w:val="004C1D22"/>
    <w:rsid w:val="004C2246"/>
    <w:rsid w:val="004C3C3A"/>
    <w:rsid w:val="004C640E"/>
    <w:rsid w:val="004C6C15"/>
    <w:rsid w:val="005056BE"/>
    <w:rsid w:val="00520138"/>
    <w:rsid w:val="0054733E"/>
    <w:rsid w:val="00547678"/>
    <w:rsid w:val="00561D0A"/>
    <w:rsid w:val="00570D1E"/>
    <w:rsid w:val="005766F4"/>
    <w:rsid w:val="00596E11"/>
    <w:rsid w:val="005A23F4"/>
    <w:rsid w:val="005B2EE9"/>
    <w:rsid w:val="005C6134"/>
    <w:rsid w:val="005D5F57"/>
    <w:rsid w:val="005E3DCA"/>
    <w:rsid w:val="005E6881"/>
    <w:rsid w:val="006135A0"/>
    <w:rsid w:val="00621878"/>
    <w:rsid w:val="00622B11"/>
    <w:rsid w:val="006255C1"/>
    <w:rsid w:val="00631047"/>
    <w:rsid w:val="006364BA"/>
    <w:rsid w:val="00654755"/>
    <w:rsid w:val="0066474F"/>
    <w:rsid w:val="006767C5"/>
    <w:rsid w:val="00686B7B"/>
    <w:rsid w:val="006921C8"/>
    <w:rsid w:val="00696BF7"/>
    <w:rsid w:val="006A518B"/>
    <w:rsid w:val="006B66CD"/>
    <w:rsid w:val="006C275F"/>
    <w:rsid w:val="006C307F"/>
    <w:rsid w:val="006D4F0E"/>
    <w:rsid w:val="006D5DA6"/>
    <w:rsid w:val="006F2E72"/>
    <w:rsid w:val="007027DD"/>
    <w:rsid w:val="007042D0"/>
    <w:rsid w:val="00771498"/>
    <w:rsid w:val="00781950"/>
    <w:rsid w:val="00785665"/>
    <w:rsid w:val="007909C3"/>
    <w:rsid w:val="0079637A"/>
    <w:rsid w:val="007A2050"/>
    <w:rsid w:val="007A3EC0"/>
    <w:rsid w:val="007B1802"/>
    <w:rsid w:val="007D4B40"/>
    <w:rsid w:val="007D6610"/>
    <w:rsid w:val="007E762A"/>
    <w:rsid w:val="008049FB"/>
    <w:rsid w:val="00805B5B"/>
    <w:rsid w:val="00814BEA"/>
    <w:rsid w:val="0081718D"/>
    <w:rsid w:val="00817380"/>
    <w:rsid w:val="00823229"/>
    <w:rsid w:val="00831FAB"/>
    <w:rsid w:val="008342E3"/>
    <w:rsid w:val="00834724"/>
    <w:rsid w:val="00860B4D"/>
    <w:rsid w:val="00873C48"/>
    <w:rsid w:val="008825FC"/>
    <w:rsid w:val="008C60A9"/>
    <w:rsid w:val="008D2B20"/>
    <w:rsid w:val="008E260B"/>
    <w:rsid w:val="008E63D2"/>
    <w:rsid w:val="009136D2"/>
    <w:rsid w:val="00916D22"/>
    <w:rsid w:val="00920444"/>
    <w:rsid w:val="009421A1"/>
    <w:rsid w:val="009423EC"/>
    <w:rsid w:val="009434B3"/>
    <w:rsid w:val="0095418C"/>
    <w:rsid w:val="009542E5"/>
    <w:rsid w:val="009618D8"/>
    <w:rsid w:val="009626FB"/>
    <w:rsid w:val="00967200"/>
    <w:rsid w:val="009857EA"/>
    <w:rsid w:val="009D7C86"/>
    <w:rsid w:val="009E0DFF"/>
    <w:rsid w:val="009E1BB2"/>
    <w:rsid w:val="009F2713"/>
    <w:rsid w:val="009F6FCF"/>
    <w:rsid w:val="009F7FE5"/>
    <w:rsid w:val="00A05349"/>
    <w:rsid w:val="00A377C3"/>
    <w:rsid w:val="00A40CD6"/>
    <w:rsid w:val="00A41506"/>
    <w:rsid w:val="00A47073"/>
    <w:rsid w:val="00A549AA"/>
    <w:rsid w:val="00A62AE9"/>
    <w:rsid w:val="00A745A4"/>
    <w:rsid w:val="00A753DF"/>
    <w:rsid w:val="00A83532"/>
    <w:rsid w:val="00A9788B"/>
    <w:rsid w:val="00AA28AB"/>
    <w:rsid w:val="00AA4E70"/>
    <w:rsid w:val="00AD522F"/>
    <w:rsid w:val="00AF4E48"/>
    <w:rsid w:val="00B14626"/>
    <w:rsid w:val="00B16773"/>
    <w:rsid w:val="00B16775"/>
    <w:rsid w:val="00B16E56"/>
    <w:rsid w:val="00B2464A"/>
    <w:rsid w:val="00B25F1B"/>
    <w:rsid w:val="00B347EB"/>
    <w:rsid w:val="00B3582B"/>
    <w:rsid w:val="00B36031"/>
    <w:rsid w:val="00B537BB"/>
    <w:rsid w:val="00B90B1F"/>
    <w:rsid w:val="00B932F2"/>
    <w:rsid w:val="00BA7223"/>
    <w:rsid w:val="00BE0D1A"/>
    <w:rsid w:val="00BE3012"/>
    <w:rsid w:val="00BF1986"/>
    <w:rsid w:val="00BF54A4"/>
    <w:rsid w:val="00BF5803"/>
    <w:rsid w:val="00C23917"/>
    <w:rsid w:val="00C25D40"/>
    <w:rsid w:val="00C27100"/>
    <w:rsid w:val="00C334BF"/>
    <w:rsid w:val="00C36D2D"/>
    <w:rsid w:val="00C730C0"/>
    <w:rsid w:val="00C8475C"/>
    <w:rsid w:val="00C96E94"/>
    <w:rsid w:val="00CA3E04"/>
    <w:rsid w:val="00CA72FD"/>
    <w:rsid w:val="00CC0C40"/>
    <w:rsid w:val="00CD6555"/>
    <w:rsid w:val="00D102EF"/>
    <w:rsid w:val="00D12C78"/>
    <w:rsid w:val="00D20D52"/>
    <w:rsid w:val="00D33114"/>
    <w:rsid w:val="00D42904"/>
    <w:rsid w:val="00D70C2D"/>
    <w:rsid w:val="00DA2FD3"/>
    <w:rsid w:val="00DA55A1"/>
    <w:rsid w:val="00DB18AB"/>
    <w:rsid w:val="00DC32ED"/>
    <w:rsid w:val="00DC3B34"/>
    <w:rsid w:val="00DD6CB6"/>
    <w:rsid w:val="00DD790F"/>
    <w:rsid w:val="00E05E50"/>
    <w:rsid w:val="00E405E8"/>
    <w:rsid w:val="00E46706"/>
    <w:rsid w:val="00E51129"/>
    <w:rsid w:val="00E80C8B"/>
    <w:rsid w:val="00E839EC"/>
    <w:rsid w:val="00EA212B"/>
    <w:rsid w:val="00EA2549"/>
    <w:rsid w:val="00EB5BEF"/>
    <w:rsid w:val="00ED1A25"/>
    <w:rsid w:val="00ED66D5"/>
    <w:rsid w:val="00EE5D78"/>
    <w:rsid w:val="00EF71CF"/>
    <w:rsid w:val="00F0075C"/>
    <w:rsid w:val="00F06CA6"/>
    <w:rsid w:val="00F13191"/>
    <w:rsid w:val="00F225E1"/>
    <w:rsid w:val="00F23259"/>
    <w:rsid w:val="00F2340A"/>
    <w:rsid w:val="00F328D8"/>
    <w:rsid w:val="00F41569"/>
    <w:rsid w:val="00F6432F"/>
    <w:rsid w:val="00F6499A"/>
    <w:rsid w:val="00F672C2"/>
    <w:rsid w:val="00F67FC5"/>
    <w:rsid w:val="00F7545A"/>
    <w:rsid w:val="00F7668A"/>
    <w:rsid w:val="00F96BA1"/>
    <w:rsid w:val="00FA42C1"/>
    <w:rsid w:val="00FA769E"/>
    <w:rsid w:val="00FB23E5"/>
    <w:rsid w:val="00FB6F03"/>
    <w:rsid w:val="00FC0D0D"/>
    <w:rsid w:val="00FC3B9E"/>
    <w:rsid w:val="00FD7B97"/>
    <w:rsid w:val="00FE1C5D"/>
    <w:rsid w:val="00FE1D02"/>
    <w:rsid w:val="00FF0D49"/>
    <w:rsid w:val="00FF1F11"/>
    <w:rsid w:val="00FF7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79"/>
  </w:style>
  <w:style w:type="paragraph" w:styleId="Heading1">
    <w:name w:val="heading 1"/>
    <w:basedOn w:val="Normal"/>
    <w:next w:val="Normal"/>
    <w:link w:val="Heading1Char"/>
    <w:uiPriority w:val="9"/>
    <w:qFormat/>
    <w:rsid w:val="00CA72FD"/>
    <w:pPr>
      <w:keepNext/>
      <w:keepLines/>
      <w:spacing w:before="480" w:after="0"/>
      <w:outlineLvl w:val="0"/>
    </w:pPr>
    <w:rPr>
      <w:rFonts w:asciiTheme="majorHAnsi" w:eastAsiaTheme="majorEastAsia" w:hAnsiTheme="majorHAnsi" w:cstheme="majorBidi"/>
      <w:b/>
      <w:bCs/>
      <w:color w:val="365F91" w:themeColor="accent1" w:themeShade="BF"/>
      <w:sz w:val="40"/>
      <w:szCs w:val="40"/>
      <w:lang w:val="en"/>
    </w:rPr>
  </w:style>
  <w:style w:type="paragraph" w:styleId="Heading2">
    <w:name w:val="heading 2"/>
    <w:basedOn w:val="Normal"/>
    <w:next w:val="Normal"/>
    <w:link w:val="Heading2Char"/>
    <w:uiPriority w:val="9"/>
    <w:unhideWhenUsed/>
    <w:qFormat/>
    <w:rsid w:val="006C27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27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42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1C79"/>
    <w:rPr>
      <w:color w:val="0000FF"/>
      <w:u w:val="single"/>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rsid w:val="00121C79"/>
    <w:pPr>
      <w:ind w:left="720"/>
      <w:contextualSpacing/>
    </w:pPr>
    <w:rPr>
      <w:rFonts w:ascii="Calibri" w:eastAsia="Calibri" w:hAnsi="Calibri" w:cs="Times New Roman"/>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link w:val="SUPERSChar"/>
    <w:uiPriority w:val="99"/>
    <w:unhideWhenUsed/>
    <w:qFormat/>
    <w:rsid w:val="00121C79"/>
    <w:rPr>
      <w:vertAlign w:val="superscript"/>
    </w:rPr>
  </w:style>
  <w:style w:type="character" w:customStyle="1" w:styleId="FootnoteTextChar">
    <w:name w:val="Footnote Text Char"/>
    <w:aliases w:val="Footnote text Char,Fußnote Char,Footnote Text1 Char,Footnote Text Char Char Char Char,Fu§notentext Char Char,Fu§notentext Char1 Char1 Char,Fu§notentext Char Char Char Char Char,IFZ f Char,f Char,fn Char,Fußnotentext Char Char,ft Char"/>
    <w:basedOn w:val="DefaultParagraphFont"/>
    <w:link w:val="FootnoteText"/>
    <w:uiPriority w:val="99"/>
    <w:locked/>
    <w:rsid w:val="00121C79"/>
    <w:rPr>
      <w:rFonts w:ascii="Times New Roman" w:eastAsia="Times New Roman" w:hAnsi="Times New Roman" w:cs="Times New Roman"/>
      <w:sz w:val="20"/>
      <w:szCs w:val="20"/>
      <w:lang w:val="x-none" w:eastAsia="de-DE"/>
    </w:rPr>
  </w:style>
  <w:style w:type="paragraph" w:styleId="FootnoteText">
    <w:name w:val="footnote text"/>
    <w:aliases w:val="Footnote text,Fußnote,Footnote Text1,Footnote Text Char Char Char,Fu§notentext Char,Fu§notentext Char1 Char1,Fu§notentext Char Char Char Char,IFZ f,f,fn,Fußnotentext Char,Fußnotentext Char1 Char1,Fußnotentext Char Char Char Char,Char,ft"/>
    <w:basedOn w:val="Normal"/>
    <w:link w:val="FootnoteTextChar"/>
    <w:uiPriority w:val="99"/>
    <w:unhideWhenUsed/>
    <w:qFormat/>
    <w:rsid w:val="00121C79"/>
    <w:pPr>
      <w:spacing w:after="0" w:line="240" w:lineRule="auto"/>
      <w:ind w:left="720" w:hanging="720"/>
      <w:jc w:val="both"/>
    </w:pPr>
    <w:rPr>
      <w:rFonts w:ascii="Times New Roman" w:eastAsia="Times New Roman" w:hAnsi="Times New Roman" w:cs="Times New Roman"/>
      <w:sz w:val="20"/>
      <w:szCs w:val="20"/>
      <w:lang w:val="x-none" w:eastAsia="de-DE"/>
    </w:rPr>
  </w:style>
  <w:style w:type="character" w:customStyle="1" w:styleId="FootnoteTextChar1">
    <w:name w:val="Footnote Text Char1"/>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sid w:val="00121C79"/>
    <w:rPr>
      <w:sz w:val="20"/>
      <w:szCs w:val="20"/>
    </w:rPr>
  </w:style>
  <w:style w:type="paragraph" w:customStyle="1" w:styleId="SUPERSChar">
    <w:name w:val="SUPERS Char"/>
    <w:aliases w:val="EN Footnote Reference Char"/>
    <w:basedOn w:val="Normal"/>
    <w:link w:val="FootnoteReference"/>
    <w:uiPriority w:val="99"/>
    <w:rsid w:val="00121C79"/>
    <w:pPr>
      <w:widowControl w:val="0"/>
      <w:adjustRightInd w:val="0"/>
      <w:spacing w:after="160" w:line="240" w:lineRule="exact"/>
      <w:jc w:val="both"/>
    </w:pPr>
    <w:rPr>
      <w:vertAlign w:val="superscript"/>
    </w:rPr>
  </w:style>
  <w:style w:type="paragraph" w:styleId="Header">
    <w:name w:val="header"/>
    <w:basedOn w:val="Normal"/>
    <w:link w:val="HeaderChar"/>
    <w:uiPriority w:val="99"/>
    <w:unhideWhenUsed/>
    <w:rsid w:val="00121C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1C79"/>
  </w:style>
  <w:style w:type="paragraph" w:styleId="Footer">
    <w:name w:val="footer"/>
    <w:basedOn w:val="Normal"/>
    <w:link w:val="FooterChar"/>
    <w:uiPriority w:val="99"/>
    <w:unhideWhenUsed/>
    <w:rsid w:val="00121C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1C79"/>
  </w:style>
  <w:style w:type="paragraph" w:styleId="BalloonText">
    <w:name w:val="Balloon Text"/>
    <w:basedOn w:val="Normal"/>
    <w:link w:val="BalloonTextChar"/>
    <w:uiPriority w:val="99"/>
    <w:semiHidden/>
    <w:unhideWhenUsed/>
    <w:rsid w:val="00282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F8"/>
    <w:rPr>
      <w:rFonts w:ascii="Tahoma" w:hAnsi="Tahoma" w:cs="Tahoma"/>
      <w:sz w:val="16"/>
      <w:szCs w:val="16"/>
    </w:rPr>
  </w:style>
  <w:style w:type="paragraph" w:styleId="NormalWeb">
    <w:name w:val="Normal (Web)"/>
    <w:basedOn w:val="Normal"/>
    <w:link w:val="NormalWebChar"/>
    <w:uiPriority w:val="99"/>
    <w:unhideWhenUsed/>
    <w:rsid w:val="00631047"/>
    <w:pPr>
      <w:spacing w:after="15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72FD"/>
    <w:rPr>
      <w:rFonts w:asciiTheme="majorHAnsi" w:eastAsiaTheme="majorEastAsia" w:hAnsiTheme="majorHAnsi" w:cstheme="majorBidi"/>
      <w:b/>
      <w:bCs/>
      <w:color w:val="365F91" w:themeColor="accent1" w:themeShade="BF"/>
      <w:sz w:val="40"/>
      <w:szCs w:val="40"/>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464DAC"/>
    <w:pPr>
      <w:spacing w:after="0" w:line="240" w:lineRule="auto"/>
      <w:ind w:left="284" w:hanging="284"/>
      <w:jc w:val="both"/>
    </w:pPr>
    <w:rPr>
      <w:vertAlign w:val="superscript"/>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sid w:val="00464DAC"/>
    <w:rPr>
      <w:rFonts w:ascii="Calibri" w:eastAsia="Calibri" w:hAnsi="Calibri" w:cs="Times New Roman"/>
    </w:rPr>
  </w:style>
  <w:style w:type="character" w:styleId="CommentReference">
    <w:name w:val="annotation reference"/>
    <w:basedOn w:val="DefaultParagraphFont"/>
    <w:uiPriority w:val="99"/>
    <w:semiHidden/>
    <w:unhideWhenUsed/>
    <w:rsid w:val="007A2050"/>
    <w:rPr>
      <w:sz w:val="16"/>
      <w:szCs w:val="16"/>
    </w:rPr>
  </w:style>
  <w:style w:type="paragraph" w:styleId="CommentText">
    <w:name w:val="annotation text"/>
    <w:basedOn w:val="Normal"/>
    <w:link w:val="CommentTextChar"/>
    <w:uiPriority w:val="99"/>
    <w:semiHidden/>
    <w:unhideWhenUsed/>
    <w:rsid w:val="007A2050"/>
    <w:pPr>
      <w:spacing w:line="240" w:lineRule="auto"/>
    </w:pPr>
    <w:rPr>
      <w:sz w:val="20"/>
      <w:szCs w:val="20"/>
    </w:rPr>
  </w:style>
  <w:style w:type="character" w:customStyle="1" w:styleId="CommentTextChar">
    <w:name w:val="Comment Text Char"/>
    <w:basedOn w:val="DefaultParagraphFont"/>
    <w:link w:val="CommentText"/>
    <w:uiPriority w:val="99"/>
    <w:semiHidden/>
    <w:rsid w:val="007A2050"/>
    <w:rPr>
      <w:sz w:val="20"/>
      <w:szCs w:val="20"/>
    </w:rPr>
  </w:style>
  <w:style w:type="character" w:styleId="Strong">
    <w:name w:val="Strong"/>
    <w:basedOn w:val="DefaultParagraphFont"/>
    <w:uiPriority w:val="22"/>
    <w:qFormat/>
    <w:rsid w:val="007A2050"/>
    <w:rPr>
      <w:b/>
      <w:bCs/>
    </w:rPr>
  </w:style>
  <w:style w:type="character" w:customStyle="1" w:styleId="Heading4Char">
    <w:name w:val="Heading 4 Char"/>
    <w:basedOn w:val="DefaultParagraphFont"/>
    <w:link w:val="Heading4"/>
    <w:uiPriority w:val="9"/>
    <w:rsid w:val="009542E5"/>
    <w:rPr>
      <w:rFonts w:asciiTheme="majorHAnsi" w:eastAsiaTheme="majorEastAsia" w:hAnsiTheme="majorHAnsi" w:cstheme="majorBidi"/>
      <w:b/>
      <w:bCs/>
      <w:i/>
      <w:iCs/>
      <w:color w:val="4F81BD" w:themeColor="accent1"/>
    </w:rPr>
  </w:style>
  <w:style w:type="character" w:customStyle="1" w:styleId="NormalWebChar">
    <w:name w:val="Normal (Web) Char"/>
    <w:link w:val="NormalWeb"/>
    <w:uiPriority w:val="99"/>
    <w:rsid w:val="009542E5"/>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6C275F"/>
    <w:pPr>
      <w:outlineLvl w:val="9"/>
    </w:pPr>
    <w:rPr>
      <w:sz w:val="28"/>
      <w:szCs w:val="28"/>
      <w:lang w:val="en-US" w:eastAsia="ja-JP"/>
    </w:rPr>
  </w:style>
  <w:style w:type="paragraph" w:styleId="TOC1">
    <w:name w:val="toc 1"/>
    <w:basedOn w:val="Normal"/>
    <w:next w:val="Normal"/>
    <w:autoRedefine/>
    <w:uiPriority w:val="39"/>
    <w:unhideWhenUsed/>
    <w:qFormat/>
    <w:rsid w:val="006C275F"/>
    <w:pPr>
      <w:spacing w:after="100"/>
    </w:pPr>
  </w:style>
  <w:style w:type="character" w:customStyle="1" w:styleId="Heading2Char">
    <w:name w:val="Heading 2 Char"/>
    <w:basedOn w:val="DefaultParagraphFont"/>
    <w:link w:val="Heading2"/>
    <w:uiPriority w:val="9"/>
    <w:rsid w:val="006C275F"/>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6C275F"/>
    <w:pPr>
      <w:spacing w:after="100"/>
      <w:ind w:left="220"/>
    </w:pPr>
  </w:style>
  <w:style w:type="character" w:customStyle="1" w:styleId="Heading3Char">
    <w:name w:val="Heading 3 Char"/>
    <w:basedOn w:val="DefaultParagraphFont"/>
    <w:link w:val="Heading3"/>
    <w:uiPriority w:val="9"/>
    <w:rsid w:val="006C275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4746B8"/>
    <w:pPr>
      <w:spacing w:after="100"/>
      <w:ind w:left="440"/>
    </w:pPr>
    <w:rPr>
      <w:rFonts w:eastAsiaTheme="minorEastAsia"/>
      <w:lang w:val="en-US" w:eastAsia="ja-JP"/>
    </w:rPr>
  </w:style>
  <w:style w:type="character" w:customStyle="1" w:styleId="Marker">
    <w:name w:val="Marker"/>
    <w:basedOn w:val="DefaultParagraphFont"/>
    <w:rsid w:val="0010358F"/>
    <w:rPr>
      <w:color w:val="0000FF"/>
      <w:shd w:val="clear" w:color="auto" w:fill="auto"/>
    </w:rPr>
  </w:style>
  <w:style w:type="paragraph" w:customStyle="1" w:styleId="Pagedecouverture">
    <w:name w:val="Page de couverture"/>
    <w:basedOn w:val="Normal"/>
    <w:next w:val="Normal"/>
    <w:rsid w:val="0010358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10358F"/>
    <w:pPr>
      <w:tabs>
        <w:tab w:val="center" w:pos="4535"/>
        <w:tab w:val="right" w:pos="9071"/>
        <w:tab w:val="right" w:pos="9921"/>
      </w:tabs>
      <w:spacing w:before="360" w:after="0" w:line="240" w:lineRule="auto"/>
      <w:ind w:left="-850" w:right="-850"/>
    </w:pPr>
    <w:rPr>
      <w:rFonts w:ascii="Times New Roman" w:eastAsiaTheme="majorEastAsia" w:hAnsi="Times New Roman" w:cs="Times New Roman"/>
      <w:bCs/>
      <w:color w:val="365F91" w:themeColor="accent1" w:themeShade="BF"/>
      <w:sz w:val="24"/>
      <w:szCs w:val="40"/>
      <w:lang w:val="en"/>
    </w:rPr>
  </w:style>
  <w:style w:type="character" w:customStyle="1" w:styleId="FooterCoverPageChar">
    <w:name w:val="Footer Cover Page Char"/>
    <w:basedOn w:val="DefaultParagraphFont"/>
    <w:link w:val="FooterCoverPage"/>
    <w:rsid w:val="0010358F"/>
    <w:rPr>
      <w:rFonts w:ascii="Times New Roman" w:eastAsiaTheme="majorEastAsia" w:hAnsi="Times New Roman" w:cs="Times New Roman"/>
      <w:bCs/>
      <w:color w:val="365F91" w:themeColor="accent1" w:themeShade="BF"/>
      <w:sz w:val="24"/>
      <w:szCs w:val="40"/>
      <w:lang w:val="en"/>
    </w:rPr>
  </w:style>
  <w:style w:type="paragraph" w:customStyle="1" w:styleId="HeaderCoverPage">
    <w:name w:val="Header Cover Page"/>
    <w:basedOn w:val="Normal"/>
    <w:link w:val="HeaderCoverPageChar"/>
    <w:rsid w:val="0010358F"/>
    <w:pPr>
      <w:tabs>
        <w:tab w:val="center" w:pos="4535"/>
        <w:tab w:val="right" w:pos="9071"/>
      </w:tabs>
      <w:spacing w:after="120" w:line="240" w:lineRule="auto"/>
      <w:jc w:val="both"/>
    </w:pPr>
    <w:rPr>
      <w:rFonts w:ascii="Times New Roman" w:eastAsiaTheme="majorEastAsia" w:hAnsi="Times New Roman" w:cs="Times New Roman"/>
      <w:bCs/>
      <w:color w:val="365F91" w:themeColor="accent1" w:themeShade="BF"/>
      <w:sz w:val="24"/>
      <w:szCs w:val="40"/>
      <w:lang w:val="en"/>
    </w:rPr>
  </w:style>
  <w:style w:type="character" w:customStyle="1" w:styleId="HeaderCoverPageChar">
    <w:name w:val="Header Cover Page Char"/>
    <w:basedOn w:val="DefaultParagraphFont"/>
    <w:link w:val="HeaderCoverPage"/>
    <w:rsid w:val="0010358F"/>
    <w:rPr>
      <w:rFonts w:ascii="Times New Roman" w:eastAsiaTheme="majorEastAsia" w:hAnsi="Times New Roman" w:cs="Times New Roman"/>
      <w:bCs/>
      <w:color w:val="365F91" w:themeColor="accent1" w:themeShade="BF"/>
      <w:sz w:val="24"/>
      <w:szCs w:val="40"/>
      <w:lang w:val="en"/>
    </w:rPr>
  </w:style>
  <w:style w:type="character" w:styleId="Emphasis">
    <w:name w:val="Emphasis"/>
    <w:basedOn w:val="DefaultParagraphFont"/>
    <w:uiPriority w:val="20"/>
    <w:qFormat/>
    <w:rsid w:val="00403250"/>
    <w:rPr>
      <w:i/>
      <w:iCs/>
    </w:rPr>
  </w:style>
  <w:style w:type="paragraph" w:styleId="CommentSubject">
    <w:name w:val="annotation subject"/>
    <w:basedOn w:val="CommentText"/>
    <w:next w:val="CommentText"/>
    <w:link w:val="CommentSubjectChar"/>
    <w:uiPriority w:val="99"/>
    <w:semiHidden/>
    <w:unhideWhenUsed/>
    <w:rsid w:val="00967200"/>
    <w:rPr>
      <w:b/>
      <w:bCs/>
    </w:rPr>
  </w:style>
  <w:style w:type="character" w:customStyle="1" w:styleId="CommentSubjectChar">
    <w:name w:val="Comment Subject Char"/>
    <w:basedOn w:val="CommentTextChar"/>
    <w:link w:val="CommentSubject"/>
    <w:uiPriority w:val="99"/>
    <w:semiHidden/>
    <w:rsid w:val="00967200"/>
    <w:rPr>
      <w:b/>
      <w:bCs/>
      <w:sz w:val="20"/>
      <w:szCs w:val="20"/>
    </w:rPr>
  </w:style>
  <w:style w:type="paragraph" w:customStyle="1" w:styleId="LTTSoundbite">
    <w:name w:val="LTT Sound bite"/>
    <w:basedOn w:val="Normal"/>
    <w:qFormat/>
    <w:rsid w:val="00475F50"/>
    <w:pPr>
      <w:spacing w:after="0" w:line="240" w:lineRule="auto"/>
    </w:pPr>
    <w:rPr>
      <w:rFonts w:ascii="Calibri" w:eastAsia="Times New Roman" w:hAnsi="Calibri" w:cs="Calibri"/>
      <w:b/>
      <w:sz w:val="28"/>
      <w:szCs w:val="28"/>
      <w:lang w:eastAsia="en-GB"/>
    </w:rPr>
  </w:style>
  <w:style w:type="paragraph" w:customStyle="1" w:styleId="pfstage">
    <w:name w:val="pf_stage"/>
    <w:basedOn w:val="Normal"/>
    <w:uiPriority w:val="99"/>
    <w:rsid w:val="003D645D"/>
    <w:pPr>
      <w:spacing w:before="150" w:after="390" w:line="240" w:lineRule="auto"/>
    </w:pPr>
    <w:rPr>
      <w:rFonts w:ascii="Arial" w:eastAsia="Times New Roman" w:hAnsi="Arial" w:cs="Arial"/>
      <w:b/>
      <w:bCs/>
      <w:color w:val="D91221"/>
      <w:sz w:val="24"/>
      <w:szCs w:val="24"/>
      <w:lang w:eastAsia="en-GB"/>
    </w:rPr>
  </w:style>
  <w:style w:type="paragraph" w:styleId="Revision">
    <w:name w:val="Revision"/>
    <w:hidden/>
    <w:uiPriority w:val="99"/>
    <w:semiHidden/>
    <w:rsid w:val="00CA3E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79"/>
  </w:style>
  <w:style w:type="paragraph" w:styleId="Heading1">
    <w:name w:val="heading 1"/>
    <w:basedOn w:val="Normal"/>
    <w:next w:val="Normal"/>
    <w:link w:val="Heading1Char"/>
    <w:uiPriority w:val="9"/>
    <w:qFormat/>
    <w:rsid w:val="00CA72FD"/>
    <w:pPr>
      <w:keepNext/>
      <w:keepLines/>
      <w:spacing w:before="480" w:after="0"/>
      <w:outlineLvl w:val="0"/>
    </w:pPr>
    <w:rPr>
      <w:rFonts w:asciiTheme="majorHAnsi" w:eastAsiaTheme="majorEastAsia" w:hAnsiTheme="majorHAnsi" w:cstheme="majorBidi"/>
      <w:b/>
      <w:bCs/>
      <w:color w:val="365F91" w:themeColor="accent1" w:themeShade="BF"/>
      <w:sz w:val="40"/>
      <w:szCs w:val="40"/>
      <w:lang w:val="en"/>
    </w:rPr>
  </w:style>
  <w:style w:type="paragraph" w:styleId="Heading2">
    <w:name w:val="heading 2"/>
    <w:basedOn w:val="Normal"/>
    <w:next w:val="Normal"/>
    <w:link w:val="Heading2Char"/>
    <w:uiPriority w:val="9"/>
    <w:unhideWhenUsed/>
    <w:qFormat/>
    <w:rsid w:val="006C27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27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42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21C79"/>
    <w:rPr>
      <w:color w:val="0000FF"/>
      <w:u w:val="single"/>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rsid w:val="00121C79"/>
    <w:pPr>
      <w:ind w:left="720"/>
      <w:contextualSpacing/>
    </w:pPr>
    <w:rPr>
      <w:rFonts w:ascii="Calibri" w:eastAsia="Calibri" w:hAnsi="Calibri" w:cs="Times New Roman"/>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link w:val="SUPERSChar"/>
    <w:uiPriority w:val="99"/>
    <w:unhideWhenUsed/>
    <w:qFormat/>
    <w:rsid w:val="00121C79"/>
    <w:rPr>
      <w:vertAlign w:val="superscript"/>
    </w:rPr>
  </w:style>
  <w:style w:type="character" w:customStyle="1" w:styleId="FootnoteTextChar">
    <w:name w:val="Footnote Text Char"/>
    <w:aliases w:val="Footnote text Char,Fußnote Char,Footnote Text1 Char,Footnote Text Char Char Char Char,Fu§notentext Char Char,Fu§notentext Char1 Char1 Char,Fu§notentext Char Char Char Char Char,IFZ f Char,f Char,fn Char,Fußnotentext Char Char,ft Char"/>
    <w:basedOn w:val="DefaultParagraphFont"/>
    <w:link w:val="FootnoteText"/>
    <w:uiPriority w:val="99"/>
    <w:locked/>
    <w:rsid w:val="00121C79"/>
    <w:rPr>
      <w:rFonts w:ascii="Times New Roman" w:eastAsia="Times New Roman" w:hAnsi="Times New Roman" w:cs="Times New Roman"/>
      <w:sz w:val="20"/>
      <w:szCs w:val="20"/>
      <w:lang w:val="x-none" w:eastAsia="de-DE"/>
    </w:rPr>
  </w:style>
  <w:style w:type="paragraph" w:styleId="FootnoteText">
    <w:name w:val="footnote text"/>
    <w:aliases w:val="Footnote text,Fußnote,Footnote Text1,Footnote Text Char Char Char,Fu§notentext Char,Fu§notentext Char1 Char1,Fu§notentext Char Char Char Char,IFZ f,f,fn,Fußnotentext Char,Fußnotentext Char1 Char1,Fußnotentext Char Char Char Char,Char,ft"/>
    <w:basedOn w:val="Normal"/>
    <w:link w:val="FootnoteTextChar"/>
    <w:uiPriority w:val="99"/>
    <w:unhideWhenUsed/>
    <w:qFormat/>
    <w:rsid w:val="00121C79"/>
    <w:pPr>
      <w:spacing w:after="0" w:line="240" w:lineRule="auto"/>
      <w:ind w:left="720" w:hanging="720"/>
      <w:jc w:val="both"/>
    </w:pPr>
    <w:rPr>
      <w:rFonts w:ascii="Times New Roman" w:eastAsia="Times New Roman" w:hAnsi="Times New Roman" w:cs="Times New Roman"/>
      <w:sz w:val="20"/>
      <w:szCs w:val="20"/>
      <w:lang w:val="x-none" w:eastAsia="de-DE"/>
    </w:rPr>
  </w:style>
  <w:style w:type="character" w:customStyle="1" w:styleId="FootnoteTextChar1">
    <w:name w:val="Footnote Text Char1"/>
    <w:aliases w:val="Testo nota a piè di pagina_Rientro Char,stile 1 Char,Footnote Char,Footnote1 Char,Footnote2 Char,Footnote3 Char,Footnote4 Char,Footnote5 Char,Footnote6 Char,Footnote7 Char,Footnote8 Char,Footnote9 Char,Footnote10 Char,Footnote11 Char"/>
    <w:basedOn w:val="DefaultParagraphFont"/>
    <w:uiPriority w:val="99"/>
    <w:rsid w:val="00121C79"/>
    <w:rPr>
      <w:sz w:val="20"/>
      <w:szCs w:val="20"/>
    </w:rPr>
  </w:style>
  <w:style w:type="paragraph" w:customStyle="1" w:styleId="SUPERSChar">
    <w:name w:val="SUPERS Char"/>
    <w:aliases w:val="EN Footnote Reference Char"/>
    <w:basedOn w:val="Normal"/>
    <w:link w:val="FootnoteReference"/>
    <w:uiPriority w:val="99"/>
    <w:rsid w:val="00121C79"/>
    <w:pPr>
      <w:widowControl w:val="0"/>
      <w:adjustRightInd w:val="0"/>
      <w:spacing w:after="160" w:line="240" w:lineRule="exact"/>
      <w:jc w:val="both"/>
    </w:pPr>
    <w:rPr>
      <w:vertAlign w:val="superscript"/>
    </w:rPr>
  </w:style>
  <w:style w:type="paragraph" w:styleId="Header">
    <w:name w:val="header"/>
    <w:basedOn w:val="Normal"/>
    <w:link w:val="HeaderChar"/>
    <w:uiPriority w:val="99"/>
    <w:unhideWhenUsed/>
    <w:rsid w:val="00121C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1C79"/>
  </w:style>
  <w:style w:type="paragraph" w:styleId="Footer">
    <w:name w:val="footer"/>
    <w:basedOn w:val="Normal"/>
    <w:link w:val="FooterChar"/>
    <w:uiPriority w:val="99"/>
    <w:unhideWhenUsed/>
    <w:rsid w:val="00121C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1C79"/>
  </w:style>
  <w:style w:type="paragraph" w:styleId="BalloonText">
    <w:name w:val="Balloon Text"/>
    <w:basedOn w:val="Normal"/>
    <w:link w:val="BalloonTextChar"/>
    <w:uiPriority w:val="99"/>
    <w:semiHidden/>
    <w:unhideWhenUsed/>
    <w:rsid w:val="00282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F8"/>
    <w:rPr>
      <w:rFonts w:ascii="Tahoma" w:hAnsi="Tahoma" w:cs="Tahoma"/>
      <w:sz w:val="16"/>
      <w:szCs w:val="16"/>
    </w:rPr>
  </w:style>
  <w:style w:type="paragraph" w:styleId="NormalWeb">
    <w:name w:val="Normal (Web)"/>
    <w:basedOn w:val="Normal"/>
    <w:link w:val="NormalWebChar"/>
    <w:uiPriority w:val="99"/>
    <w:unhideWhenUsed/>
    <w:rsid w:val="00631047"/>
    <w:pPr>
      <w:spacing w:after="15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72FD"/>
    <w:rPr>
      <w:rFonts w:asciiTheme="majorHAnsi" w:eastAsiaTheme="majorEastAsia" w:hAnsiTheme="majorHAnsi" w:cstheme="majorBidi"/>
      <w:b/>
      <w:bCs/>
      <w:color w:val="365F91" w:themeColor="accent1" w:themeShade="BF"/>
      <w:sz w:val="40"/>
      <w:szCs w:val="40"/>
      <w:lang w:val="e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464DAC"/>
    <w:pPr>
      <w:spacing w:after="0" w:line="240" w:lineRule="auto"/>
      <w:ind w:left="284" w:hanging="284"/>
      <w:jc w:val="both"/>
    </w:pPr>
    <w:rPr>
      <w:vertAlign w:val="superscript"/>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sid w:val="00464DAC"/>
    <w:rPr>
      <w:rFonts w:ascii="Calibri" w:eastAsia="Calibri" w:hAnsi="Calibri" w:cs="Times New Roman"/>
    </w:rPr>
  </w:style>
  <w:style w:type="character" w:styleId="CommentReference">
    <w:name w:val="annotation reference"/>
    <w:basedOn w:val="DefaultParagraphFont"/>
    <w:uiPriority w:val="99"/>
    <w:semiHidden/>
    <w:unhideWhenUsed/>
    <w:rsid w:val="007A2050"/>
    <w:rPr>
      <w:sz w:val="16"/>
      <w:szCs w:val="16"/>
    </w:rPr>
  </w:style>
  <w:style w:type="paragraph" w:styleId="CommentText">
    <w:name w:val="annotation text"/>
    <w:basedOn w:val="Normal"/>
    <w:link w:val="CommentTextChar"/>
    <w:uiPriority w:val="99"/>
    <w:semiHidden/>
    <w:unhideWhenUsed/>
    <w:rsid w:val="007A2050"/>
    <w:pPr>
      <w:spacing w:line="240" w:lineRule="auto"/>
    </w:pPr>
    <w:rPr>
      <w:sz w:val="20"/>
      <w:szCs w:val="20"/>
    </w:rPr>
  </w:style>
  <w:style w:type="character" w:customStyle="1" w:styleId="CommentTextChar">
    <w:name w:val="Comment Text Char"/>
    <w:basedOn w:val="DefaultParagraphFont"/>
    <w:link w:val="CommentText"/>
    <w:uiPriority w:val="99"/>
    <w:semiHidden/>
    <w:rsid w:val="007A2050"/>
    <w:rPr>
      <w:sz w:val="20"/>
      <w:szCs w:val="20"/>
    </w:rPr>
  </w:style>
  <w:style w:type="character" w:styleId="Strong">
    <w:name w:val="Strong"/>
    <w:basedOn w:val="DefaultParagraphFont"/>
    <w:uiPriority w:val="22"/>
    <w:qFormat/>
    <w:rsid w:val="007A2050"/>
    <w:rPr>
      <w:b/>
      <w:bCs/>
    </w:rPr>
  </w:style>
  <w:style w:type="character" w:customStyle="1" w:styleId="Heading4Char">
    <w:name w:val="Heading 4 Char"/>
    <w:basedOn w:val="DefaultParagraphFont"/>
    <w:link w:val="Heading4"/>
    <w:uiPriority w:val="9"/>
    <w:rsid w:val="009542E5"/>
    <w:rPr>
      <w:rFonts w:asciiTheme="majorHAnsi" w:eastAsiaTheme="majorEastAsia" w:hAnsiTheme="majorHAnsi" w:cstheme="majorBidi"/>
      <w:b/>
      <w:bCs/>
      <w:i/>
      <w:iCs/>
      <w:color w:val="4F81BD" w:themeColor="accent1"/>
    </w:rPr>
  </w:style>
  <w:style w:type="character" w:customStyle="1" w:styleId="NormalWebChar">
    <w:name w:val="Normal (Web) Char"/>
    <w:link w:val="NormalWeb"/>
    <w:uiPriority w:val="99"/>
    <w:rsid w:val="009542E5"/>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6C275F"/>
    <w:pPr>
      <w:outlineLvl w:val="9"/>
    </w:pPr>
    <w:rPr>
      <w:sz w:val="28"/>
      <w:szCs w:val="28"/>
      <w:lang w:val="en-US" w:eastAsia="ja-JP"/>
    </w:rPr>
  </w:style>
  <w:style w:type="paragraph" w:styleId="TOC1">
    <w:name w:val="toc 1"/>
    <w:basedOn w:val="Normal"/>
    <w:next w:val="Normal"/>
    <w:autoRedefine/>
    <w:uiPriority w:val="39"/>
    <w:unhideWhenUsed/>
    <w:qFormat/>
    <w:rsid w:val="006C275F"/>
    <w:pPr>
      <w:spacing w:after="100"/>
    </w:pPr>
  </w:style>
  <w:style w:type="character" w:customStyle="1" w:styleId="Heading2Char">
    <w:name w:val="Heading 2 Char"/>
    <w:basedOn w:val="DefaultParagraphFont"/>
    <w:link w:val="Heading2"/>
    <w:uiPriority w:val="9"/>
    <w:rsid w:val="006C275F"/>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6C275F"/>
    <w:pPr>
      <w:spacing w:after="100"/>
      <w:ind w:left="220"/>
    </w:pPr>
  </w:style>
  <w:style w:type="character" w:customStyle="1" w:styleId="Heading3Char">
    <w:name w:val="Heading 3 Char"/>
    <w:basedOn w:val="DefaultParagraphFont"/>
    <w:link w:val="Heading3"/>
    <w:uiPriority w:val="9"/>
    <w:rsid w:val="006C275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4746B8"/>
    <w:pPr>
      <w:spacing w:after="100"/>
      <w:ind w:left="440"/>
    </w:pPr>
    <w:rPr>
      <w:rFonts w:eastAsiaTheme="minorEastAsia"/>
      <w:lang w:val="en-US" w:eastAsia="ja-JP"/>
    </w:rPr>
  </w:style>
  <w:style w:type="character" w:customStyle="1" w:styleId="Marker">
    <w:name w:val="Marker"/>
    <w:basedOn w:val="DefaultParagraphFont"/>
    <w:rsid w:val="0010358F"/>
    <w:rPr>
      <w:color w:val="0000FF"/>
      <w:shd w:val="clear" w:color="auto" w:fill="auto"/>
    </w:rPr>
  </w:style>
  <w:style w:type="paragraph" w:customStyle="1" w:styleId="Pagedecouverture">
    <w:name w:val="Page de couverture"/>
    <w:basedOn w:val="Normal"/>
    <w:next w:val="Normal"/>
    <w:rsid w:val="0010358F"/>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10358F"/>
    <w:pPr>
      <w:tabs>
        <w:tab w:val="center" w:pos="4535"/>
        <w:tab w:val="right" w:pos="9071"/>
        <w:tab w:val="right" w:pos="9921"/>
      </w:tabs>
      <w:spacing w:before="360" w:after="0" w:line="240" w:lineRule="auto"/>
      <w:ind w:left="-850" w:right="-850"/>
    </w:pPr>
    <w:rPr>
      <w:rFonts w:ascii="Times New Roman" w:eastAsiaTheme="majorEastAsia" w:hAnsi="Times New Roman" w:cs="Times New Roman"/>
      <w:bCs/>
      <w:color w:val="365F91" w:themeColor="accent1" w:themeShade="BF"/>
      <w:sz w:val="24"/>
      <w:szCs w:val="40"/>
      <w:lang w:val="en"/>
    </w:rPr>
  </w:style>
  <w:style w:type="character" w:customStyle="1" w:styleId="FooterCoverPageChar">
    <w:name w:val="Footer Cover Page Char"/>
    <w:basedOn w:val="DefaultParagraphFont"/>
    <w:link w:val="FooterCoverPage"/>
    <w:rsid w:val="0010358F"/>
    <w:rPr>
      <w:rFonts w:ascii="Times New Roman" w:eastAsiaTheme="majorEastAsia" w:hAnsi="Times New Roman" w:cs="Times New Roman"/>
      <w:bCs/>
      <w:color w:val="365F91" w:themeColor="accent1" w:themeShade="BF"/>
      <w:sz w:val="24"/>
      <w:szCs w:val="40"/>
      <w:lang w:val="en"/>
    </w:rPr>
  </w:style>
  <w:style w:type="paragraph" w:customStyle="1" w:styleId="HeaderCoverPage">
    <w:name w:val="Header Cover Page"/>
    <w:basedOn w:val="Normal"/>
    <w:link w:val="HeaderCoverPageChar"/>
    <w:rsid w:val="0010358F"/>
    <w:pPr>
      <w:tabs>
        <w:tab w:val="center" w:pos="4535"/>
        <w:tab w:val="right" w:pos="9071"/>
      </w:tabs>
      <w:spacing w:after="120" w:line="240" w:lineRule="auto"/>
      <w:jc w:val="both"/>
    </w:pPr>
    <w:rPr>
      <w:rFonts w:ascii="Times New Roman" w:eastAsiaTheme="majorEastAsia" w:hAnsi="Times New Roman" w:cs="Times New Roman"/>
      <w:bCs/>
      <w:color w:val="365F91" w:themeColor="accent1" w:themeShade="BF"/>
      <w:sz w:val="24"/>
      <w:szCs w:val="40"/>
      <w:lang w:val="en"/>
    </w:rPr>
  </w:style>
  <w:style w:type="character" w:customStyle="1" w:styleId="HeaderCoverPageChar">
    <w:name w:val="Header Cover Page Char"/>
    <w:basedOn w:val="DefaultParagraphFont"/>
    <w:link w:val="HeaderCoverPage"/>
    <w:rsid w:val="0010358F"/>
    <w:rPr>
      <w:rFonts w:ascii="Times New Roman" w:eastAsiaTheme="majorEastAsia" w:hAnsi="Times New Roman" w:cs="Times New Roman"/>
      <w:bCs/>
      <w:color w:val="365F91" w:themeColor="accent1" w:themeShade="BF"/>
      <w:sz w:val="24"/>
      <w:szCs w:val="40"/>
      <w:lang w:val="en"/>
    </w:rPr>
  </w:style>
  <w:style w:type="character" w:styleId="Emphasis">
    <w:name w:val="Emphasis"/>
    <w:basedOn w:val="DefaultParagraphFont"/>
    <w:uiPriority w:val="20"/>
    <w:qFormat/>
    <w:rsid w:val="00403250"/>
    <w:rPr>
      <w:i/>
      <w:iCs/>
    </w:rPr>
  </w:style>
  <w:style w:type="paragraph" w:styleId="CommentSubject">
    <w:name w:val="annotation subject"/>
    <w:basedOn w:val="CommentText"/>
    <w:next w:val="CommentText"/>
    <w:link w:val="CommentSubjectChar"/>
    <w:uiPriority w:val="99"/>
    <w:semiHidden/>
    <w:unhideWhenUsed/>
    <w:rsid w:val="00967200"/>
    <w:rPr>
      <w:b/>
      <w:bCs/>
    </w:rPr>
  </w:style>
  <w:style w:type="character" w:customStyle="1" w:styleId="CommentSubjectChar">
    <w:name w:val="Comment Subject Char"/>
    <w:basedOn w:val="CommentTextChar"/>
    <w:link w:val="CommentSubject"/>
    <w:uiPriority w:val="99"/>
    <w:semiHidden/>
    <w:rsid w:val="00967200"/>
    <w:rPr>
      <w:b/>
      <w:bCs/>
      <w:sz w:val="20"/>
      <w:szCs w:val="20"/>
    </w:rPr>
  </w:style>
  <w:style w:type="paragraph" w:customStyle="1" w:styleId="LTTSoundbite">
    <w:name w:val="LTT Sound bite"/>
    <w:basedOn w:val="Normal"/>
    <w:qFormat/>
    <w:rsid w:val="00475F50"/>
    <w:pPr>
      <w:spacing w:after="0" w:line="240" w:lineRule="auto"/>
    </w:pPr>
    <w:rPr>
      <w:rFonts w:ascii="Calibri" w:eastAsia="Times New Roman" w:hAnsi="Calibri" w:cs="Calibri"/>
      <w:b/>
      <w:sz w:val="28"/>
      <w:szCs w:val="28"/>
      <w:lang w:eastAsia="en-GB"/>
    </w:rPr>
  </w:style>
  <w:style w:type="paragraph" w:customStyle="1" w:styleId="pfstage">
    <w:name w:val="pf_stage"/>
    <w:basedOn w:val="Normal"/>
    <w:uiPriority w:val="99"/>
    <w:rsid w:val="003D645D"/>
    <w:pPr>
      <w:spacing w:before="150" w:after="390" w:line="240" w:lineRule="auto"/>
    </w:pPr>
    <w:rPr>
      <w:rFonts w:ascii="Arial" w:eastAsia="Times New Roman" w:hAnsi="Arial" w:cs="Arial"/>
      <w:b/>
      <w:bCs/>
      <w:color w:val="D91221"/>
      <w:sz w:val="24"/>
      <w:szCs w:val="24"/>
      <w:lang w:eastAsia="en-GB"/>
    </w:rPr>
  </w:style>
  <w:style w:type="paragraph" w:styleId="Revision">
    <w:name w:val="Revision"/>
    <w:hidden/>
    <w:uiPriority w:val="99"/>
    <w:semiHidden/>
    <w:rsid w:val="00CA3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0371">
      <w:bodyDiv w:val="1"/>
      <w:marLeft w:val="0"/>
      <w:marRight w:val="0"/>
      <w:marTop w:val="0"/>
      <w:marBottom w:val="0"/>
      <w:divBdr>
        <w:top w:val="none" w:sz="0" w:space="0" w:color="auto"/>
        <w:left w:val="none" w:sz="0" w:space="0" w:color="auto"/>
        <w:bottom w:val="none" w:sz="0" w:space="0" w:color="auto"/>
        <w:right w:val="none" w:sz="0" w:space="0" w:color="auto"/>
      </w:divBdr>
    </w:div>
    <w:div w:id="404911476">
      <w:bodyDiv w:val="1"/>
      <w:marLeft w:val="0"/>
      <w:marRight w:val="0"/>
      <w:marTop w:val="0"/>
      <w:marBottom w:val="0"/>
      <w:divBdr>
        <w:top w:val="none" w:sz="0" w:space="0" w:color="auto"/>
        <w:left w:val="none" w:sz="0" w:space="0" w:color="auto"/>
        <w:bottom w:val="none" w:sz="0" w:space="0" w:color="auto"/>
        <w:right w:val="none" w:sz="0" w:space="0" w:color="auto"/>
      </w:divBdr>
    </w:div>
    <w:div w:id="486871578">
      <w:bodyDiv w:val="1"/>
      <w:marLeft w:val="0"/>
      <w:marRight w:val="0"/>
      <w:marTop w:val="0"/>
      <w:marBottom w:val="0"/>
      <w:divBdr>
        <w:top w:val="none" w:sz="0" w:space="0" w:color="auto"/>
        <w:left w:val="none" w:sz="0" w:space="0" w:color="auto"/>
        <w:bottom w:val="none" w:sz="0" w:space="0" w:color="auto"/>
        <w:right w:val="none" w:sz="0" w:space="0" w:color="auto"/>
      </w:divBdr>
    </w:div>
    <w:div w:id="998315093">
      <w:bodyDiv w:val="1"/>
      <w:marLeft w:val="0"/>
      <w:marRight w:val="0"/>
      <w:marTop w:val="0"/>
      <w:marBottom w:val="0"/>
      <w:divBdr>
        <w:top w:val="none" w:sz="0" w:space="0" w:color="auto"/>
        <w:left w:val="none" w:sz="0" w:space="0" w:color="auto"/>
        <w:bottom w:val="none" w:sz="0" w:space="0" w:color="auto"/>
        <w:right w:val="none" w:sz="0" w:space="0" w:color="auto"/>
      </w:divBdr>
    </w:div>
    <w:div w:id="1567372027">
      <w:bodyDiv w:val="1"/>
      <w:marLeft w:val="0"/>
      <w:marRight w:val="0"/>
      <w:marTop w:val="0"/>
      <w:marBottom w:val="0"/>
      <w:divBdr>
        <w:top w:val="none" w:sz="0" w:space="0" w:color="auto"/>
        <w:left w:val="none" w:sz="0" w:space="0" w:color="auto"/>
        <w:bottom w:val="none" w:sz="0" w:space="0" w:color="auto"/>
        <w:right w:val="none" w:sz="0" w:space="0" w:color="auto"/>
      </w:divBdr>
    </w:div>
    <w:div w:id="1814984954">
      <w:bodyDiv w:val="1"/>
      <w:marLeft w:val="0"/>
      <w:marRight w:val="0"/>
      <w:marTop w:val="0"/>
      <w:marBottom w:val="0"/>
      <w:divBdr>
        <w:top w:val="none" w:sz="0" w:space="0" w:color="auto"/>
        <w:left w:val="none" w:sz="0" w:space="0" w:color="auto"/>
        <w:bottom w:val="none" w:sz="0" w:space="0" w:color="auto"/>
        <w:right w:val="none" w:sz="0" w:space="0" w:color="auto"/>
      </w:divBdr>
    </w:div>
    <w:div w:id="18565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eader" Target="header4.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hyperlink" Target="http://europa.eu/rapid/press-release_STATEMENT-16-1403_en.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smart-regulation/refit/refit-platform/index_en.htm" TargetMode="External"/><Relationship Id="rId20" Type="http://schemas.openxmlformats.org/officeDocument/2006/relationships/diagramColors" Target="diagrams/colors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uropa.eu/rapid/press-release_MEMO-16-2868_en.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file:///C:\Users\debeyju\AppData\Local\Microsoft\Windows\Temporary%20Internet%20Files\Content.Outlook\9X6X7S9K\nnnn"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5.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mart-regulation/refit/simplification/consultation/consultation_en.htm" TargetMode="External"/><Relationship Id="rId1" Type="http://schemas.openxmlformats.org/officeDocument/2006/relationships/hyperlink" Target="http://ec.europa.eu/info/law-making-process/evaluating-and-improving-existing-laws/refit-making-eu-law-simpler-and-less_en"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9C5491-3646-41ED-BACE-BE58C8F6A6B6}" type="doc">
      <dgm:prSet loTypeId="urn:microsoft.com/office/officeart/2005/8/layout/radial5" loCatId="cycle" qsTypeId="urn:microsoft.com/office/officeart/2005/8/quickstyle/simple5" qsCatId="simple" csTypeId="urn:microsoft.com/office/officeart/2005/8/colors/colorful2" csCatId="colorful" phldr="1"/>
      <dgm:spPr/>
      <dgm:t>
        <a:bodyPr/>
        <a:lstStyle/>
        <a:p>
          <a:endParaRPr lang="en-IE"/>
        </a:p>
      </dgm:t>
    </dgm:pt>
    <dgm:pt modelId="{0D68A0E0-FAB6-425E-8925-EE524681DB06}">
      <dgm:prSet phldrT="[Text]"/>
      <dgm:spPr/>
      <dgm:t>
        <a:bodyPr/>
        <a:lstStyle/>
        <a:p>
          <a:r>
            <a:rPr lang="en-IE"/>
            <a:t>EUR 500m Burden reduction for Business</a:t>
          </a:r>
        </a:p>
      </dgm:t>
    </dgm:pt>
    <dgm:pt modelId="{054FE9CE-897C-4FAB-ACC7-D8D0BB79EE7C}" type="parTrans" cxnId="{E124E1DF-138D-40BA-9100-670997EAB11B}">
      <dgm:prSet/>
      <dgm:spPr/>
      <dgm:t>
        <a:bodyPr/>
        <a:lstStyle/>
        <a:p>
          <a:endParaRPr lang="en-IE"/>
        </a:p>
      </dgm:t>
    </dgm:pt>
    <dgm:pt modelId="{BBEA5534-55BA-45E6-A0CF-5390CE156CB1}" type="sibTrans" cxnId="{E124E1DF-138D-40BA-9100-670997EAB11B}">
      <dgm:prSet/>
      <dgm:spPr/>
      <dgm:t>
        <a:bodyPr/>
        <a:lstStyle/>
        <a:p>
          <a:endParaRPr lang="en-IE"/>
        </a:p>
      </dgm:t>
    </dgm:pt>
    <dgm:pt modelId="{EF9BFD02-A7CC-41E7-A37C-5154C712809C}">
      <dgm:prSet phldrT="[Text]"/>
      <dgm:spPr/>
      <dgm:t>
        <a:bodyPr/>
        <a:lstStyle/>
        <a:p>
          <a:r>
            <a:rPr lang="en-IE" b="1"/>
            <a:t>EUR3 billion in VAT Revenues in 2015</a:t>
          </a:r>
        </a:p>
      </dgm:t>
    </dgm:pt>
    <dgm:pt modelId="{F77F5489-C7FE-4AC3-8FA5-F6D4BEE8B169}" type="parTrans" cxnId="{FBE5CA76-102F-447E-9269-E812550AEF17}">
      <dgm:prSet/>
      <dgm:spPr/>
      <dgm:t>
        <a:bodyPr/>
        <a:lstStyle/>
        <a:p>
          <a:endParaRPr lang="en-IE"/>
        </a:p>
      </dgm:t>
    </dgm:pt>
    <dgm:pt modelId="{04B60C23-DD95-42BA-BBB9-9ED44AA45D9B}" type="sibTrans" cxnId="{FBE5CA76-102F-447E-9269-E812550AEF17}">
      <dgm:prSet/>
      <dgm:spPr/>
      <dgm:t>
        <a:bodyPr/>
        <a:lstStyle/>
        <a:p>
          <a:endParaRPr lang="en-IE"/>
        </a:p>
      </dgm:t>
    </dgm:pt>
    <dgm:pt modelId="{D23BA78E-5B4B-4C01-B291-4B93FA492068}">
      <dgm:prSet phldrT="[Text]"/>
      <dgm:spPr/>
      <dgm:t>
        <a:bodyPr/>
        <a:lstStyle/>
        <a:p>
          <a:r>
            <a:rPr lang="en-IE" b="1"/>
            <a:t>EUR18 billion in trade </a:t>
          </a:r>
        </a:p>
      </dgm:t>
    </dgm:pt>
    <dgm:pt modelId="{CA784F8E-4813-4607-8E3B-06689DFEABDD}" type="parTrans" cxnId="{19C64F5E-A38B-49EE-95DE-D9F5EC040BB2}">
      <dgm:prSet/>
      <dgm:spPr/>
      <dgm:t>
        <a:bodyPr/>
        <a:lstStyle/>
        <a:p>
          <a:endParaRPr lang="en-IE"/>
        </a:p>
      </dgm:t>
    </dgm:pt>
    <dgm:pt modelId="{17E5CCED-01FC-422B-83A1-DB9F62F6F4B0}" type="sibTrans" cxnId="{19C64F5E-A38B-49EE-95DE-D9F5EC040BB2}">
      <dgm:prSet/>
      <dgm:spPr/>
      <dgm:t>
        <a:bodyPr/>
        <a:lstStyle/>
        <a:p>
          <a:endParaRPr lang="en-IE"/>
        </a:p>
      </dgm:t>
    </dgm:pt>
    <dgm:pt modelId="{81C5F5AA-8C45-4573-9A48-A94D2D98164D}">
      <dgm:prSet/>
      <dgm:spPr/>
      <dgm:t>
        <a:bodyPr/>
        <a:lstStyle/>
        <a:p>
          <a:endParaRPr lang="en-IE"/>
        </a:p>
      </dgm:t>
    </dgm:pt>
    <dgm:pt modelId="{75A30A33-D3CB-441D-8039-EF70B857E75A}" type="parTrans" cxnId="{E3B899D8-D489-4C2A-9C00-1D5DEF6A00AD}">
      <dgm:prSet/>
      <dgm:spPr/>
      <dgm:t>
        <a:bodyPr/>
        <a:lstStyle/>
        <a:p>
          <a:endParaRPr lang="en-IE"/>
        </a:p>
      </dgm:t>
    </dgm:pt>
    <dgm:pt modelId="{7D2AD964-F2D4-4448-974E-305F78100272}" type="sibTrans" cxnId="{E3B899D8-D489-4C2A-9C00-1D5DEF6A00AD}">
      <dgm:prSet/>
      <dgm:spPr/>
      <dgm:t>
        <a:bodyPr/>
        <a:lstStyle/>
        <a:p>
          <a:endParaRPr lang="en-IE"/>
        </a:p>
      </dgm:t>
    </dgm:pt>
    <dgm:pt modelId="{24286020-10E1-438C-A40B-3E356DE2FFD4}">
      <dgm:prSet/>
      <dgm:spPr/>
      <dgm:t>
        <a:bodyPr/>
        <a:lstStyle/>
        <a:p>
          <a:endParaRPr lang="en-IE"/>
        </a:p>
      </dgm:t>
    </dgm:pt>
    <dgm:pt modelId="{C472F0E5-0EBC-4780-A1BE-4252566A5BCC}" type="parTrans" cxnId="{01DC8F82-8D07-4502-8BFE-92D2868DD4FD}">
      <dgm:prSet/>
      <dgm:spPr/>
      <dgm:t>
        <a:bodyPr/>
        <a:lstStyle/>
        <a:p>
          <a:endParaRPr lang="en-IE"/>
        </a:p>
      </dgm:t>
    </dgm:pt>
    <dgm:pt modelId="{42C547E9-066D-4F0C-8353-76966472F6F2}" type="sibTrans" cxnId="{01DC8F82-8D07-4502-8BFE-92D2868DD4FD}">
      <dgm:prSet/>
      <dgm:spPr/>
      <dgm:t>
        <a:bodyPr/>
        <a:lstStyle/>
        <a:p>
          <a:endParaRPr lang="en-IE"/>
        </a:p>
      </dgm:t>
    </dgm:pt>
    <dgm:pt modelId="{8CBD09F0-FFCD-43E3-ABC7-B5D105491A2A}">
      <dgm:prSet/>
      <dgm:spPr/>
      <dgm:t>
        <a:bodyPr/>
        <a:lstStyle/>
        <a:p>
          <a:r>
            <a:rPr lang="en-IE"/>
            <a:t>28 MOSS portals hosted by each Member State</a:t>
          </a:r>
        </a:p>
      </dgm:t>
    </dgm:pt>
    <dgm:pt modelId="{B34B3D55-A3C9-4A06-9EAD-28E4DA2B2C58}" type="parTrans" cxnId="{9EDDD3DB-E7E4-413B-980F-B1ACEADA6284}">
      <dgm:prSet/>
      <dgm:spPr/>
      <dgm:t>
        <a:bodyPr/>
        <a:lstStyle/>
        <a:p>
          <a:endParaRPr lang="en-IE"/>
        </a:p>
      </dgm:t>
    </dgm:pt>
    <dgm:pt modelId="{E299284A-2C81-4EF5-907C-9473AB6F5B79}" type="sibTrans" cxnId="{9EDDD3DB-E7E4-413B-980F-B1ACEADA6284}">
      <dgm:prSet/>
      <dgm:spPr/>
      <dgm:t>
        <a:bodyPr/>
        <a:lstStyle/>
        <a:p>
          <a:endParaRPr lang="en-IE"/>
        </a:p>
      </dgm:t>
    </dgm:pt>
    <dgm:pt modelId="{08C36298-151E-41F3-ABFD-9839BDF38755}">
      <dgm:prSet phldrT="[Text]" custT="1"/>
      <dgm:spPr/>
      <dgm:t>
        <a:bodyPr/>
        <a:lstStyle/>
        <a:p>
          <a:r>
            <a:rPr lang="en-IE" sz="900" b="1"/>
            <a:t>VAT Mini One Stop Shop 2015</a:t>
          </a:r>
          <a:br>
            <a:rPr lang="en-IE" sz="900" b="1"/>
          </a:br>
          <a:r>
            <a:rPr lang="en-IE" sz="900" b="1"/>
            <a:t/>
          </a:r>
          <a:br>
            <a:rPr lang="en-IE" sz="900" b="1"/>
          </a:br>
          <a:r>
            <a:rPr lang="en-IE" sz="700" b="1"/>
            <a:t>Cross-Border B2C supplies of electtonic services  </a:t>
          </a:r>
        </a:p>
        <a:p>
          <a:r>
            <a:rPr lang="en-IE" sz="600"/>
            <a:t> </a:t>
          </a:r>
        </a:p>
        <a:p>
          <a:r>
            <a:rPr lang="en-IE" sz="600"/>
            <a:t> </a:t>
          </a:r>
        </a:p>
      </dgm:t>
    </dgm:pt>
    <dgm:pt modelId="{3F716558-E4BD-4551-AD89-33A590D1B81F}" type="parTrans" cxnId="{8AD95C01-1F72-47CA-8A4E-3EC8EFC0429B}">
      <dgm:prSet/>
      <dgm:spPr/>
      <dgm:t>
        <a:bodyPr/>
        <a:lstStyle/>
        <a:p>
          <a:endParaRPr lang="en-IE"/>
        </a:p>
      </dgm:t>
    </dgm:pt>
    <dgm:pt modelId="{D08150CA-A1E9-4689-9E6C-E02C4B2D3F0D}" type="sibTrans" cxnId="{8AD95C01-1F72-47CA-8A4E-3EC8EFC0429B}">
      <dgm:prSet/>
      <dgm:spPr/>
      <dgm:t>
        <a:bodyPr/>
        <a:lstStyle/>
        <a:p>
          <a:endParaRPr lang="en-IE"/>
        </a:p>
      </dgm:t>
    </dgm:pt>
    <dgm:pt modelId="{B74E3EAD-AD5B-48D9-9A76-B32BDDBD68E4}">
      <dgm:prSet phldrT="[Text]"/>
      <dgm:spPr/>
      <dgm:t>
        <a:bodyPr/>
        <a:lstStyle/>
        <a:p>
          <a:r>
            <a:rPr lang="en-IE" b="1"/>
            <a:t>Used by 14,000 businesses</a:t>
          </a:r>
        </a:p>
      </dgm:t>
    </dgm:pt>
    <dgm:pt modelId="{761B4D4F-E063-41C1-AF18-87671636685A}" type="parTrans" cxnId="{512B131E-C630-41B6-A09E-94BF63A08CCF}">
      <dgm:prSet/>
      <dgm:spPr/>
      <dgm:t>
        <a:bodyPr/>
        <a:lstStyle/>
        <a:p>
          <a:endParaRPr lang="en-IE"/>
        </a:p>
      </dgm:t>
    </dgm:pt>
    <dgm:pt modelId="{32B69D1D-787A-4C9A-AC7F-66590DEF48CD}" type="sibTrans" cxnId="{512B131E-C630-41B6-A09E-94BF63A08CCF}">
      <dgm:prSet/>
      <dgm:spPr/>
      <dgm:t>
        <a:bodyPr/>
        <a:lstStyle/>
        <a:p>
          <a:endParaRPr lang="en-IE"/>
        </a:p>
      </dgm:t>
    </dgm:pt>
    <dgm:pt modelId="{DC9C5A9A-C04B-4A3F-B255-0A4695302071}" type="pres">
      <dgm:prSet presAssocID="{BA9C5491-3646-41ED-BACE-BE58C8F6A6B6}" presName="Name0" presStyleCnt="0">
        <dgm:presLayoutVars>
          <dgm:chMax val="1"/>
          <dgm:dir/>
          <dgm:animLvl val="ctr"/>
          <dgm:resizeHandles val="exact"/>
        </dgm:presLayoutVars>
      </dgm:prSet>
      <dgm:spPr/>
      <dgm:t>
        <a:bodyPr/>
        <a:lstStyle/>
        <a:p>
          <a:endParaRPr lang="en-IE"/>
        </a:p>
      </dgm:t>
    </dgm:pt>
    <dgm:pt modelId="{0666F784-8307-484A-8041-0ABE8831FB30}" type="pres">
      <dgm:prSet presAssocID="{08C36298-151E-41F3-ABFD-9839BDF38755}" presName="centerShape" presStyleLbl="node0" presStyleIdx="0" presStyleCnt="1" custScaleX="159849" custScaleY="148007"/>
      <dgm:spPr/>
      <dgm:t>
        <a:bodyPr/>
        <a:lstStyle/>
        <a:p>
          <a:endParaRPr lang="en-IE"/>
        </a:p>
      </dgm:t>
    </dgm:pt>
    <dgm:pt modelId="{F1FBAF9D-1507-4387-8516-E12C5462C3E3}" type="pres">
      <dgm:prSet presAssocID="{054FE9CE-897C-4FAB-ACC7-D8D0BB79EE7C}" presName="parTrans" presStyleLbl="sibTrans2D1" presStyleIdx="0" presStyleCnt="5"/>
      <dgm:spPr/>
      <dgm:t>
        <a:bodyPr/>
        <a:lstStyle/>
        <a:p>
          <a:endParaRPr lang="en-IE"/>
        </a:p>
      </dgm:t>
    </dgm:pt>
    <dgm:pt modelId="{952C8E55-C054-45A9-B005-C39B862057DB}" type="pres">
      <dgm:prSet presAssocID="{054FE9CE-897C-4FAB-ACC7-D8D0BB79EE7C}" presName="connectorText" presStyleLbl="sibTrans2D1" presStyleIdx="0" presStyleCnt="5"/>
      <dgm:spPr/>
      <dgm:t>
        <a:bodyPr/>
        <a:lstStyle/>
        <a:p>
          <a:endParaRPr lang="en-IE"/>
        </a:p>
      </dgm:t>
    </dgm:pt>
    <dgm:pt modelId="{911AF08B-92AD-4A36-8A5D-DD3F09BF8402}" type="pres">
      <dgm:prSet presAssocID="{0D68A0E0-FAB6-425E-8925-EE524681DB06}" presName="node" presStyleLbl="node1" presStyleIdx="0" presStyleCnt="5">
        <dgm:presLayoutVars>
          <dgm:bulletEnabled val="1"/>
        </dgm:presLayoutVars>
      </dgm:prSet>
      <dgm:spPr/>
      <dgm:t>
        <a:bodyPr/>
        <a:lstStyle/>
        <a:p>
          <a:endParaRPr lang="en-IE"/>
        </a:p>
      </dgm:t>
    </dgm:pt>
    <dgm:pt modelId="{EA6E23D2-5E86-40AA-BB42-383BD0992423}" type="pres">
      <dgm:prSet presAssocID="{B34B3D55-A3C9-4A06-9EAD-28E4DA2B2C58}" presName="parTrans" presStyleLbl="sibTrans2D1" presStyleIdx="1" presStyleCnt="5"/>
      <dgm:spPr/>
      <dgm:t>
        <a:bodyPr/>
        <a:lstStyle/>
        <a:p>
          <a:endParaRPr lang="en-IE"/>
        </a:p>
      </dgm:t>
    </dgm:pt>
    <dgm:pt modelId="{2BC94C86-D8B1-4415-BA0C-25739CE3A2D5}" type="pres">
      <dgm:prSet presAssocID="{B34B3D55-A3C9-4A06-9EAD-28E4DA2B2C58}" presName="connectorText" presStyleLbl="sibTrans2D1" presStyleIdx="1" presStyleCnt="5"/>
      <dgm:spPr/>
      <dgm:t>
        <a:bodyPr/>
        <a:lstStyle/>
        <a:p>
          <a:endParaRPr lang="en-IE"/>
        </a:p>
      </dgm:t>
    </dgm:pt>
    <dgm:pt modelId="{F337531C-8A70-4459-BFB8-E0708560AE7F}" type="pres">
      <dgm:prSet presAssocID="{8CBD09F0-FFCD-43E3-ABC7-B5D105491A2A}" presName="node" presStyleLbl="node1" presStyleIdx="1" presStyleCnt="5">
        <dgm:presLayoutVars>
          <dgm:bulletEnabled val="1"/>
        </dgm:presLayoutVars>
      </dgm:prSet>
      <dgm:spPr/>
      <dgm:t>
        <a:bodyPr/>
        <a:lstStyle/>
        <a:p>
          <a:endParaRPr lang="en-IE"/>
        </a:p>
      </dgm:t>
    </dgm:pt>
    <dgm:pt modelId="{5F5C76DD-21E7-4F7F-B1E8-A7049DF94D56}" type="pres">
      <dgm:prSet presAssocID="{F77F5489-C7FE-4AC3-8FA5-F6D4BEE8B169}" presName="parTrans" presStyleLbl="sibTrans2D1" presStyleIdx="2" presStyleCnt="5"/>
      <dgm:spPr/>
      <dgm:t>
        <a:bodyPr/>
        <a:lstStyle/>
        <a:p>
          <a:endParaRPr lang="en-IE"/>
        </a:p>
      </dgm:t>
    </dgm:pt>
    <dgm:pt modelId="{69B633CA-2E57-4118-B43B-8212BCC21E7D}" type="pres">
      <dgm:prSet presAssocID="{F77F5489-C7FE-4AC3-8FA5-F6D4BEE8B169}" presName="connectorText" presStyleLbl="sibTrans2D1" presStyleIdx="2" presStyleCnt="5"/>
      <dgm:spPr/>
      <dgm:t>
        <a:bodyPr/>
        <a:lstStyle/>
        <a:p>
          <a:endParaRPr lang="en-IE"/>
        </a:p>
      </dgm:t>
    </dgm:pt>
    <dgm:pt modelId="{BD020F29-E819-4807-BF71-1898BD07008C}" type="pres">
      <dgm:prSet presAssocID="{EF9BFD02-A7CC-41E7-A37C-5154C712809C}" presName="node" presStyleLbl="node1" presStyleIdx="2" presStyleCnt="5">
        <dgm:presLayoutVars>
          <dgm:bulletEnabled val="1"/>
        </dgm:presLayoutVars>
      </dgm:prSet>
      <dgm:spPr/>
      <dgm:t>
        <a:bodyPr/>
        <a:lstStyle/>
        <a:p>
          <a:endParaRPr lang="en-IE"/>
        </a:p>
      </dgm:t>
    </dgm:pt>
    <dgm:pt modelId="{19645796-6BCD-4832-AE52-19D23D3E5929}" type="pres">
      <dgm:prSet presAssocID="{CA784F8E-4813-4607-8E3B-06689DFEABDD}" presName="parTrans" presStyleLbl="sibTrans2D1" presStyleIdx="3" presStyleCnt="5"/>
      <dgm:spPr/>
      <dgm:t>
        <a:bodyPr/>
        <a:lstStyle/>
        <a:p>
          <a:endParaRPr lang="en-IE"/>
        </a:p>
      </dgm:t>
    </dgm:pt>
    <dgm:pt modelId="{7968FBA1-70AD-45E4-BFB2-1CF80B31F1DB}" type="pres">
      <dgm:prSet presAssocID="{CA784F8E-4813-4607-8E3B-06689DFEABDD}" presName="connectorText" presStyleLbl="sibTrans2D1" presStyleIdx="3" presStyleCnt="5"/>
      <dgm:spPr/>
      <dgm:t>
        <a:bodyPr/>
        <a:lstStyle/>
        <a:p>
          <a:endParaRPr lang="en-IE"/>
        </a:p>
      </dgm:t>
    </dgm:pt>
    <dgm:pt modelId="{5FBE6B0C-075D-431A-B17E-BB8594D9B6C2}" type="pres">
      <dgm:prSet presAssocID="{D23BA78E-5B4B-4C01-B291-4B93FA492068}" presName="node" presStyleLbl="node1" presStyleIdx="3" presStyleCnt="5">
        <dgm:presLayoutVars>
          <dgm:bulletEnabled val="1"/>
        </dgm:presLayoutVars>
      </dgm:prSet>
      <dgm:spPr/>
      <dgm:t>
        <a:bodyPr/>
        <a:lstStyle/>
        <a:p>
          <a:endParaRPr lang="en-IE"/>
        </a:p>
      </dgm:t>
    </dgm:pt>
    <dgm:pt modelId="{7B9B6B1D-FFDF-44EE-B1A4-9C24946C882E}" type="pres">
      <dgm:prSet presAssocID="{761B4D4F-E063-41C1-AF18-87671636685A}" presName="parTrans" presStyleLbl="sibTrans2D1" presStyleIdx="4" presStyleCnt="5"/>
      <dgm:spPr/>
      <dgm:t>
        <a:bodyPr/>
        <a:lstStyle/>
        <a:p>
          <a:endParaRPr lang="en-IE"/>
        </a:p>
      </dgm:t>
    </dgm:pt>
    <dgm:pt modelId="{A52D8B5A-2D7B-4EF5-9267-45E884625FD8}" type="pres">
      <dgm:prSet presAssocID="{761B4D4F-E063-41C1-AF18-87671636685A}" presName="connectorText" presStyleLbl="sibTrans2D1" presStyleIdx="4" presStyleCnt="5"/>
      <dgm:spPr/>
      <dgm:t>
        <a:bodyPr/>
        <a:lstStyle/>
        <a:p>
          <a:endParaRPr lang="en-IE"/>
        </a:p>
      </dgm:t>
    </dgm:pt>
    <dgm:pt modelId="{42C213FE-C478-4FE1-AC81-855EF2AE927F}" type="pres">
      <dgm:prSet presAssocID="{B74E3EAD-AD5B-48D9-9A76-B32BDDBD68E4}" presName="node" presStyleLbl="node1" presStyleIdx="4" presStyleCnt="5">
        <dgm:presLayoutVars>
          <dgm:bulletEnabled val="1"/>
        </dgm:presLayoutVars>
      </dgm:prSet>
      <dgm:spPr/>
      <dgm:t>
        <a:bodyPr/>
        <a:lstStyle/>
        <a:p>
          <a:endParaRPr lang="en-IE"/>
        </a:p>
      </dgm:t>
    </dgm:pt>
  </dgm:ptLst>
  <dgm:cxnLst>
    <dgm:cxn modelId="{020B637F-BA80-4F53-BD00-1EC67FBF516A}" type="presOf" srcId="{761B4D4F-E063-41C1-AF18-87671636685A}" destId="{A52D8B5A-2D7B-4EF5-9267-45E884625FD8}" srcOrd="1" destOrd="0" presId="urn:microsoft.com/office/officeart/2005/8/layout/radial5"/>
    <dgm:cxn modelId="{19424550-6AE8-4F71-B0D5-958BF3B91604}" type="presOf" srcId="{054FE9CE-897C-4FAB-ACC7-D8D0BB79EE7C}" destId="{F1FBAF9D-1507-4387-8516-E12C5462C3E3}" srcOrd="0" destOrd="0" presId="urn:microsoft.com/office/officeart/2005/8/layout/radial5"/>
    <dgm:cxn modelId="{E124E1DF-138D-40BA-9100-670997EAB11B}" srcId="{08C36298-151E-41F3-ABFD-9839BDF38755}" destId="{0D68A0E0-FAB6-425E-8925-EE524681DB06}" srcOrd="0" destOrd="0" parTransId="{054FE9CE-897C-4FAB-ACC7-D8D0BB79EE7C}" sibTransId="{BBEA5534-55BA-45E6-A0CF-5390CE156CB1}"/>
    <dgm:cxn modelId="{31877259-13EB-4CE5-B8C4-99580FEDE1C7}" type="presOf" srcId="{B74E3EAD-AD5B-48D9-9A76-B32BDDBD68E4}" destId="{42C213FE-C478-4FE1-AC81-855EF2AE927F}" srcOrd="0" destOrd="0" presId="urn:microsoft.com/office/officeart/2005/8/layout/radial5"/>
    <dgm:cxn modelId="{D295DAF0-52F9-4E7E-894C-3C29388B0661}" type="presOf" srcId="{F77F5489-C7FE-4AC3-8FA5-F6D4BEE8B169}" destId="{5F5C76DD-21E7-4F7F-B1E8-A7049DF94D56}" srcOrd="0" destOrd="0" presId="urn:microsoft.com/office/officeart/2005/8/layout/radial5"/>
    <dgm:cxn modelId="{8AD95C01-1F72-47CA-8A4E-3EC8EFC0429B}" srcId="{BA9C5491-3646-41ED-BACE-BE58C8F6A6B6}" destId="{08C36298-151E-41F3-ABFD-9839BDF38755}" srcOrd="0" destOrd="0" parTransId="{3F716558-E4BD-4551-AD89-33A590D1B81F}" sibTransId="{D08150CA-A1E9-4689-9E6C-E02C4B2D3F0D}"/>
    <dgm:cxn modelId="{19C64F5E-A38B-49EE-95DE-D9F5EC040BB2}" srcId="{08C36298-151E-41F3-ABFD-9839BDF38755}" destId="{D23BA78E-5B4B-4C01-B291-4B93FA492068}" srcOrd="3" destOrd="0" parTransId="{CA784F8E-4813-4607-8E3B-06689DFEABDD}" sibTransId="{17E5CCED-01FC-422B-83A1-DB9F62F6F4B0}"/>
    <dgm:cxn modelId="{88721504-D1E1-4EAE-8EBC-52CC566EA568}" type="presOf" srcId="{F77F5489-C7FE-4AC3-8FA5-F6D4BEE8B169}" destId="{69B633CA-2E57-4118-B43B-8212BCC21E7D}" srcOrd="1" destOrd="0" presId="urn:microsoft.com/office/officeart/2005/8/layout/radial5"/>
    <dgm:cxn modelId="{9EDDD3DB-E7E4-413B-980F-B1ACEADA6284}" srcId="{08C36298-151E-41F3-ABFD-9839BDF38755}" destId="{8CBD09F0-FFCD-43E3-ABC7-B5D105491A2A}" srcOrd="1" destOrd="0" parTransId="{B34B3D55-A3C9-4A06-9EAD-28E4DA2B2C58}" sibTransId="{E299284A-2C81-4EF5-907C-9473AB6F5B79}"/>
    <dgm:cxn modelId="{57276F61-F494-4451-AB97-C772706C6457}" type="presOf" srcId="{BA9C5491-3646-41ED-BACE-BE58C8F6A6B6}" destId="{DC9C5A9A-C04B-4A3F-B255-0A4695302071}" srcOrd="0" destOrd="0" presId="urn:microsoft.com/office/officeart/2005/8/layout/radial5"/>
    <dgm:cxn modelId="{FA7AB485-997E-4F8A-BAEB-FD3B98333909}" type="presOf" srcId="{CA784F8E-4813-4607-8E3B-06689DFEABDD}" destId="{7968FBA1-70AD-45E4-BFB2-1CF80B31F1DB}" srcOrd="1" destOrd="0" presId="urn:microsoft.com/office/officeart/2005/8/layout/radial5"/>
    <dgm:cxn modelId="{7BDB1AB8-1FB8-4A5E-AEA1-9A42FD96A70D}" type="presOf" srcId="{B34B3D55-A3C9-4A06-9EAD-28E4DA2B2C58}" destId="{2BC94C86-D8B1-4415-BA0C-25739CE3A2D5}" srcOrd="1" destOrd="0" presId="urn:microsoft.com/office/officeart/2005/8/layout/radial5"/>
    <dgm:cxn modelId="{96C89147-E60D-4202-A4A9-AE9498A0969C}" type="presOf" srcId="{8CBD09F0-FFCD-43E3-ABC7-B5D105491A2A}" destId="{F337531C-8A70-4459-BFB8-E0708560AE7F}" srcOrd="0" destOrd="0" presId="urn:microsoft.com/office/officeart/2005/8/layout/radial5"/>
    <dgm:cxn modelId="{30048FFA-6150-41E3-AB47-1E9D20E83B73}" type="presOf" srcId="{761B4D4F-E063-41C1-AF18-87671636685A}" destId="{7B9B6B1D-FFDF-44EE-B1A4-9C24946C882E}" srcOrd="0" destOrd="0" presId="urn:microsoft.com/office/officeart/2005/8/layout/radial5"/>
    <dgm:cxn modelId="{01DC8F82-8D07-4502-8BFE-92D2868DD4FD}" srcId="{BA9C5491-3646-41ED-BACE-BE58C8F6A6B6}" destId="{24286020-10E1-438C-A40B-3E356DE2FFD4}" srcOrd="2" destOrd="0" parTransId="{C472F0E5-0EBC-4780-A1BE-4252566A5BCC}" sibTransId="{42C547E9-066D-4F0C-8353-76966472F6F2}"/>
    <dgm:cxn modelId="{53B83ED3-B68A-43D3-B91D-1BF59B2A9A97}" type="presOf" srcId="{EF9BFD02-A7CC-41E7-A37C-5154C712809C}" destId="{BD020F29-E819-4807-BF71-1898BD07008C}" srcOrd="0" destOrd="0" presId="urn:microsoft.com/office/officeart/2005/8/layout/radial5"/>
    <dgm:cxn modelId="{C3881DC9-6FF6-4D09-814C-240AB3166D92}" type="presOf" srcId="{CA784F8E-4813-4607-8E3B-06689DFEABDD}" destId="{19645796-6BCD-4832-AE52-19D23D3E5929}" srcOrd="0" destOrd="0" presId="urn:microsoft.com/office/officeart/2005/8/layout/radial5"/>
    <dgm:cxn modelId="{512B131E-C630-41B6-A09E-94BF63A08CCF}" srcId="{08C36298-151E-41F3-ABFD-9839BDF38755}" destId="{B74E3EAD-AD5B-48D9-9A76-B32BDDBD68E4}" srcOrd="4" destOrd="0" parTransId="{761B4D4F-E063-41C1-AF18-87671636685A}" sibTransId="{32B69D1D-787A-4C9A-AC7F-66590DEF48CD}"/>
    <dgm:cxn modelId="{E3B899D8-D489-4C2A-9C00-1D5DEF6A00AD}" srcId="{BA9C5491-3646-41ED-BACE-BE58C8F6A6B6}" destId="{81C5F5AA-8C45-4573-9A48-A94D2D98164D}" srcOrd="1" destOrd="0" parTransId="{75A30A33-D3CB-441D-8039-EF70B857E75A}" sibTransId="{7D2AD964-F2D4-4448-974E-305F78100272}"/>
    <dgm:cxn modelId="{D4F8C030-9DF2-476D-B2B2-7B1A8F37DA19}" type="presOf" srcId="{B34B3D55-A3C9-4A06-9EAD-28E4DA2B2C58}" destId="{EA6E23D2-5E86-40AA-BB42-383BD0992423}" srcOrd="0" destOrd="0" presId="urn:microsoft.com/office/officeart/2005/8/layout/radial5"/>
    <dgm:cxn modelId="{184249F1-BD97-4185-A41A-9024337B1D30}" type="presOf" srcId="{D23BA78E-5B4B-4C01-B291-4B93FA492068}" destId="{5FBE6B0C-075D-431A-B17E-BB8594D9B6C2}" srcOrd="0" destOrd="0" presId="urn:microsoft.com/office/officeart/2005/8/layout/radial5"/>
    <dgm:cxn modelId="{E6B08CA6-80CA-4C62-9775-A120A181B9CB}" type="presOf" srcId="{08C36298-151E-41F3-ABFD-9839BDF38755}" destId="{0666F784-8307-484A-8041-0ABE8831FB30}" srcOrd="0" destOrd="0" presId="urn:microsoft.com/office/officeart/2005/8/layout/radial5"/>
    <dgm:cxn modelId="{C2834D69-7FCF-48BB-A663-5E7A0C2441BA}" type="presOf" srcId="{054FE9CE-897C-4FAB-ACC7-D8D0BB79EE7C}" destId="{952C8E55-C054-45A9-B005-C39B862057DB}" srcOrd="1" destOrd="0" presId="urn:microsoft.com/office/officeart/2005/8/layout/radial5"/>
    <dgm:cxn modelId="{DDF0B1AB-2848-4880-A661-ED600E378F4A}" type="presOf" srcId="{0D68A0E0-FAB6-425E-8925-EE524681DB06}" destId="{911AF08B-92AD-4A36-8A5D-DD3F09BF8402}" srcOrd="0" destOrd="0" presId="urn:microsoft.com/office/officeart/2005/8/layout/radial5"/>
    <dgm:cxn modelId="{FBE5CA76-102F-447E-9269-E812550AEF17}" srcId="{08C36298-151E-41F3-ABFD-9839BDF38755}" destId="{EF9BFD02-A7CC-41E7-A37C-5154C712809C}" srcOrd="2" destOrd="0" parTransId="{F77F5489-C7FE-4AC3-8FA5-F6D4BEE8B169}" sibTransId="{04B60C23-DD95-42BA-BBB9-9ED44AA45D9B}"/>
    <dgm:cxn modelId="{DFF6C055-9F8A-489A-9D0C-2B08BF785352}" type="presParOf" srcId="{DC9C5A9A-C04B-4A3F-B255-0A4695302071}" destId="{0666F784-8307-484A-8041-0ABE8831FB30}" srcOrd="0" destOrd="0" presId="urn:microsoft.com/office/officeart/2005/8/layout/radial5"/>
    <dgm:cxn modelId="{38229C00-EB1D-40A6-B123-53B5217BE4E2}" type="presParOf" srcId="{DC9C5A9A-C04B-4A3F-B255-0A4695302071}" destId="{F1FBAF9D-1507-4387-8516-E12C5462C3E3}" srcOrd="1" destOrd="0" presId="urn:microsoft.com/office/officeart/2005/8/layout/radial5"/>
    <dgm:cxn modelId="{0B606685-6937-4F87-827B-EFDAC56A5AF0}" type="presParOf" srcId="{F1FBAF9D-1507-4387-8516-E12C5462C3E3}" destId="{952C8E55-C054-45A9-B005-C39B862057DB}" srcOrd="0" destOrd="0" presId="urn:microsoft.com/office/officeart/2005/8/layout/radial5"/>
    <dgm:cxn modelId="{4F34E8E4-EC1D-41C4-984F-88A0F47514E4}" type="presParOf" srcId="{DC9C5A9A-C04B-4A3F-B255-0A4695302071}" destId="{911AF08B-92AD-4A36-8A5D-DD3F09BF8402}" srcOrd="2" destOrd="0" presId="urn:microsoft.com/office/officeart/2005/8/layout/radial5"/>
    <dgm:cxn modelId="{E276287B-837B-4042-BBF7-5B4BCA403482}" type="presParOf" srcId="{DC9C5A9A-C04B-4A3F-B255-0A4695302071}" destId="{EA6E23D2-5E86-40AA-BB42-383BD0992423}" srcOrd="3" destOrd="0" presId="urn:microsoft.com/office/officeart/2005/8/layout/radial5"/>
    <dgm:cxn modelId="{95250228-1F06-4945-BD86-264D91E4C27A}" type="presParOf" srcId="{EA6E23D2-5E86-40AA-BB42-383BD0992423}" destId="{2BC94C86-D8B1-4415-BA0C-25739CE3A2D5}" srcOrd="0" destOrd="0" presId="urn:microsoft.com/office/officeart/2005/8/layout/radial5"/>
    <dgm:cxn modelId="{C140EC77-6CAA-45AD-93C0-6A8BA7146B0C}" type="presParOf" srcId="{DC9C5A9A-C04B-4A3F-B255-0A4695302071}" destId="{F337531C-8A70-4459-BFB8-E0708560AE7F}" srcOrd="4" destOrd="0" presId="urn:microsoft.com/office/officeart/2005/8/layout/radial5"/>
    <dgm:cxn modelId="{3444689A-780E-499A-AB7C-B6A8253721FD}" type="presParOf" srcId="{DC9C5A9A-C04B-4A3F-B255-0A4695302071}" destId="{5F5C76DD-21E7-4F7F-B1E8-A7049DF94D56}" srcOrd="5" destOrd="0" presId="urn:microsoft.com/office/officeart/2005/8/layout/radial5"/>
    <dgm:cxn modelId="{30322D76-0EBA-418B-88BF-77EF6E0C667D}" type="presParOf" srcId="{5F5C76DD-21E7-4F7F-B1E8-A7049DF94D56}" destId="{69B633CA-2E57-4118-B43B-8212BCC21E7D}" srcOrd="0" destOrd="0" presId="urn:microsoft.com/office/officeart/2005/8/layout/radial5"/>
    <dgm:cxn modelId="{75C0E98F-61A9-4EF6-9599-E3D852CBDE71}" type="presParOf" srcId="{DC9C5A9A-C04B-4A3F-B255-0A4695302071}" destId="{BD020F29-E819-4807-BF71-1898BD07008C}" srcOrd="6" destOrd="0" presId="urn:microsoft.com/office/officeart/2005/8/layout/radial5"/>
    <dgm:cxn modelId="{D07A3995-E4B3-406F-A71F-2688986A8C22}" type="presParOf" srcId="{DC9C5A9A-C04B-4A3F-B255-0A4695302071}" destId="{19645796-6BCD-4832-AE52-19D23D3E5929}" srcOrd="7" destOrd="0" presId="urn:microsoft.com/office/officeart/2005/8/layout/radial5"/>
    <dgm:cxn modelId="{04B8DEB7-EA71-4DA5-9BA6-951536C5CDF5}" type="presParOf" srcId="{19645796-6BCD-4832-AE52-19D23D3E5929}" destId="{7968FBA1-70AD-45E4-BFB2-1CF80B31F1DB}" srcOrd="0" destOrd="0" presId="urn:microsoft.com/office/officeart/2005/8/layout/radial5"/>
    <dgm:cxn modelId="{4B3460AD-1B8F-45F7-ABBE-F013B355B729}" type="presParOf" srcId="{DC9C5A9A-C04B-4A3F-B255-0A4695302071}" destId="{5FBE6B0C-075D-431A-B17E-BB8594D9B6C2}" srcOrd="8" destOrd="0" presId="urn:microsoft.com/office/officeart/2005/8/layout/radial5"/>
    <dgm:cxn modelId="{399F094F-8795-4CFF-AB08-9EF0B9122AB6}" type="presParOf" srcId="{DC9C5A9A-C04B-4A3F-B255-0A4695302071}" destId="{7B9B6B1D-FFDF-44EE-B1A4-9C24946C882E}" srcOrd="9" destOrd="0" presId="urn:microsoft.com/office/officeart/2005/8/layout/radial5"/>
    <dgm:cxn modelId="{BBE9F329-2F3A-48EF-A1CD-9CB135AD3D67}" type="presParOf" srcId="{7B9B6B1D-FFDF-44EE-B1A4-9C24946C882E}" destId="{A52D8B5A-2D7B-4EF5-9267-45E884625FD8}" srcOrd="0" destOrd="0" presId="urn:microsoft.com/office/officeart/2005/8/layout/radial5"/>
    <dgm:cxn modelId="{5523DBAA-2AC3-437F-A48C-5A97BAF5B803}" type="presParOf" srcId="{DC9C5A9A-C04B-4A3F-B255-0A4695302071}" destId="{42C213FE-C478-4FE1-AC81-855EF2AE927F}" srcOrd="10" destOrd="0" presId="urn:microsoft.com/office/officeart/2005/8/layout/radial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66F784-8307-484A-8041-0ABE8831FB30}">
      <dsp:nvSpPr>
        <dsp:cNvPr id="0" name=""/>
        <dsp:cNvSpPr/>
      </dsp:nvSpPr>
      <dsp:spPr>
        <a:xfrm>
          <a:off x="2379179" y="794163"/>
          <a:ext cx="899490" cy="83285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E" sz="900" b="1" kern="1200"/>
            <a:t>VAT Mini One Stop Shop 2015</a:t>
          </a:r>
          <a:br>
            <a:rPr lang="en-IE" sz="900" b="1" kern="1200"/>
          </a:br>
          <a:r>
            <a:rPr lang="en-IE" sz="900" b="1" kern="1200"/>
            <a:t/>
          </a:r>
          <a:br>
            <a:rPr lang="en-IE" sz="900" b="1" kern="1200"/>
          </a:br>
          <a:r>
            <a:rPr lang="en-IE" sz="700" b="1" kern="1200"/>
            <a:t>Cross-Border B2C supplies of electtonic services  </a:t>
          </a:r>
        </a:p>
        <a:p>
          <a:pPr lvl="0" algn="ctr" defTabSz="400050">
            <a:lnSpc>
              <a:spcPct val="90000"/>
            </a:lnSpc>
            <a:spcBef>
              <a:spcPct val="0"/>
            </a:spcBef>
            <a:spcAft>
              <a:spcPct val="35000"/>
            </a:spcAft>
          </a:pPr>
          <a:r>
            <a:rPr lang="en-IE" sz="600" kern="1200"/>
            <a:t> </a:t>
          </a:r>
        </a:p>
        <a:p>
          <a:pPr lvl="0" algn="ctr" defTabSz="400050">
            <a:lnSpc>
              <a:spcPct val="90000"/>
            </a:lnSpc>
            <a:spcBef>
              <a:spcPct val="0"/>
            </a:spcBef>
            <a:spcAft>
              <a:spcPct val="35000"/>
            </a:spcAft>
          </a:pPr>
          <a:r>
            <a:rPr lang="en-IE" sz="600" kern="1200"/>
            <a:t> </a:t>
          </a:r>
        </a:p>
      </dsp:txBody>
      <dsp:txXfrm>
        <a:off x="2510906" y="916132"/>
        <a:ext cx="636036" cy="588916"/>
      </dsp:txXfrm>
    </dsp:sp>
    <dsp:sp modelId="{F1FBAF9D-1507-4387-8516-E12C5462C3E3}">
      <dsp:nvSpPr>
        <dsp:cNvPr id="0" name=""/>
        <dsp:cNvSpPr/>
      </dsp:nvSpPr>
      <dsp:spPr>
        <a:xfrm rot="16200000">
          <a:off x="2804672" y="654116"/>
          <a:ext cx="48504" cy="191322"/>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a:off x="2811948" y="699656"/>
        <a:ext cx="33953" cy="114794"/>
      </dsp:txXfrm>
    </dsp:sp>
    <dsp:sp modelId="{911AF08B-92AD-4A36-8A5D-DD3F09BF8402}">
      <dsp:nvSpPr>
        <dsp:cNvPr id="0" name=""/>
        <dsp:cNvSpPr/>
      </dsp:nvSpPr>
      <dsp:spPr>
        <a:xfrm>
          <a:off x="2479427" y="3652"/>
          <a:ext cx="698994" cy="698994"/>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E" sz="600" kern="1200"/>
            <a:t>EUR 500m Burden reduction for Business</a:t>
          </a:r>
        </a:p>
      </dsp:txBody>
      <dsp:txXfrm>
        <a:off x="2581792" y="106017"/>
        <a:ext cx="494264" cy="494264"/>
      </dsp:txXfrm>
    </dsp:sp>
    <dsp:sp modelId="{EA6E23D2-5E86-40AA-BB42-383BD0992423}">
      <dsp:nvSpPr>
        <dsp:cNvPr id="0" name=""/>
        <dsp:cNvSpPr/>
      </dsp:nvSpPr>
      <dsp:spPr>
        <a:xfrm rot="20520000">
          <a:off x="3265414" y="967790"/>
          <a:ext cx="32717" cy="191322"/>
        </a:xfrm>
        <a:prstGeom prst="rightArrow">
          <a:avLst>
            <a:gd name="adj1" fmla="val 60000"/>
            <a:gd name="adj2" fmla="val 50000"/>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a:off x="3265654" y="1007571"/>
        <a:ext cx="22902" cy="114794"/>
      </dsp:txXfrm>
    </dsp:sp>
    <dsp:sp modelId="{F337531C-8A70-4459-BFB8-E0708560AE7F}">
      <dsp:nvSpPr>
        <dsp:cNvPr id="0" name=""/>
        <dsp:cNvSpPr/>
      </dsp:nvSpPr>
      <dsp:spPr>
        <a:xfrm>
          <a:off x="3294902" y="596129"/>
          <a:ext cx="698994" cy="698994"/>
        </a:xfrm>
        <a:prstGeom prst="ellipse">
          <a:avLst/>
        </a:prstGeom>
        <a:gradFill rotWithShape="0">
          <a:gsLst>
            <a:gs pos="0">
              <a:schemeClr val="accent2">
                <a:hueOff val="1170380"/>
                <a:satOff val="-1460"/>
                <a:lumOff val="343"/>
                <a:alphaOff val="0"/>
                <a:shade val="51000"/>
                <a:satMod val="130000"/>
              </a:schemeClr>
            </a:gs>
            <a:gs pos="80000">
              <a:schemeClr val="accent2">
                <a:hueOff val="1170380"/>
                <a:satOff val="-1460"/>
                <a:lumOff val="343"/>
                <a:alphaOff val="0"/>
                <a:shade val="93000"/>
                <a:satMod val="130000"/>
              </a:schemeClr>
            </a:gs>
            <a:gs pos="100000">
              <a:schemeClr val="accent2">
                <a:hueOff val="1170380"/>
                <a:satOff val="-1460"/>
                <a:lumOff val="34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E" sz="600" kern="1200"/>
            <a:t>28 MOSS portals hosted by each Member State</a:t>
          </a:r>
        </a:p>
      </dsp:txBody>
      <dsp:txXfrm>
        <a:off x="3397267" y="698494"/>
        <a:ext cx="494264" cy="494264"/>
      </dsp:txXfrm>
    </dsp:sp>
    <dsp:sp modelId="{5F5C76DD-21E7-4F7F-B1E8-A7049DF94D56}">
      <dsp:nvSpPr>
        <dsp:cNvPr id="0" name=""/>
        <dsp:cNvSpPr/>
      </dsp:nvSpPr>
      <dsp:spPr>
        <a:xfrm rot="3240000">
          <a:off x="3081583" y="1492176"/>
          <a:ext cx="42854" cy="191322"/>
        </a:xfrm>
        <a:prstGeom prst="rightArrow">
          <a:avLst>
            <a:gd name="adj1" fmla="val 60000"/>
            <a:gd name="adj2" fmla="val 50000"/>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a:off x="3084233" y="1525240"/>
        <a:ext cx="29998" cy="114794"/>
      </dsp:txXfrm>
    </dsp:sp>
    <dsp:sp modelId="{BD020F29-E819-4807-BF71-1898BD07008C}">
      <dsp:nvSpPr>
        <dsp:cNvPr id="0" name=""/>
        <dsp:cNvSpPr/>
      </dsp:nvSpPr>
      <dsp:spPr>
        <a:xfrm>
          <a:off x="2983419" y="1554778"/>
          <a:ext cx="698994" cy="698994"/>
        </a:xfrm>
        <a:prstGeom prst="ellipse">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E" sz="600" b="1" kern="1200"/>
            <a:t>EUR3 billion in VAT Revenues in 2015</a:t>
          </a:r>
        </a:p>
      </dsp:txBody>
      <dsp:txXfrm>
        <a:off x="3085784" y="1657143"/>
        <a:ext cx="494264" cy="494264"/>
      </dsp:txXfrm>
    </dsp:sp>
    <dsp:sp modelId="{19645796-6BCD-4832-AE52-19D23D3E5929}">
      <dsp:nvSpPr>
        <dsp:cNvPr id="0" name=""/>
        <dsp:cNvSpPr/>
      </dsp:nvSpPr>
      <dsp:spPr>
        <a:xfrm rot="7560000">
          <a:off x="2533412" y="1492176"/>
          <a:ext cx="42854" cy="191322"/>
        </a:xfrm>
        <a:prstGeom prst="rightArrow">
          <a:avLst>
            <a:gd name="adj1" fmla="val 60000"/>
            <a:gd name="adj2" fmla="val 50000"/>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rot="10800000">
        <a:off x="2543618" y="1525240"/>
        <a:ext cx="29998" cy="114794"/>
      </dsp:txXfrm>
    </dsp:sp>
    <dsp:sp modelId="{5FBE6B0C-075D-431A-B17E-BB8594D9B6C2}">
      <dsp:nvSpPr>
        <dsp:cNvPr id="0" name=""/>
        <dsp:cNvSpPr/>
      </dsp:nvSpPr>
      <dsp:spPr>
        <a:xfrm>
          <a:off x="1975436" y="1554778"/>
          <a:ext cx="698994" cy="698994"/>
        </a:xfrm>
        <a:prstGeom prst="ellipse">
          <a:avLst/>
        </a:prstGeom>
        <a:gradFill rotWithShape="0">
          <a:gsLst>
            <a:gs pos="0">
              <a:schemeClr val="accent2">
                <a:hueOff val="3511139"/>
                <a:satOff val="-4379"/>
                <a:lumOff val="1030"/>
                <a:alphaOff val="0"/>
                <a:shade val="51000"/>
                <a:satMod val="130000"/>
              </a:schemeClr>
            </a:gs>
            <a:gs pos="80000">
              <a:schemeClr val="accent2">
                <a:hueOff val="3511139"/>
                <a:satOff val="-4379"/>
                <a:lumOff val="1030"/>
                <a:alphaOff val="0"/>
                <a:shade val="93000"/>
                <a:satMod val="130000"/>
              </a:schemeClr>
            </a:gs>
            <a:gs pos="100000">
              <a:schemeClr val="accent2">
                <a:hueOff val="3511139"/>
                <a:satOff val="-4379"/>
                <a:lumOff val="10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E" sz="600" b="1" kern="1200"/>
            <a:t>EUR18 billion in trade </a:t>
          </a:r>
        </a:p>
      </dsp:txBody>
      <dsp:txXfrm>
        <a:off x="2077801" y="1657143"/>
        <a:ext cx="494264" cy="494264"/>
      </dsp:txXfrm>
    </dsp:sp>
    <dsp:sp modelId="{7B9B6B1D-FFDF-44EE-B1A4-9C24946C882E}">
      <dsp:nvSpPr>
        <dsp:cNvPr id="0" name=""/>
        <dsp:cNvSpPr/>
      </dsp:nvSpPr>
      <dsp:spPr>
        <a:xfrm rot="11880000">
          <a:off x="2359718" y="967790"/>
          <a:ext cx="32717" cy="191322"/>
        </a:xfrm>
        <a:prstGeom prst="rightArrow">
          <a:avLst>
            <a:gd name="adj1" fmla="val 60000"/>
            <a:gd name="adj2" fmla="val 5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E" sz="600" kern="1200"/>
        </a:p>
      </dsp:txBody>
      <dsp:txXfrm rot="10800000">
        <a:off x="2369293" y="1007571"/>
        <a:ext cx="22902" cy="114794"/>
      </dsp:txXfrm>
    </dsp:sp>
    <dsp:sp modelId="{42C213FE-C478-4FE1-AC81-855EF2AE927F}">
      <dsp:nvSpPr>
        <dsp:cNvPr id="0" name=""/>
        <dsp:cNvSpPr/>
      </dsp:nvSpPr>
      <dsp:spPr>
        <a:xfrm>
          <a:off x="1663952" y="596129"/>
          <a:ext cx="698994" cy="698994"/>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E" sz="600" b="1" kern="1200"/>
            <a:t>Used by 14,000 businesses</a:t>
          </a:r>
        </a:p>
      </dsp:txBody>
      <dsp:txXfrm>
        <a:off x="1766317" y="698494"/>
        <a:ext cx="494264" cy="4942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F8ECE-BF9F-4326-BC7F-5463EEC0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8343</Words>
  <Characters>46726</Characters>
  <Application>Microsoft Office Word</Application>
  <DocSecurity>0</DocSecurity>
  <Lines>766</Lines>
  <Paragraphs>240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SAGSTETTER Norbert (SG)</dc:creator>
  <cp:lastModifiedBy>Stefanie Heilemann</cp:lastModifiedBy>
  <cp:revision>8</cp:revision>
  <cp:lastPrinted>2016-10-25T10:55:00Z</cp:lastPrinted>
  <dcterms:created xsi:type="dcterms:W3CDTF">2016-10-25T09:44:00Z</dcterms:created>
  <dcterms:modified xsi:type="dcterms:W3CDTF">2016-10-25T10:57:00Z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2</vt:lpwstr>
  </property>
  <property fmtid="{D5CDD505-2E9C-101B-9397-08002B2CF9AE}" pid="4" name="Classification">
    <vt:lpwstr> </vt:lpwstr>
  </property>
  <property fmtid="{D5CDD505-2E9C-101B-9397-08002B2CF9AE}" pid="5" name="DocStatus">
    <vt:lpwstr>Green</vt:lpwstr>
  </property>
</Properties>
</file>