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40" w:rsidRDefault="00DB6B15" w:rsidP="00DB6B15">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7642B6F4D734BFF9081FCCF5F4CEC0D" style="width:450.75pt;height:447.75pt">
            <v:imagedata r:id="rId9" o:title=""/>
          </v:shape>
        </w:pict>
      </w:r>
    </w:p>
    <w:bookmarkEnd w:id="0"/>
    <w:p w:rsidR="00BA5D40" w:rsidRDefault="00BA5D40">
      <w:pPr>
        <w:rPr>
          <w:noProof/>
          <w:lang w:eastAsia="de-DE"/>
        </w:rPr>
        <w:sectPr w:rsidR="00BA5D40" w:rsidSect="00DB6B1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BA5D40" w:rsidRDefault="00290DC5">
      <w:pPr>
        <w:spacing w:after="480"/>
        <w:jc w:val="center"/>
        <w:outlineLvl w:val="0"/>
        <w:rPr>
          <w:rFonts w:ascii="Times New Roman" w:hAnsi="Times New Roman"/>
          <w:b/>
          <w:i/>
          <w:noProof/>
          <w:sz w:val="20"/>
          <w:szCs w:val="20"/>
          <w:highlight w:val="yellow"/>
          <w:u w:val="single"/>
          <w:lang w:eastAsia="de-DE"/>
        </w:rPr>
      </w:pPr>
      <w:bookmarkStart w:id="1" w:name="_GoBack"/>
      <w:bookmarkEnd w:id="1"/>
      <w:r>
        <w:rPr>
          <w:rFonts w:ascii="Times New Roman" w:hAnsi="Times New Roman"/>
          <w:b/>
          <w:noProof/>
          <w:sz w:val="28"/>
          <w:szCs w:val="28"/>
          <w:u w:val="single"/>
          <w:lang w:eastAsia="de-DE"/>
        </w:rPr>
        <w:lastRenderedPageBreak/>
        <w:t>Annex II: REFIT initiatives</w:t>
      </w:r>
      <w:r>
        <w:rPr>
          <w:rStyle w:val="FootnoteReference"/>
          <w:rFonts w:ascii="Times New Roman" w:hAnsi="Times New Roman"/>
          <w:b/>
          <w:noProof/>
          <w:sz w:val="28"/>
          <w:szCs w:val="28"/>
          <w:u w:val="single"/>
          <w:lang w:eastAsia="de-DE"/>
        </w:rPr>
        <w:footnoteReference w:id="1"/>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81"/>
        <w:gridCol w:w="4382"/>
        <w:gridCol w:w="9541"/>
      </w:tblGrid>
      <w:tr w:rsidR="00BA5D40">
        <w:trPr>
          <w:cantSplit/>
          <w:tblHeader/>
        </w:trPr>
        <w:tc>
          <w:tcPr>
            <w:tcW w:w="133" w:type="pct"/>
            <w:tcBorders>
              <w:bottom w:val="single" w:sz="4" w:space="0" w:color="auto"/>
            </w:tcBorders>
            <w:shd w:val="clear" w:color="auto" w:fill="99CCFF"/>
            <w:vAlign w:val="center"/>
          </w:tcPr>
          <w:p w:rsidR="00BA5D40" w:rsidRDefault="00290DC5">
            <w:pPr>
              <w:spacing w:after="0"/>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1532" w:type="pct"/>
            <w:tcBorders>
              <w:bottom w:val="single" w:sz="4" w:space="0" w:color="auto"/>
            </w:tcBorders>
            <w:shd w:val="clear" w:color="auto" w:fill="99CCFF"/>
            <w:vAlign w:val="center"/>
          </w:tcPr>
          <w:p w:rsidR="00BA5D40" w:rsidRDefault="00290DC5">
            <w:pPr>
              <w:spacing w:after="0"/>
              <w:jc w:val="center"/>
              <w:rPr>
                <w:rFonts w:ascii="Times New Roman" w:hAnsi="Times New Roman"/>
                <w:b/>
                <w:noProof/>
                <w:sz w:val="20"/>
                <w:szCs w:val="20"/>
              </w:rPr>
            </w:pPr>
            <w:r>
              <w:rPr>
                <w:rFonts w:ascii="Times New Roman" w:hAnsi="Times New Roman"/>
                <w:b/>
                <w:noProof/>
                <w:sz w:val="20"/>
                <w:szCs w:val="20"/>
              </w:rPr>
              <w:t>Title</w:t>
            </w:r>
          </w:p>
        </w:tc>
        <w:tc>
          <w:tcPr>
            <w:tcW w:w="3335" w:type="pct"/>
            <w:tcBorders>
              <w:bottom w:val="single" w:sz="4" w:space="0" w:color="auto"/>
            </w:tcBorders>
            <w:shd w:val="clear" w:color="auto" w:fill="99CCFF"/>
            <w:vAlign w:val="center"/>
          </w:tcPr>
          <w:p w:rsidR="00BA5D40" w:rsidRDefault="00290DC5">
            <w:pPr>
              <w:spacing w:after="0"/>
              <w:jc w:val="center"/>
              <w:rPr>
                <w:rFonts w:ascii="Times New Roman" w:hAnsi="Times New Roman"/>
                <w:b/>
                <w:noProof/>
                <w:sz w:val="20"/>
                <w:szCs w:val="20"/>
              </w:rPr>
            </w:pPr>
            <w:r>
              <w:rPr>
                <w:rFonts w:ascii="Times New Roman" w:hAnsi="Times New Roman"/>
                <w:b/>
                <w:noProof/>
                <w:sz w:val="20"/>
                <w:szCs w:val="20"/>
              </w:rPr>
              <w:t xml:space="preserve">Description </w:t>
            </w:r>
            <w:r>
              <w:rPr>
                <w:rStyle w:val="FootnoteReference"/>
                <w:rFonts w:ascii="Times New Roman" w:hAnsi="Times New Roman"/>
                <w:b/>
                <w:noProof/>
                <w:sz w:val="20"/>
                <w:szCs w:val="20"/>
              </w:rPr>
              <w:footnoteReference w:id="2"/>
            </w:r>
          </w:p>
        </w:tc>
      </w:tr>
      <w:tr w:rsidR="00BA5D40">
        <w:trPr>
          <w:cantSplit/>
        </w:trPr>
        <w:tc>
          <w:tcPr>
            <w:tcW w:w="5000" w:type="pct"/>
            <w:gridSpan w:val="3"/>
            <w:tcBorders>
              <w:top w:val="single" w:sz="4" w:space="0" w:color="auto"/>
              <w:left w:val="single" w:sz="4" w:space="0" w:color="auto"/>
              <w:bottom w:val="single" w:sz="4" w:space="0" w:color="auto"/>
            </w:tcBorders>
            <w:shd w:val="clear" w:color="auto" w:fill="F3F3F3"/>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A New Boost for Jobs, Growth and Investment</w:t>
            </w:r>
            <w:r>
              <w:rPr>
                <w:rFonts w:cs="EC Square Sans Pro"/>
                <w:b/>
                <w:bCs/>
                <w:iCs/>
                <w:noProof/>
                <w:color w:val="000000"/>
                <w:sz w:val="23"/>
                <w:szCs w:val="23"/>
              </w:rPr>
              <w:t xml:space="preserve"> </w:t>
            </w:r>
          </w:p>
        </w:tc>
      </w:tr>
      <w:tr w:rsidR="00BA5D40">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Borders>
              <w:top w:val="single" w:sz="4" w:space="0" w:color="auto"/>
              <w:left w:val="single" w:sz="4" w:space="0" w:color="auto"/>
              <w:bottom w:val="single" w:sz="4" w:space="0" w:color="auto"/>
              <w:right w:val="single" w:sz="4" w:space="0" w:color="auto"/>
            </w:tcBorders>
          </w:tcPr>
          <w:p w:rsidR="00BA5D40" w:rsidRDefault="00290DC5">
            <w:pPr>
              <w:spacing w:after="0"/>
              <w:rPr>
                <w:rFonts w:ascii="Times New Roman" w:hAnsi="Times New Roman"/>
                <w:b/>
                <w:noProof/>
                <w:sz w:val="20"/>
                <w:szCs w:val="20"/>
              </w:rPr>
            </w:pPr>
            <w:r>
              <w:rPr>
                <w:rFonts w:ascii="Times New Roman" w:hAnsi="Times New Roman"/>
                <w:b/>
                <w:noProof/>
                <w:sz w:val="20"/>
                <w:szCs w:val="20"/>
              </w:rPr>
              <w:t xml:space="preserve">Waste Electrical and Electronic Equipment (WEEE) </w:t>
            </w:r>
          </w:p>
          <w:p w:rsidR="00BA5D40" w:rsidRDefault="00BA5D40">
            <w:pPr>
              <w:spacing w:after="0"/>
              <w:rPr>
                <w:rFonts w:ascii="Times New Roman" w:hAnsi="Times New Roman"/>
                <w:b/>
                <w:noProof/>
                <w:sz w:val="20"/>
                <w:szCs w:val="20"/>
              </w:rPr>
            </w:pPr>
          </w:p>
        </w:tc>
        <w:tc>
          <w:tcPr>
            <w:tcW w:w="3335" w:type="pct"/>
            <w:tcBorders>
              <w:top w:val="single" w:sz="4" w:space="0" w:color="auto"/>
              <w:left w:val="single" w:sz="4" w:space="0" w:color="auto"/>
              <w:bottom w:val="single" w:sz="4" w:space="0" w:color="auto"/>
            </w:tcBorders>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Implementing act on a standard format and frequency of reporting</w:t>
            </w:r>
            <w:r>
              <w:rPr>
                <w:rFonts w:ascii="Times New Roman" w:hAnsi="Times New Roman"/>
                <w:noProof/>
                <w:sz w:val="20"/>
                <w:szCs w:val="20"/>
              </w:rPr>
              <w:t xml:space="preserve"> (Directive 2012/19/EU; Article 16(3); Q4/2017). </w:t>
            </w:r>
            <w:r>
              <w:rPr>
                <w:rFonts w:ascii="Times New Roman" w:hAnsi="Times New Roman"/>
                <w:b/>
                <w:noProof/>
                <w:sz w:val="20"/>
                <w:szCs w:val="20"/>
              </w:rPr>
              <w:t>Follow-up to a REFIT Platform Opinion.</w:t>
            </w:r>
          </w:p>
        </w:tc>
      </w:tr>
      <w:tr w:rsidR="00BA5D40">
        <w:trPr>
          <w:cantSplit/>
        </w:trPr>
        <w:tc>
          <w:tcPr>
            <w:tcW w:w="5000" w:type="pct"/>
            <w:gridSpan w:val="3"/>
            <w:shd w:val="clear" w:color="auto" w:fill="F3F3F3"/>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 xml:space="preserve">A Connected Digital Single Market </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b/>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ENISA (European Union Agency for Network and Information Security)</w:t>
            </w:r>
          </w:p>
          <w:p w:rsidR="00BA5D40" w:rsidRDefault="00BA5D40">
            <w:pPr>
              <w:spacing w:after="0"/>
              <w:rPr>
                <w:rFonts w:ascii="Times New Roman" w:hAnsi="Times New Roman"/>
                <w:b/>
                <w:noProof/>
                <w:sz w:val="20"/>
                <w:szCs w:val="20"/>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Revision of Regulation No 526/2013 (ENISA's Regulation) setting out the mandate, objectives and tasks for the European Union Agency for Network and Information Security. (</w:t>
            </w:r>
            <w:r>
              <w:rPr>
                <w:rFonts w:ascii="Times New Roman" w:hAnsi="Times New Roman"/>
                <w:noProof/>
                <w:sz w:val="20"/>
                <w:szCs w:val="20"/>
              </w:rPr>
              <w:t>incl. impact assessment,, Q4/2017)</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Domain Name Regulation</w:t>
            </w:r>
          </w:p>
          <w:p w:rsidR="00BA5D40" w:rsidRDefault="00BA5D40">
            <w:pPr>
              <w:spacing w:after="0"/>
              <w:rPr>
                <w:rFonts w:ascii="Times New Roman" w:hAnsi="Times New Roman"/>
                <w:b/>
                <w:noProof/>
                <w:sz w:val="20"/>
                <w:szCs w:val="20"/>
              </w:rPr>
            </w:pPr>
          </w:p>
          <w:p w:rsidR="00BA5D40" w:rsidRDefault="00BA5D40">
            <w:pPr>
              <w:spacing w:after="0"/>
              <w:rPr>
                <w:rFonts w:ascii="Times New Roman" w:hAnsi="Times New Roman"/>
                <w:b/>
                <w:noProof/>
                <w:sz w:val="20"/>
                <w:szCs w:val="20"/>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Regulation EC 733/2002 establishing the “.eu” top-level domain (TLD) and Regulation EC 874/2004 laying down public policy rules concerning the implementation and functions of the .eu TLD </w:t>
            </w:r>
            <w:r>
              <w:rPr>
                <w:rFonts w:ascii="Times New Roman" w:hAnsi="Times New Roman"/>
                <w:noProof/>
                <w:sz w:val="20"/>
                <w:szCs w:val="20"/>
              </w:rPr>
              <w:t>(incl. impact assessment; Art. 173 TFEU; Q3/2017).</w:t>
            </w:r>
            <w:r>
              <w:rPr>
                <w:rFonts w:ascii="Times New Roman" w:hAnsi="Times New Roman"/>
                <w:b/>
                <w:noProof/>
                <w:sz w:val="20"/>
                <w:szCs w:val="20"/>
              </w:rPr>
              <w:t xml:space="preserve"> Over the past decade, the TLD market place has undergone significant changes that provide both strategic challenges and opportunities for the .eu TLD..</w:t>
            </w:r>
          </w:p>
          <w:p w:rsidR="00BA5D40" w:rsidRDefault="00BA5D40">
            <w:pPr>
              <w:spacing w:after="0"/>
              <w:jc w:val="both"/>
              <w:rPr>
                <w:rFonts w:ascii="Times New Roman" w:hAnsi="Times New Roman"/>
                <w:b/>
                <w:noProof/>
                <w:sz w:val="20"/>
                <w:szCs w:val="20"/>
              </w:rPr>
            </w:pPr>
          </w:p>
        </w:tc>
      </w:tr>
      <w:tr w:rsidR="00BA5D40">
        <w:trPr>
          <w:cantSplit/>
        </w:trPr>
        <w:tc>
          <w:tcPr>
            <w:tcW w:w="5000" w:type="pct"/>
            <w:gridSpan w:val="3"/>
            <w:shd w:val="clear" w:color="auto" w:fill="F3F3F3"/>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lastRenderedPageBreak/>
              <w:t>A Resilient Energy Union with a Forward-Looking Climate Change Policy</w:t>
            </w:r>
            <w:r>
              <w:rPr>
                <w:rFonts w:cs="EC Square Sans Pro"/>
                <w:b/>
                <w:bCs/>
                <w:iCs/>
                <w:noProof/>
                <w:color w:val="000000"/>
                <w:sz w:val="23"/>
                <w:szCs w:val="23"/>
              </w:rPr>
              <w:t xml:space="preserve"> </w:t>
            </w:r>
          </w:p>
        </w:tc>
      </w:tr>
      <w:tr w:rsidR="00BA5D40">
        <w:trPr>
          <w:cantSplit/>
        </w:trPr>
        <w:tc>
          <w:tcPr>
            <w:tcW w:w="133" w:type="pct"/>
            <w:shd w:val="clear" w:color="auto" w:fill="auto"/>
          </w:tcPr>
          <w:p w:rsidR="00BA5D40" w:rsidRDefault="00BA5D40">
            <w:pPr>
              <w:numPr>
                <w:ilvl w:val="0"/>
                <w:numId w:val="1"/>
              </w:numPr>
              <w:spacing w:after="0" w:line="240" w:lineRule="auto"/>
              <w:jc w:val="both"/>
              <w:rPr>
                <w:rFonts w:ascii="Times New Roman" w:hAnsi="Times New Roman"/>
                <w:noProof/>
                <w:color w:val="000000"/>
                <w:sz w:val="20"/>
                <w:szCs w:val="20"/>
              </w:rPr>
            </w:pPr>
          </w:p>
        </w:tc>
        <w:tc>
          <w:tcPr>
            <w:tcW w:w="1532"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Combined Transport</w:t>
            </w:r>
          </w:p>
          <w:p w:rsidR="00BA5D40" w:rsidRDefault="00BA5D40">
            <w:pPr>
              <w:spacing w:after="0"/>
              <w:jc w:val="both"/>
              <w:rPr>
                <w:rFonts w:ascii="Times New Roman" w:hAnsi="Times New Roman"/>
                <w:b/>
                <w:noProof/>
                <w:sz w:val="20"/>
                <w:szCs w:val="20"/>
              </w:rPr>
            </w:pPr>
          </w:p>
        </w:tc>
        <w:tc>
          <w:tcPr>
            <w:tcW w:w="3335" w:type="pct"/>
          </w:tcPr>
          <w:p w:rsidR="00BA5D40" w:rsidRDefault="00290DC5">
            <w:pPr>
              <w:jc w:val="both"/>
              <w:rPr>
                <w:rFonts w:ascii="Times New Roman" w:hAnsi="Times New Roman"/>
                <w:b/>
                <w:noProof/>
                <w:sz w:val="20"/>
                <w:szCs w:val="20"/>
              </w:rPr>
            </w:pPr>
            <w:r>
              <w:rPr>
                <w:rFonts w:ascii="Times New Roman" w:hAnsi="Times New Roman"/>
                <w:b/>
                <w:noProof/>
                <w:sz w:val="20"/>
                <w:szCs w:val="20"/>
              </w:rPr>
              <w:t>Revision of Directive 92/106/EEC on the establishment of common rules for certain types of combined transport of goods between Member States aimed at improving efficiency and effectiveness and ensuring further promotion of intermodal transport in EU (</w:t>
            </w:r>
            <w:r>
              <w:rPr>
                <w:rFonts w:ascii="Times New Roman" w:hAnsi="Times New Roman"/>
                <w:noProof/>
                <w:sz w:val="20"/>
                <w:szCs w:val="20"/>
              </w:rPr>
              <w:t>incl. impact assessment; Q4/2017)</w:t>
            </w:r>
            <w:r>
              <w:rPr>
                <w:rFonts w:ascii="Times New Roman" w:hAnsi="Times New Roman"/>
                <w:b/>
                <w:noProof/>
                <w:sz w:val="20"/>
                <w:szCs w:val="20"/>
              </w:rPr>
              <w:t>. This revision follows-up on an evaluation concluded in 2016.</w:t>
            </w:r>
          </w:p>
        </w:tc>
      </w:tr>
      <w:tr w:rsidR="00BA5D40">
        <w:trPr>
          <w:cantSplit/>
        </w:trPr>
        <w:tc>
          <w:tcPr>
            <w:tcW w:w="5000" w:type="pct"/>
            <w:gridSpan w:val="3"/>
            <w:shd w:val="clear" w:color="auto" w:fill="F3F3F3"/>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A Deeper and Fairer Internal Market with a Strengthened Industrial Base</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spacing w:after="0"/>
              <w:rPr>
                <w:rFonts w:ascii="Times New Roman" w:hAnsi="Times New Roman"/>
                <w:b/>
                <w:noProof/>
                <w:sz w:val="20"/>
                <w:szCs w:val="20"/>
              </w:rPr>
            </w:pPr>
            <w:r>
              <w:rPr>
                <w:rFonts w:ascii="Times New Roman" w:hAnsi="Times New Roman"/>
                <w:b/>
                <w:noProof/>
                <w:sz w:val="20"/>
                <w:szCs w:val="20"/>
              </w:rPr>
              <w:t>General Block Exemption Regulation (GBER) 2015</w:t>
            </w:r>
          </w:p>
          <w:p w:rsidR="00BA5D40" w:rsidRDefault="00BA5D40">
            <w:pPr>
              <w:spacing w:after="0"/>
              <w:rPr>
                <w:rFonts w:ascii="Times New Roman" w:hAnsi="Times New Roman"/>
                <w:b/>
                <w:noProof/>
                <w:sz w:val="20"/>
                <w:szCs w:val="20"/>
              </w:rPr>
            </w:pPr>
          </w:p>
        </w:tc>
        <w:tc>
          <w:tcPr>
            <w:tcW w:w="3335" w:type="pct"/>
            <w:shd w:val="clear" w:color="auto" w:fill="auto"/>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Commission Regulation 651/2014 introducing exemption provisions for ports and airports in the Commission Regulation declaring certain categories of aid compatible with the internal market in application of Articles 107 and 108 of the Treaty </w:t>
            </w:r>
            <w:r>
              <w:rPr>
                <w:rFonts w:ascii="Times New Roman" w:hAnsi="Times New Roman"/>
                <w:noProof/>
                <w:sz w:val="20"/>
                <w:szCs w:val="20"/>
              </w:rPr>
              <w:t>(Council Regulation 2015/1589; Q1/2017)</w:t>
            </w:r>
            <w:r>
              <w:rPr>
                <w:rFonts w:ascii="Times New Roman" w:hAnsi="Times New Roman"/>
                <w:b/>
                <w:noProof/>
                <w:sz w:val="20"/>
                <w:szCs w:val="20"/>
              </w:rPr>
              <w:t xml:space="preserve">. </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General arrangements for excise duty</w:t>
            </w:r>
          </w:p>
          <w:p w:rsidR="00BA5D40" w:rsidRDefault="00BA5D40">
            <w:pPr>
              <w:spacing w:after="0"/>
              <w:rPr>
                <w:rFonts w:ascii="Times New Roman" w:hAnsi="Times New Roman"/>
                <w:b/>
                <w:noProof/>
                <w:sz w:val="20"/>
                <w:szCs w:val="20"/>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Revision of Directive 2008/118/EC to align and ensure coherence between customs and excise legislation</w:t>
            </w:r>
            <w:r>
              <w:rPr>
                <w:rFonts w:ascii="Times New Roman" w:hAnsi="Times New Roman"/>
                <w:noProof/>
                <w:sz w:val="20"/>
                <w:szCs w:val="20"/>
              </w:rPr>
              <w:t>,</w:t>
            </w:r>
            <w:r>
              <w:rPr>
                <w:rFonts w:ascii="Times New Roman" w:hAnsi="Times New Roman"/>
                <w:b/>
                <w:noProof/>
                <w:sz w:val="20"/>
                <w:szCs w:val="20"/>
              </w:rPr>
              <w:t xml:space="preserve"> improve legal certainty and ensure the uniform application of EU legislation </w:t>
            </w:r>
            <w:r>
              <w:rPr>
                <w:rFonts w:ascii="Times New Roman" w:hAnsi="Times New Roman"/>
                <w:noProof/>
                <w:sz w:val="20"/>
                <w:szCs w:val="20"/>
              </w:rPr>
              <w:t>(incl. impact assessment; Art 113 TFEU; Q4/2017)</w:t>
            </w:r>
            <w:r>
              <w:rPr>
                <w:rFonts w:ascii="Times New Roman" w:hAnsi="Times New Roman"/>
                <w:b/>
                <w:noProof/>
                <w:sz w:val="20"/>
                <w:szCs w:val="20"/>
              </w:rPr>
              <w:t>.</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rPr>
                <w:rFonts w:ascii="Times New Roman" w:hAnsi="Times New Roman"/>
                <w:b/>
                <w:noProof/>
                <w:color w:val="000000"/>
                <w:sz w:val="18"/>
                <w:szCs w:val="18"/>
              </w:rPr>
            </w:pPr>
            <w:r>
              <w:rPr>
                <w:rFonts w:ascii="Times New Roman" w:hAnsi="Times New Roman"/>
                <w:b/>
                <w:noProof/>
                <w:sz w:val="20"/>
                <w:szCs w:val="20"/>
              </w:rPr>
              <w:t>Revision of the structures of excise duty applied to alcohol and alcoholic beverages</w:t>
            </w:r>
            <w:r>
              <w:rPr>
                <w:rFonts w:ascii="Times New Roman" w:hAnsi="Times New Roman"/>
                <w:b/>
                <w:noProof/>
                <w:sz w:val="20"/>
                <w:szCs w:val="20"/>
              </w:rPr>
              <w:br/>
            </w:r>
          </w:p>
        </w:tc>
        <w:tc>
          <w:tcPr>
            <w:tcW w:w="3335" w:type="pct"/>
          </w:tcPr>
          <w:p w:rsidR="00BA5D40" w:rsidRDefault="00290DC5">
            <w:pPr>
              <w:jc w:val="both"/>
              <w:rPr>
                <w:rFonts w:ascii="Times New Roman" w:hAnsi="Times New Roman"/>
                <w:b/>
                <w:noProof/>
                <w:sz w:val="20"/>
                <w:szCs w:val="20"/>
              </w:rPr>
            </w:pPr>
            <w:r>
              <w:rPr>
                <w:rFonts w:ascii="Times New Roman" w:hAnsi="Times New Roman"/>
                <w:b/>
                <w:noProof/>
                <w:sz w:val="20"/>
                <w:szCs w:val="20"/>
              </w:rPr>
              <w:t xml:space="preserve">Revision of Council Directive 92/83/EEC on the structures of excise duty applied to alcohol and alcoholic beverages </w:t>
            </w:r>
            <w:r>
              <w:rPr>
                <w:rFonts w:ascii="Times New Roman" w:hAnsi="Times New Roman"/>
                <w:noProof/>
                <w:sz w:val="20"/>
                <w:szCs w:val="20"/>
              </w:rPr>
              <w:t>(incl. impact assessment;</w:t>
            </w:r>
            <w:r>
              <w:rPr>
                <w:rFonts w:ascii="Times New Roman" w:hAnsi="Times New Roman"/>
                <w:b/>
                <w:noProof/>
                <w:sz w:val="20"/>
                <w:szCs w:val="20"/>
              </w:rPr>
              <w:t xml:space="preserve"> </w:t>
            </w:r>
            <w:r>
              <w:rPr>
                <w:rFonts w:ascii="Times New Roman" w:hAnsi="Times New Roman"/>
                <w:noProof/>
                <w:sz w:val="20"/>
                <w:szCs w:val="20"/>
              </w:rPr>
              <w:t>Art. 113 TFEU; Q4/2017)</w:t>
            </w:r>
            <w:r>
              <w:rPr>
                <w:rFonts w:ascii="Times New Roman" w:hAnsi="Times New Roman"/>
                <w:b/>
                <w:noProof/>
                <w:sz w:val="20"/>
                <w:szCs w:val="20"/>
              </w:rPr>
              <w:t>.</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rPr>
                <w:rFonts w:ascii="Times New Roman" w:hAnsi="Times New Roman"/>
                <w:b/>
                <w:noProof/>
                <w:color w:val="000000"/>
                <w:sz w:val="20"/>
                <w:szCs w:val="20"/>
              </w:rPr>
            </w:pPr>
            <w:r>
              <w:rPr>
                <w:rFonts w:ascii="Times New Roman" w:hAnsi="Times New Roman"/>
                <w:b/>
                <w:noProof/>
                <w:color w:val="000000"/>
                <w:sz w:val="20"/>
                <w:szCs w:val="20"/>
              </w:rPr>
              <w:t>Training, Qualification, Licensing in Road Transport</w:t>
            </w:r>
            <w:r>
              <w:rPr>
                <w:rFonts w:ascii="Times New Roman" w:hAnsi="Times New Roman"/>
                <w:b/>
                <w:noProof/>
                <w:color w:val="000000"/>
                <w:sz w:val="20"/>
                <w:szCs w:val="20"/>
              </w:rPr>
              <w:br/>
            </w:r>
          </w:p>
        </w:tc>
        <w:tc>
          <w:tcPr>
            <w:tcW w:w="3335" w:type="pct"/>
            <w:shd w:val="clear" w:color="auto" w:fill="auto"/>
          </w:tcPr>
          <w:p w:rsidR="00BA5D40" w:rsidRDefault="00290DC5">
            <w:pPr>
              <w:jc w:val="both"/>
              <w:rPr>
                <w:rFonts w:ascii="Tahoma" w:hAnsi="Tahoma" w:cs="Tahoma"/>
                <w:b/>
                <w:noProof/>
                <w:sz w:val="17"/>
                <w:szCs w:val="17"/>
              </w:rPr>
            </w:pPr>
            <w:r>
              <w:rPr>
                <w:rFonts w:ascii="Times New Roman" w:hAnsi="Times New Roman"/>
                <w:b/>
                <w:noProof/>
                <w:sz w:val="20"/>
                <w:szCs w:val="20"/>
              </w:rPr>
              <w:t xml:space="preserve">Revision of Directive 2003/59/EC on the initial qualification and periodic training of drivers of certain vehicles for the carriage of goods and passengers </w:t>
            </w:r>
            <w:r>
              <w:rPr>
                <w:rFonts w:ascii="Times New Roman" w:hAnsi="Times New Roman"/>
                <w:noProof/>
                <w:sz w:val="20"/>
                <w:szCs w:val="20"/>
              </w:rPr>
              <w:t xml:space="preserve">(incl. impact assessment; Art. 91 TFEU; </w:t>
            </w:r>
            <w:r>
              <w:rPr>
                <w:rFonts w:ascii="Times New Roman" w:hAnsi="Times New Roman"/>
                <w:noProof/>
                <w:color w:val="000000"/>
                <w:sz w:val="18"/>
                <w:szCs w:val="18"/>
              </w:rPr>
              <w:t>Q4/2016)</w:t>
            </w:r>
            <w:r>
              <w:rPr>
                <w:rFonts w:ascii="Times New Roman" w:hAnsi="Times New Roman"/>
                <w:b/>
                <w:noProof/>
                <w:sz w:val="20"/>
                <w:szCs w:val="20"/>
              </w:rPr>
              <w:t>. Follow-Up to an evaluation completed in July 2016.</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 xml:space="preserve">Better functioning of the market for bus and coach transport </w:t>
            </w:r>
          </w:p>
          <w:p w:rsidR="00BA5D40" w:rsidRDefault="00BA5D40">
            <w:pPr>
              <w:rPr>
                <w:rFonts w:ascii="Times New Roman" w:hAnsi="Times New Roman"/>
                <w:noProof/>
                <w:sz w:val="20"/>
                <w:szCs w:val="20"/>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Regulation (EC) No 1073/2009 on common rules for access to the International market for coach and bus services and amending Regulation (EC) No 561/2006 in order to improve competion on domestic coach markets, ensure non-discriminatory access to terminals and other infrastructure </w:t>
            </w:r>
            <w:r>
              <w:rPr>
                <w:rFonts w:ascii="Times New Roman" w:hAnsi="Times New Roman"/>
                <w:noProof/>
                <w:sz w:val="20"/>
                <w:szCs w:val="20"/>
              </w:rPr>
              <w:t>(incl. impact assessment; Article 91 TFEU; Q4/2017)</w:t>
            </w:r>
            <w:r>
              <w:rPr>
                <w:rFonts w:ascii="Times New Roman" w:hAnsi="Times New Roman"/>
                <w:b/>
                <w:noProof/>
                <w:sz w:val="20"/>
                <w:szCs w:val="20"/>
              </w:rPr>
              <w:t>. This revision follows-up on an evaluation concluded in 2016.</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spacing w:after="0"/>
              <w:rPr>
                <w:rFonts w:ascii="Times New Roman" w:hAnsi="Times New Roman"/>
                <w:b/>
                <w:noProof/>
                <w:sz w:val="20"/>
                <w:szCs w:val="20"/>
              </w:rPr>
            </w:pPr>
            <w:r>
              <w:rPr>
                <w:rFonts w:ascii="Times New Roman" w:hAnsi="Times New Roman"/>
                <w:b/>
                <w:noProof/>
                <w:sz w:val="20"/>
                <w:szCs w:val="20"/>
              </w:rPr>
              <w:t>Access to the EU road haulage market</w:t>
            </w:r>
          </w:p>
          <w:p w:rsidR="00BA5D40" w:rsidRDefault="00BA5D40">
            <w:pPr>
              <w:spacing w:after="0"/>
              <w:rPr>
                <w:rFonts w:ascii="Times New Roman" w:hAnsi="Times New Roman"/>
                <w:b/>
                <w:noProof/>
                <w:sz w:val="20"/>
                <w:szCs w:val="20"/>
              </w:rPr>
            </w:pPr>
          </w:p>
        </w:tc>
        <w:tc>
          <w:tcPr>
            <w:tcW w:w="3335" w:type="pct"/>
            <w:shd w:val="clear" w:color="auto" w:fill="auto"/>
          </w:tcPr>
          <w:p w:rsidR="00BA5D40" w:rsidRDefault="00290DC5">
            <w:pPr>
              <w:spacing w:after="0"/>
              <w:jc w:val="both"/>
              <w:rPr>
                <w:rFonts w:ascii="Times New Roman" w:hAnsi="Times New Roman"/>
                <w:b/>
                <w:noProof/>
                <w:sz w:val="20"/>
                <w:szCs w:val="20"/>
                <w:highlight w:val="yellow"/>
              </w:rPr>
            </w:pPr>
            <w:r>
              <w:rPr>
                <w:rFonts w:ascii="Times New Roman" w:hAnsi="Times New Roman"/>
                <w:b/>
                <w:noProof/>
                <w:sz w:val="20"/>
                <w:szCs w:val="20"/>
              </w:rPr>
              <w:t xml:space="preserve">Revision of Regulation (EC) No 1072/2009 and and Regulation (EC) No 1071/2009 in order to simplify, facilitate implementation and strengthen the level playing field </w:t>
            </w:r>
            <w:r>
              <w:rPr>
                <w:rFonts w:ascii="Times New Roman" w:hAnsi="Times New Roman"/>
                <w:noProof/>
                <w:sz w:val="20"/>
                <w:szCs w:val="20"/>
              </w:rPr>
              <w:t>(incl. impact assessment; Art. 91 TFEU; Q2/2017).</w:t>
            </w:r>
            <w:r>
              <w:rPr>
                <w:rFonts w:ascii="Times New Roman" w:hAnsi="Times New Roman"/>
                <w:b/>
                <w:noProof/>
                <w:sz w:val="20"/>
                <w:szCs w:val="20"/>
              </w:rPr>
              <w:t xml:space="preserve"> This revision follows-up on an evaluation concluded in 2016.</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spacing w:after="0"/>
              <w:rPr>
                <w:rFonts w:ascii="Times New Roman" w:hAnsi="Times New Roman"/>
                <w:b/>
                <w:noProof/>
                <w:sz w:val="20"/>
                <w:szCs w:val="20"/>
              </w:rPr>
            </w:pPr>
            <w:r>
              <w:rPr>
                <w:rFonts w:ascii="Times New Roman" w:hAnsi="Times New Roman"/>
                <w:b/>
                <w:noProof/>
                <w:sz w:val="20"/>
                <w:szCs w:val="20"/>
              </w:rPr>
              <w:t xml:space="preserve">Enhancement of the social legislation in road transport  </w:t>
            </w:r>
          </w:p>
          <w:p w:rsidR="00BA5D40" w:rsidRDefault="00BA5D40">
            <w:pPr>
              <w:spacing w:after="0"/>
              <w:rPr>
                <w:rFonts w:ascii="Times New Roman" w:hAnsi="Times New Roman"/>
                <w:b/>
                <w:noProof/>
                <w:sz w:val="20"/>
                <w:szCs w:val="20"/>
                <w:highlight w:val="yellow"/>
              </w:rPr>
            </w:pPr>
          </w:p>
        </w:tc>
        <w:tc>
          <w:tcPr>
            <w:tcW w:w="3335" w:type="pct"/>
            <w:shd w:val="clear" w:color="auto" w:fill="auto"/>
          </w:tcPr>
          <w:p w:rsidR="00BA5D40" w:rsidRDefault="00290DC5">
            <w:pPr>
              <w:spacing w:after="0"/>
              <w:jc w:val="both"/>
              <w:rPr>
                <w:rFonts w:ascii="Times New Roman" w:hAnsi="Times New Roman"/>
                <w:b/>
                <w:noProof/>
                <w:sz w:val="20"/>
                <w:szCs w:val="20"/>
                <w:highlight w:val="yellow"/>
              </w:rPr>
            </w:pPr>
            <w:r>
              <w:rPr>
                <w:rFonts w:ascii="Times New Roman" w:hAnsi="Times New Roman"/>
                <w:b/>
                <w:noProof/>
                <w:sz w:val="20"/>
                <w:szCs w:val="20"/>
              </w:rPr>
              <w:t xml:space="preserve">Revision of Regulation (EC) No 561/2006, Directive 2002/15/EC and Directive 2006/22/EC in order to ensure a genuine level playing field for the road transport industry and adequate working conditions </w:t>
            </w:r>
            <w:r>
              <w:rPr>
                <w:rFonts w:ascii="Times New Roman" w:hAnsi="Times New Roman"/>
                <w:noProof/>
                <w:sz w:val="20"/>
                <w:szCs w:val="20"/>
              </w:rPr>
              <w:t>(incl. impact assessment; Q2/2017).</w:t>
            </w:r>
            <w:r>
              <w:rPr>
                <w:rFonts w:ascii="Times New Roman" w:hAnsi="Times New Roman"/>
                <w:b/>
                <w:noProof/>
                <w:sz w:val="20"/>
                <w:szCs w:val="20"/>
              </w:rPr>
              <w:t>This revision follows-up on an evaluation concluded in 2016.</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Small Craft Code</w:t>
            </w:r>
          </w:p>
          <w:p w:rsidR="00BA5D40" w:rsidRDefault="00BA5D40">
            <w:pPr>
              <w:spacing w:after="0"/>
              <w:rPr>
                <w:rFonts w:ascii="Times New Roman" w:hAnsi="Times New Roman"/>
                <w:b/>
                <w:noProof/>
                <w:sz w:val="20"/>
                <w:szCs w:val="20"/>
              </w:rPr>
            </w:pPr>
          </w:p>
        </w:tc>
        <w:tc>
          <w:tcPr>
            <w:tcW w:w="3335" w:type="pct"/>
          </w:tcPr>
          <w:p w:rsidR="00BA5D40" w:rsidRDefault="00290DC5">
            <w:pPr>
              <w:jc w:val="both"/>
              <w:rPr>
                <w:rFonts w:ascii="Times New Roman" w:hAnsi="Times New Roman"/>
                <w:b/>
                <w:noProof/>
                <w:sz w:val="20"/>
                <w:szCs w:val="20"/>
              </w:rPr>
            </w:pPr>
            <w:r>
              <w:rPr>
                <w:rFonts w:ascii="Times New Roman" w:hAnsi="Times New Roman"/>
                <w:b/>
                <w:noProof/>
                <w:sz w:val="20"/>
                <w:szCs w:val="20"/>
              </w:rPr>
              <w:t xml:space="preserve">Proposal for a Council Recommendation to facilitate and simplify the construction and cross-border trade of small passenger vessels as well as their registration </w:t>
            </w:r>
            <w:r>
              <w:rPr>
                <w:rFonts w:ascii="Times New Roman" w:hAnsi="Times New Roman"/>
                <w:noProof/>
                <w:sz w:val="20"/>
                <w:szCs w:val="20"/>
              </w:rPr>
              <w:t>(Art. 100(2) TFEU; Q4/2017)</w:t>
            </w:r>
            <w:r>
              <w:rPr>
                <w:rFonts w:ascii="Times New Roman" w:hAnsi="Times New Roman"/>
                <w:b/>
                <w:noProof/>
                <w:sz w:val="20"/>
                <w:szCs w:val="20"/>
              </w:rPr>
              <w:t>.</w:t>
            </w:r>
            <w:r>
              <w:rPr>
                <w:noProof/>
                <w:color w:val="1F497D"/>
              </w:rPr>
              <w:t xml:space="preserve"> </w:t>
            </w:r>
            <w:r>
              <w:rPr>
                <w:rFonts w:ascii="Times New Roman" w:hAnsi="Times New Roman"/>
                <w:b/>
                <w:noProof/>
                <w:sz w:val="20"/>
                <w:szCs w:val="20"/>
              </w:rPr>
              <w:t>Follow-up to the REFIT Fitness Check on EU passenger ship safety legislation.</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spacing w:after="0"/>
              <w:rPr>
                <w:rFonts w:ascii="Times New Roman" w:hAnsi="Times New Roman"/>
                <w:b/>
                <w:noProof/>
                <w:sz w:val="20"/>
                <w:szCs w:val="20"/>
              </w:rPr>
            </w:pPr>
            <w:r>
              <w:rPr>
                <w:rFonts w:ascii="Times New Roman" w:hAnsi="Times New Roman"/>
                <w:b/>
                <w:noProof/>
                <w:sz w:val="20"/>
                <w:szCs w:val="20"/>
              </w:rPr>
              <w:t>Leasing of Vehicles</w:t>
            </w:r>
          </w:p>
          <w:p w:rsidR="00BA5D40" w:rsidRDefault="00BA5D40">
            <w:pPr>
              <w:spacing w:after="0"/>
              <w:rPr>
                <w:rFonts w:ascii="Times New Roman" w:hAnsi="Times New Roman"/>
                <w:b/>
                <w:noProof/>
                <w:sz w:val="20"/>
                <w:szCs w:val="20"/>
              </w:rPr>
            </w:pPr>
          </w:p>
        </w:tc>
        <w:tc>
          <w:tcPr>
            <w:tcW w:w="3335" w:type="pct"/>
            <w:shd w:val="clear" w:color="auto" w:fill="auto"/>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Directive 2006/1/EC on the use of hired vehicles without drivers for the carriage of goods by road in order to optimise the allocation of resources, increase the flexibility in organising freight transport operations and hence companies productivity </w:t>
            </w:r>
            <w:r>
              <w:rPr>
                <w:rFonts w:ascii="Times New Roman" w:hAnsi="Times New Roman"/>
                <w:noProof/>
                <w:sz w:val="20"/>
                <w:szCs w:val="20"/>
              </w:rPr>
              <w:t>(incl. impact assessment; Art. 91 TFEU; Q2/2017).</w:t>
            </w:r>
            <w:r>
              <w:rPr>
                <w:rFonts w:ascii="Times New Roman" w:hAnsi="Times New Roman"/>
                <w:b/>
                <w:noProof/>
                <w:sz w:val="20"/>
                <w:szCs w:val="20"/>
              </w:rPr>
              <w:t xml:space="preserve"> This revision follows-up on an evaluation concluded in 2016.</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shd w:val="clear" w:color="auto" w:fill="auto"/>
          </w:tcPr>
          <w:p w:rsidR="00BA5D40" w:rsidRDefault="00290DC5">
            <w:pPr>
              <w:rPr>
                <w:rFonts w:ascii="Times New Roman" w:hAnsi="Times New Roman"/>
                <w:b/>
                <w:noProof/>
                <w:color w:val="000000"/>
                <w:sz w:val="18"/>
                <w:szCs w:val="18"/>
              </w:rPr>
            </w:pPr>
            <w:r>
              <w:rPr>
                <w:rFonts w:ascii="Times New Roman" w:hAnsi="Times New Roman"/>
                <w:b/>
                <w:noProof/>
                <w:color w:val="000000"/>
                <w:sz w:val="18"/>
                <w:szCs w:val="18"/>
              </w:rPr>
              <w:t>Road Infrastructure and tunnels safety</w:t>
            </w:r>
          </w:p>
          <w:p w:rsidR="00BA5D40" w:rsidRDefault="00BA5D40">
            <w:pPr>
              <w:rPr>
                <w:rFonts w:ascii="Times New Roman" w:hAnsi="Times New Roman"/>
                <w:b/>
                <w:noProof/>
                <w:color w:val="000000"/>
                <w:sz w:val="18"/>
                <w:szCs w:val="18"/>
              </w:rPr>
            </w:pPr>
          </w:p>
        </w:tc>
        <w:tc>
          <w:tcPr>
            <w:tcW w:w="3335" w:type="pct"/>
            <w:shd w:val="clear" w:color="auto" w:fill="auto"/>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Directive 2008/96/EC on road infrastructure safety management and Directive 2004/54/EC on minimum safety requirements for road tunnels in the trans-European road network in order to improve road safety, tunnels infrastructure safety management practices on TEN-T roads, allow for a level playing field in safety management and reduce administrative burdens. Follow-up to two evaluations completed in 2015 </w:t>
            </w:r>
            <w:r>
              <w:rPr>
                <w:rFonts w:ascii="Times New Roman" w:hAnsi="Times New Roman"/>
                <w:noProof/>
                <w:sz w:val="20"/>
                <w:szCs w:val="20"/>
              </w:rPr>
              <w:t>(incl. impact assessment; Art. 91 TFEU; Q4/2017)</w:t>
            </w:r>
            <w:r>
              <w:rPr>
                <w:rFonts w:ascii="Times New Roman" w:hAnsi="Times New Roman"/>
                <w:b/>
                <w:noProof/>
                <w:sz w:val="20"/>
                <w:szCs w:val="20"/>
              </w:rPr>
              <w:t>.</w:t>
            </w:r>
          </w:p>
        </w:tc>
      </w:tr>
      <w:tr w:rsidR="00BA5D40">
        <w:trPr>
          <w:cantSplit/>
        </w:trPr>
        <w:tc>
          <w:tcPr>
            <w:tcW w:w="5000" w:type="pct"/>
            <w:gridSpan w:val="3"/>
            <w:shd w:val="clear" w:color="auto" w:fill="F2F2F2"/>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A Deeper and Fairer Economic and Monetary Union</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Cross-border payments</w:t>
            </w:r>
          </w:p>
          <w:p w:rsidR="00BA5D40" w:rsidRDefault="00BA5D40">
            <w:pPr>
              <w:spacing w:after="0"/>
              <w:rPr>
                <w:rFonts w:ascii="Times New Roman" w:hAnsi="Times New Roman"/>
                <w:b/>
                <w:noProof/>
                <w:sz w:val="20"/>
                <w:szCs w:val="20"/>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Legislative Revision of Regulation (EC) N°924/2009 on cross-border payments in order to extend its scope to all non-Euro currencies, improve disclosure and reduce fees in cross-border transactions in particular with respect to and from non-euro Member States </w:t>
            </w:r>
            <w:r>
              <w:rPr>
                <w:rFonts w:ascii="Times New Roman" w:hAnsi="Times New Roman"/>
                <w:noProof/>
                <w:sz w:val="20"/>
                <w:szCs w:val="20"/>
              </w:rPr>
              <w:t>(Art. 114 TFEU; Q4/2017)</w:t>
            </w:r>
            <w:r>
              <w:rPr>
                <w:rFonts w:ascii="Times New Roman" w:hAnsi="Times New Roman"/>
                <w:b/>
                <w:noProof/>
                <w:sz w:val="20"/>
                <w:szCs w:val="20"/>
              </w:rPr>
              <w:t xml:space="preserve">. </w:t>
            </w:r>
          </w:p>
        </w:tc>
      </w:tr>
      <w:tr w:rsidR="00BA5D40">
        <w:trPr>
          <w:cantSplit/>
        </w:trPr>
        <w:tc>
          <w:tcPr>
            <w:tcW w:w="5000" w:type="pct"/>
            <w:gridSpan w:val="3"/>
            <w:shd w:val="clear" w:color="auto" w:fill="F3F3F3"/>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An Area of Justice and Fundamental Rights Based on Mutual Trust</w:t>
            </w:r>
            <w:r>
              <w:rPr>
                <w:rFonts w:cs="EC Square Sans Pro"/>
                <w:b/>
                <w:bCs/>
                <w:iCs/>
                <w:noProof/>
                <w:color w:val="000000"/>
                <w:sz w:val="23"/>
                <w:szCs w:val="23"/>
              </w:rPr>
              <w:t xml:space="preserve"> </w:t>
            </w:r>
          </w:p>
        </w:tc>
      </w:tr>
      <w:tr w:rsidR="00BA5D40">
        <w:trPr>
          <w:cantSplit/>
        </w:trPr>
        <w:tc>
          <w:tcPr>
            <w:tcW w:w="133" w:type="pct"/>
            <w:tcBorders>
              <w:bottom w:val="single" w:sz="4" w:space="0" w:color="auto"/>
            </w:tcBorders>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Borders>
              <w:bottom w:val="single" w:sz="4" w:space="0" w:color="auto"/>
            </w:tcBorders>
          </w:tcPr>
          <w:p w:rsidR="00BA5D40" w:rsidRDefault="00290DC5">
            <w:pPr>
              <w:spacing w:after="0"/>
              <w:rPr>
                <w:rFonts w:ascii="Times New Roman" w:hAnsi="Times New Roman"/>
                <w:b/>
                <w:noProof/>
                <w:sz w:val="20"/>
                <w:szCs w:val="20"/>
              </w:rPr>
            </w:pPr>
            <w:r>
              <w:rPr>
                <w:rFonts w:ascii="Times New Roman" w:hAnsi="Times New Roman"/>
                <w:b/>
                <w:noProof/>
                <w:sz w:val="20"/>
                <w:szCs w:val="20"/>
              </w:rPr>
              <w:t>Schengen Information System</w:t>
            </w:r>
          </w:p>
          <w:p w:rsidR="00BA5D40" w:rsidRDefault="00BA5D40">
            <w:pPr>
              <w:spacing w:after="0"/>
              <w:rPr>
                <w:rFonts w:ascii="Times New Roman" w:hAnsi="Times New Roman"/>
                <w:b/>
                <w:noProof/>
                <w:sz w:val="20"/>
                <w:szCs w:val="20"/>
              </w:rPr>
            </w:pPr>
          </w:p>
        </w:tc>
        <w:tc>
          <w:tcPr>
            <w:tcW w:w="3335" w:type="pct"/>
            <w:tcBorders>
              <w:bottom w:val="single" w:sz="4" w:space="0" w:color="auto"/>
            </w:tcBorders>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Revision of Regulation 1987/2006 and Council Decision 2007/533/JHA on the establishment, operation and use of the second generation Schengen Information System (SIS II) </w:t>
            </w:r>
            <w:r>
              <w:rPr>
                <w:rFonts w:ascii="Times New Roman" w:hAnsi="Times New Roman"/>
                <w:noProof/>
                <w:sz w:val="20"/>
                <w:szCs w:val="20"/>
              </w:rPr>
              <w:t>(Art. 77 (2) (b) and (d), 82 and 87 TFEU; Q4/2016).</w:t>
            </w:r>
            <w:r>
              <w:rPr>
                <w:rFonts w:ascii="Times New Roman" w:hAnsi="Times New Roman"/>
                <w:b/>
                <w:noProof/>
                <w:sz w:val="20"/>
                <w:szCs w:val="20"/>
              </w:rPr>
              <w:t xml:space="preserve"> The initiative represents a follow up to the evaluation of the implementation of SIS II, as requested by the legal bases (Regulation (EC) No 1987/2006, Council Decision 2007/533/JHA; follow-up to a 2016 evaluation.</w:t>
            </w:r>
          </w:p>
        </w:tc>
      </w:tr>
      <w:tr w:rsidR="00BA5D40">
        <w:trPr>
          <w:cantSplit/>
        </w:trPr>
        <w:tc>
          <w:tcPr>
            <w:tcW w:w="133" w:type="pct"/>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Pr>
          <w:p w:rsidR="00BA5D40" w:rsidRDefault="00290DC5">
            <w:pPr>
              <w:spacing w:after="0"/>
              <w:rPr>
                <w:rFonts w:ascii="Times New Roman" w:hAnsi="Times New Roman"/>
                <w:b/>
                <w:noProof/>
                <w:sz w:val="20"/>
                <w:szCs w:val="20"/>
              </w:rPr>
            </w:pPr>
            <w:r>
              <w:rPr>
                <w:rFonts w:ascii="Times New Roman" w:hAnsi="Times New Roman"/>
                <w:b/>
                <w:noProof/>
                <w:sz w:val="20"/>
                <w:szCs w:val="20"/>
              </w:rPr>
              <w:t>Consumer Law</w:t>
            </w:r>
          </w:p>
          <w:p w:rsidR="00BA5D40" w:rsidRDefault="00BA5D40">
            <w:pPr>
              <w:spacing w:after="0"/>
              <w:rPr>
                <w:rFonts w:ascii="Times New Roman" w:hAnsi="Times New Roman"/>
                <w:b/>
                <w:noProof/>
                <w:sz w:val="20"/>
                <w:szCs w:val="20"/>
                <w:highlight w:val="yellow"/>
              </w:rPr>
            </w:pPr>
          </w:p>
        </w:tc>
        <w:tc>
          <w:tcPr>
            <w:tcW w:w="3335" w:type="pct"/>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Revision of Council Directive 93/13/EEC on unfair terms in consumer contracts, Directive 98/6/EC on consumer protection in the indication of the prices of products offered to consumers, Directive 1999/44/EC on certain aspects of the sale of consumer goods and associated guarantees, Directive 2005/29/EC concerning unfair business-to-consumer commercial practices in the internal market, Directive 2006/114/EC concerning misleading and comparative advertising, Directive 2009/22/EC on injunctions for the protection of consumers' interests and Directive 2011/83/EU on consumer rights.</w:t>
            </w:r>
            <w:r>
              <w:rPr>
                <w:rFonts w:ascii="Times New Roman" w:hAnsi="Times New Roman"/>
                <w:noProof/>
                <w:sz w:val="20"/>
                <w:szCs w:val="20"/>
              </w:rPr>
              <w:t xml:space="preserve"> (incl. impact assessment, Q4 2017)</w:t>
            </w:r>
            <w:r>
              <w:rPr>
                <w:rFonts w:ascii="Times New Roman" w:hAnsi="Times New Roman"/>
                <w:b/>
                <w:noProof/>
                <w:sz w:val="20"/>
                <w:szCs w:val="20"/>
              </w:rPr>
              <w:t xml:space="preserve"> The revision follows-up on a Fitness Check and an evaluation.</w:t>
            </w:r>
          </w:p>
        </w:tc>
      </w:tr>
      <w:tr w:rsidR="00BA5D40">
        <w:trPr>
          <w:cantSplit/>
        </w:trPr>
        <w:tc>
          <w:tcPr>
            <w:tcW w:w="5000" w:type="pct"/>
            <w:gridSpan w:val="3"/>
            <w:shd w:val="clear" w:color="auto" w:fill="F2F2F2" w:themeFill="background1" w:themeFillShade="F2"/>
          </w:tcPr>
          <w:p w:rsidR="00BA5D40" w:rsidRDefault="00290DC5">
            <w:pPr>
              <w:keepNext/>
              <w:spacing w:before="60" w:after="60"/>
              <w:rPr>
                <w:rFonts w:ascii="Times New Roman" w:hAnsi="Times New Roman"/>
                <w:b/>
                <w:noProof/>
                <w:sz w:val="20"/>
                <w:szCs w:val="20"/>
              </w:rPr>
            </w:pPr>
            <w:r>
              <w:rPr>
                <w:rFonts w:ascii="Times New Roman" w:hAnsi="Times New Roman"/>
                <w:b/>
                <w:noProof/>
                <w:sz w:val="20"/>
                <w:szCs w:val="20"/>
              </w:rPr>
              <w:t>Towards a New Policy on Migration</w:t>
            </w:r>
          </w:p>
        </w:tc>
      </w:tr>
      <w:tr w:rsidR="00BA5D40">
        <w:trPr>
          <w:cantSplit/>
        </w:trPr>
        <w:tc>
          <w:tcPr>
            <w:tcW w:w="133" w:type="pct"/>
            <w:tcBorders>
              <w:bottom w:val="single" w:sz="4" w:space="0" w:color="auto"/>
            </w:tcBorders>
            <w:shd w:val="clear" w:color="auto" w:fill="auto"/>
          </w:tcPr>
          <w:p w:rsidR="00BA5D40" w:rsidRDefault="00BA5D40">
            <w:pPr>
              <w:numPr>
                <w:ilvl w:val="0"/>
                <w:numId w:val="1"/>
              </w:numPr>
              <w:spacing w:after="0" w:line="240" w:lineRule="auto"/>
              <w:rPr>
                <w:rFonts w:ascii="Times New Roman" w:hAnsi="Times New Roman"/>
                <w:noProof/>
                <w:color w:val="000000"/>
                <w:sz w:val="20"/>
                <w:szCs w:val="20"/>
              </w:rPr>
            </w:pPr>
          </w:p>
        </w:tc>
        <w:tc>
          <w:tcPr>
            <w:tcW w:w="1532" w:type="pct"/>
            <w:tcBorders>
              <w:bottom w:val="single" w:sz="4" w:space="0" w:color="auto"/>
            </w:tcBorders>
          </w:tcPr>
          <w:p w:rsidR="00BA5D40" w:rsidRDefault="00290DC5">
            <w:pPr>
              <w:spacing w:after="0"/>
              <w:rPr>
                <w:rFonts w:ascii="Times New Roman" w:hAnsi="Times New Roman"/>
                <w:b/>
                <w:noProof/>
                <w:sz w:val="20"/>
                <w:szCs w:val="20"/>
              </w:rPr>
            </w:pPr>
            <w:r>
              <w:rPr>
                <w:rFonts w:ascii="Times New Roman" w:hAnsi="Times New Roman"/>
                <w:b/>
                <w:noProof/>
                <w:sz w:val="20"/>
                <w:szCs w:val="20"/>
              </w:rPr>
              <w:t>Visa Information System</w:t>
            </w:r>
          </w:p>
          <w:p w:rsidR="00BA5D40" w:rsidRDefault="00BA5D40">
            <w:pPr>
              <w:spacing w:after="0"/>
              <w:rPr>
                <w:rFonts w:ascii="Times New Roman" w:hAnsi="Times New Roman"/>
                <w:b/>
                <w:noProof/>
                <w:sz w:val="20"/>
                <w:szCs w:val="20"/>
              </w:rPr>
            </w:pPr>
          </w:p>
        </w:tc>
        <w:tc>
          <w:tcPr>
            <w:tcW w:w="3335" w:type="pct"/>
            <w:tcBorders>
              <w:bottom w:val="single" w:sz="4" w:space="0" w:color="auto"/>
            </w:tcBorders>
          </w:tcPr>
          <w:p w:rsidR="00BA5D40" w:rsidRDefault="00290DC5">
            <w:pPr>
              <w:spacing w:after="0"/>
              <w:jc w:val="both"/>
              <w:rPr>
                <w:rFonts w:ascii="Times New Roman" w:hAnsi="Times New Roman"/>
                <w:b/>
                <w:noProof/>
                <w:sz w:val="20"/>
                <w:szCs w:val="20"/>
              </w:rPr>
            </w:pPr>
            <w:r>
              <w:rPr>
                <w:rFonts w:ascii="Times New Roman" w:hAnsi="Times New Roman"/>
                <w:b/>
                <w:noProof/>
                <w:sz w:val="20"/>
                <w:szCs w:val="20"/>
              </w:rPr>
              <w:t xml:space="preserve">Proposal to amend Regulation 767/2008 concerning the Visa Information System (VIS) and the exchange of data between Member States on short-stay visas and Regulation 810/2009 establishing a Community Code on visas (the Visa Code) </w:t>
            </w:r>
            <w:r>
              <w:rPr>
                <w:rFonts w:ascii="Times New Roman" w:hAnsi="Times New Roman"/>
                <w:noProof/>
                <w:sz w:val="20"/>
                <w:szCs w:val="20"/>
              </w:rPr>
              <w:t>(incl. impact assessment; Art.77(2) (a) and (b) and 87 TFEU)</w:t>
            </w:r>
            <w:r>
              <w:rPr>
                <w:rFonts w:ascii="Times New Roman" w:hAnsi="Times New Roman"/>
                <w:b/>
                <w:noProof/>
                <w:sz w:val="20"/>
                <w:szCs w:val="20"/>
              </w:rPr>
              <w:t>. Follow-up to a 2016 evaluation.</w:t>
            </w:r>
          </w:p>
        </w:tc>
      </w:tr>
    </w:tbl>
    <w:p w:rsidR="00BA5D40" w:rsidRDefault="00BA5D40">
      <w:pPr>
        <w:spacing w:after="600"/>
        <w:outlineLvl w:val="0"/>
        <w:rPr>
          <w:noProof/>
        </w:rPr>
      </w:pPr>
    </w:p>
    <w:sectPr w:rsidR="00BA5D40">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40" w:rsidRDefault="00290DC5">
      <w:pPr>
        <w:spacing w:after="0" w:line="240" w:lineRule="auto"/>
      </w:pPr>
      <w:r>
        <w:separator/>
      </w:r>
    </w:p>
  </w:endnote>
  <w:endnote w:type="continuationSeparator" w:id="0">
    <w:p w:rsidR="00BA5D40" w:rsidRDefault="0029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0C" w:rsidRDefault="008A0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15" w:rsidRPr="00DB6B15" w:rsidRDefault="00DB6B15" w:rsidP="00DB6B15">
    <w:pPr>
      <w:pStyle w:val="FooterCoverPage"/>
      <w:rPr>
        <w:rFonts w:ascii="Arial" w:hAnsi="Arial" w:cs="Arial"/>
        <w:b/>
        <w:sz w:val="48"/>
      </w:rPr>
    </w:pPr>
    <w:r w:rsidRPr="00DB6B15">
      <w:rPr>
        <w:rFonts w:ascii="Arial" w:hAnsi="Arial" w:cs="Arial"/>
        <w:b/>
        <w:sz w:val="48"/>
      </w:rPr>
      <w:t>EN</w:t>
    </w:r>
    <w:r w:rsidRPr="00DB6B15">
      <w:rPr>
        <w:rFonts w:ascii="Arial" w:hAnsi="Arial" w:cs="Arial"/>
        <w:b/>
        <w:sz w:val="48"/>
      </w:rPr>
      <w:tab/>
    </w:r>
    <w:r w:rsidRPr="00DB6B15">
      <w:rPr>
        <w:rFonts w:ascii="Arial" w:hAnsi="Arial" w:cs="Arial"/>
        <w:b/>
        <w:sz w:val="48"/>
      </w:rPr>
      <w:tab/>
    </w:r>
    <w:fldSimple w:instr=" DOCVARIABLE &quot;LW_Confidence&quot; \* MERGEFORMAT ">
      <w:r w:rsidR="008A0A0C">
        <w:t xml:space="preserve"> </w:t>
      </w:r>
    </w:fldSimple>
    <w:r w:rsidRPr="00DB6B15">
      <w:tab/>
    </w:r>
    <w:r w:rsidRPr="00DB6B1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0C" w:rsidRDefault="008A0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BA5D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290DC5">
    <w:pPr>
      <w:pStyle w:val="Footer"/>
      <w:jc w:val="right"/>
    </w:pPr>
    <w:r>
      <w:fldChar w:fldCharType="begin"/>
    </w:r>
    <w:r>
      <w:instrText xml:space="preserve"> PAGE   \* MERGEFORMAT </w:instrText>
    </w:r>
    <w:r>
      <w:fldChar w:fldCharType="separate"/>
    </w:r>
    <w:r w:rsidR="008A0A0C">
      <w:rPr>
        <w:noProof/>
      </w:rPr>
      <w:t>2</w:t>
    </w:r>
    <w:r>
      <w:rPr>
        <w:noProof/>
      </w:rPr>
      <w:fldChar w:fldCharType="end"/>
    </w:r>
  </w:p>
  <w:p w:rsidR="00BA5D40" w:rsidRDefault="00BA5D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BA5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40" w:rsidRDefault="00290DC5">
      <w:pPr>
        <w:spacing w:after="0" w:line="240" w:lineRule="auto"/>
      </w:pPr>
      <w:r>
        <w:separator/>
      </w:r>
    </w:p>
  </w:footnote>
  <w:footnote w:type="continuationSeparator" w:id="0">
    <w:p w:rsidR="00BA5D40" w:rsidRDefault="00290DC5">
      <w:pPr>
        <w:spacing w:after="0" w:line="240" w:lineRule="auto"/>
      </w:pPr>
      <w:r>
        <w:continuationSeparator/>
      </w:r>
    </w:p>
  </w:footnote>
  <w:footnote w:id="1">
    <w:p w:rsidR="00BA5D40" w:rsidRDefault="00290DC5">
      <w:pPr>
        <w:pStyle w:val="FootnoteText"/>
      </w:pPr>
      <w:r>
        <w:rPr>
          <w:rStyle w:val="FootnoteReference"/>
        </w:rPr>
        <w:footnoteRef/>
      </w:r>
      <w:r>
        <w:t xml:space="preserve"> This annex lists legislative initiatives under REFIT foreseen for adoption in 2017. It complements the items listed with new initiatives in Annex I.</w:t>
      </w:r>
    </w:p>
  </w:footnote>
  <w:footnote w:id="2">
    <w:p w:rsidR="00BA5D40" w:rsidRDefault="00290DC5">
      <w:pPr>
        <w:pStyle w:val="FootnoteText"/>
        <w:jc w:val="both"/>
      </w:pPr>
      <w:r>
        <w:rPr>
          <w:rStyle w:val="FootnoteReference"/>
        </w:rPr>
        <w:footnoteRef/>
      </w:r>
      <w:r>
        <w:t xml:space="preserve"> In this annex the Commission provides further information, as far as available, on the initiatives included in its Work Programme, in line with the Interinstitutional Agreement on Better Law-making. This information, which is provided in brackets under the description of each initiative, is indicative only and subject to change during the preparatory process, notably in view of the outcome of an impact assessment process.</w:t>
      </w:r>
    </w:p>
    <w:p w:rsidR="00BA5D40" w:rsidRDefault="00BA5D40">
      <w:pPr>
        <w:pStyle w:val="FootnoteText"/>
        <w:jc w:val="both"/>
      </w:pPr>
    </w:p>
    <w:p w:rsidR="00BA5D40" w:rsidRDefault="00BA5D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0C" w:rsidRDefault="008A0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0C" w:rsidRDefault="008A0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0C" w:rsidRDefault="008A0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BA5D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BA5D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40" w:rsidRDefault="00BA5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67642B6F4D734BFF9081FCCF5F4CEC0D"/>
    <w:docVar w:name="LW_CROSSREFERENCE" w:val="{SWD(2016) 40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7_x000b__x000b_Delivering a Europe that protects, empowers and defends"/>
    <w:docVar w:name="LW_PART_NBR" w:val="1"/>
    <w:docVar w:name="LW_PART_NBR_TOTAL" w:val="1"/>
    <w:docVar w:name="LW_REF.INST.NEW" w:val="COM"/>
    <w:docVar w:name="LW_REF.INST.NEW_ADOPTED" w:val="final "/>
    <w:docVar w:name="LW_REF.INST.NEW_TEXT" w:val="(2016) 7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BA5D40"/>
    <w:rsid w:val="00290DC5"/>
    <w:rsid w:val="008A0A0C"/>
    <w:rsid w:val="00BA5D40"/>
    <w:rsid w:val="00DB6B15"/>
    <w:rsid w:val="00F616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F0B9-2F02-4347-88CC-B00DABE8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6029</Characters>
  <Application>Microsoft Office Word</Application>
  <DocSecurity>0</DocSecurity>
  <Lines>140</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HEILEMANN Stefanie (SG)</cp:lastModifiedBy>
  <cp:revision>3</cp:revision>
  <cp:lastPrinted>2016-10-25T08:21:00Z</cp:lastPrinted>
  <dcterms:created xsi:type="dcterms:W3CDTF">2016-10-25T08:21:00Z</dcterms:created>
  <dcterms:modified xsi:type="dcterms:W3CDTF">2016-10-25T08:21:00Z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