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C6" w:rsidRDefault="00763FBD" w:rsidP="00763FBD">
      <w:pPr>
        <w:pStyle w:val="Pagedecouverture"/>
        <w:rPr>
          <w:noProof/>
          <w:lang w:eastAsia="de-DE"/>
        </w:rPr>
      </w:pPr>
      <w:bookmarkStart w:id="0" w:name="LW_BM_COVERPAGE"/>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F04F37A7FB11462B8CEF7215C0B66E8E" style="width:450.75pt;height:447.75pt">
            <v:imagedata r:id="rId9" o:title=""/>
          </v:shape>
        </w:pict>
      </w:r>
    </w:p>
    <w:bookmarkEnd w:id="0"/>
    <w:p w:rsidR="00C95DC6" w:rsidRDefault="00C95DC6">
      <w:pPr>
        <w:rPr>
          <w:noProof/>
          <w:lang w:eastAsia="de-DE"/>
        </w:rPr>
        <w:sectPr w:rsidR="00C95DC6" w:rsidSect="00763FBD">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rsidR="00C95DC6" w:rsidRDefault="00E950C8">
      <w:pPr>
        <w:spacing w:after="480"/>
        <w:jc w:val="center"/>
        <w:outlineLvl w:val="0"/>
        <w:rPr>
          <w:rFonts w:ascii="Times New Roman" w:hAnsi="Times New Roman"/>
          <w:b/>
          <w:noProof/>
          <w:sz w:val="28"/>
          <w:szCs w:val="28"/>
          <w:u w:val="single"/>
          <w:lang w:eastAsia="de-DE"/>
        </w:rPr>
      </w:pPr>
      <w:bookmarkStart w:id="1" w:name="_GoBack"/>
      <w:bookmarkEnd w:id="1"/>
      <w:r>
        <w:rPr>
          <w:rFonts w:ascii="Times New Roman" w:hAnsi="Times New Roman"/>
          <w:b/>
          <w:noProof/>
          <w:sz w:val="28"/>
          <w:szCs w:val="28"/>
          <w:u w:val="single"/>
          <w:lang w:eastAsia="de-DE"/>
        </w:rPr>
        <w:lastRenderedPageBreak/>
        <w:t>Annex IV: Withdrawals</w:t>
      </w:r>
      <w:r>
        <w:rPr>
          <w:rStyle w:val="FootnoteReference"/>
          <w:rFonts w:ascii="Times New Roman" w:hAnsi="Times New Roman"/>
          <w:b/>
          <w:noProof/>
          <w:sz w:val="28"/>
          <w:szCs w:val="28"/>
          <w:u w:val="single"/>
          <w:lang w:eastAsia="de-DE"/>
        </w:rPr>
        <w:footnoteReference w:id="1"/>
      </w:r>
    </w:p>
    <w:tbl>
      <w:tblPr>
        <w:tblStyle w:val="TableGrid"/>
        <w:tblW w:w="4981" w:type="pct"/>
        <w:tblLayout w:type="fixed"/>
        <w:tblCellMar>
          <w:top w:w="28" w:type="dxa"/>
          <w:left w:w="85" w:type="dxa"/>
          <w:bottom w:w="28" w:type="dxa"/>
          <w:right w:w="85" w:type="dxa"/>
        </w:tblCellMar>
        <w:tblLook w:val="04A0" w:firstRow="1" w:lastRow="0" w:firstColumn="1" w:lastColumn="0" w:noHBand="0" w:noVBand="1"/>
      </w:tblPr>
      <w:tblGrid>
        <w:gridCol w:w="525"/>
        <w:gridCol w:w="2412"/>
        <w:gridCol w:w="6546"/>
        <w:gridCol w:w="4637"/>
      </w:tblGrid>
      <w:tr w:rsidR="00C95DC6">
        <w:trPr>
          <w:cantSplit/>
          <w:trHeight w:val="564"/>
          <w:tblHeader/>
        </w:trPr>
        <w:tc>
          <w:tcPr>
            <w:tcW w:w="186" w:type="pct"/>
            <w:tcBorders>
              <w:bottom w:val="single" w:sz="4" w:space="0" w:color="auto"/>
            </w:tcBorders>
            <w:shd w:val="clear" w:color="auto" w:fill="99CCFF"/>
            <w:vAlign w:val="center"/>
          </w:tcPr>
          <w:p w:rsidR="00C95DC6" w:rsidRDefault="00E950C8">
            <w:pPr>
              <w:jc w:val="center"/>
              <w:rPr>
                <w:rFonts w:ascii="Times New Roman" w:eastAsia="Times New Roman" w:hAnsi="Times New Roman"/>
                <w:b/>
                <w:noProof/>
              </w:rPr>
            </w:pPr>
            <w:r>
              <w:rPr>
                <w:rFonts w:ascii="Times New Roman" w:eastAsia="Times New Roman" w:hAnsi="Times New Roman"/>
                <w:b/>
                <w:noProof/>
              </w:rPr>
              <w:t>N</w:t>
            </w:r>
            <w:r>
              <w:rPr>
                <w:rFonts w:ascii="Times New Roman" w:eastAsia="Times New Roman" w:hAnsi="Times New Roman"/>
                <w:noProof/>
                <w:vertAlign w:val="superscript"/>
              </w:rPr>
              <w:t>o</w:t>
            </w:r>
          </w:p>
        </w:tc>
        <w:tc>
          <w:tcPr>
            <w:tcW w:w="854" w:type="pct"/>
            <w:tcBorders>
              <w:bottom w:val="single" w:sz="4" w:space="0" w:color="auto"/>
            </w:tcBorders>
            <w:shd w:val="clear" w:color="auto" w:fill="99CCFF"/>
            <w:vAlign w:val="center"/>
          </w:tcPr>
          <w:p w:rsidR="00C95DC6" w:rsidRDefault="00E950C8">
            <w:pPr>
              <w:jc w:val="center"/>
              <w:rPr>
                <w:rFonts w:ascii="Times New Roman" w:eastAsia="Times New Roman" w:hAnsi="Times New Roman"/>
                <w:b/>
                <w:noProof/>
              </w:rPr>
            </w:pPr>
            <w:r>
              <w:rPr>
                <w:rFonts w:ascii="Times New Roman" w:eastAsia="Times New Roman" w:hAnsi="Times New Roman"/>
                <w:b/>
                <w:noProof/>
              </w:rPr>
              <w:t>COM/ Inter-institutional reference</w:t>
            </w:r>
          </w:p>
        </w:tc>
        <w:tc>
          <w:tcPr>
            <w:tcW w:w="2318" w:type="pct"/>
            <w:tcBorders>
              <w:bottom w:val="single" w:sz="4" w:space="0" w:color="auto"/>
            </w:tcBorders>
            <w:shd w:val="clear" w:color="auto" w:fill="99CCFF"/>
            <w:vAlign w:val="center"/>
          </w:tcPr>
          <w:p w:rsidR="00C95DC6" w:rsidRDefault="00E950C8">
            <w:pPr>
              <w:jc w:val="center"/>
              <w:rPr>
                <w:rFonts w:ascii="Times New Roman" w:eastAsia="Times New Roman" w:hAnsi="Times New Roman"/>
                <w:bCs/>
                <w:noProof/>
              </w:rPr>
            </w:pPr>
            <w:r>
              <w:rPr>
                <w:rFonts w:ascii="Times New Roman" w:eastAsia="Times New Roman" w:hAnsi="Times New Roman"/>
                <w:b/>
                <w:noProof/>
              </w:rPr>
              <w:t>Title</w:t>
            </w:r>
          </w:p>
        </w:tc>
        <w:tc>
          <w:tcPr>
            <w:tcW w:w="1643" w:type="pct"/>
            <w:tcBorders>
              <w:bottom w:val="single" w:sz="4" w:space="0" w:color="auto"/>
            </w:tcBorders>
            <w:shd w:val="clear" w:color="auto" w:fill="99CCFF"/>
            <w:vAlign w:val="center"/>
          </w:tcPr>
          <w:p w:rsidR="00C95DC6" w:rsidRDefault="00E950C8">
            <w:pPr>
              <w:jc w:val="center"/>
              <w:rPr>
                <w:rFonts w:ascii="Times New Roman" w:eastAsia="Times New Roman" w:hAnsi="Times New Roman"/>
                <w:noProof/>
              </w:rPr>
            </w:pPr>
            <w:r>
              <w:rPr>
                <w:rFonts w:ascii="Times New Roman" w:eastAsia="Times New Roman" w:hAnsi="Times New Roman"/>
                <w:b/>
                <w:noProof/>
              </w:rPr>
              <w:t>Reasons for withdrawal</w:t>
            </w:r>
          </w:p>
        </w:tc>
      </w:tr>
      <w:tr w:rsidR="00C95DC6">
        <w:trPr>
          <w:cantSplit/>
        </w:trPr>
        <w:tc>
          <w:tcPr>
            <w:tcW w:w="5000" w:type="pct"/>
            <w:gridSpan w:val="4"/>
            <w:shd w:val="clear" w:color="auto" w:fill="F2F2F2" w:themeFill="background1" w:themeFillShade="F2"/>
            <w:vAlign w:val="center"/>
          </w:tcPr>
          <w:p w:rsidR="00C95DC6" w:rsidRDefault="00E950C8">
            <w:pPr>
              <w:spacing w:before="60" w:after="60"/>
              <w:ind w:right="-170"/>
              <w:rPr>
                <w:rFonts w:ascii="Times New Roman" w:hAnsi="Times New Roman"/>
                <w:b/>
                <w:noProof/>
              </w:rPr>
            </w:pPr>
            <w:r>
              <w:rPr>
                <w:rFonts w:ascii="Times New Roman" w:eastAsia="Times New Roman" w:hAnsi="Times New Roman"/>
                <w:b/>
                <w:noProof/>
              </w:rPr>
              <w:t>Agriculture and rural development</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eastAsia="Times New Roman" w:hAnsi="Times New Roman"/>
                <w:noProof/>
              </w:rPr>
            </w:pPr>
            <w:r>
              <w:rPr>
                <w:rFonts w:ascii="Times New Roman" w:eastAsia="Times New Roman" w:hAnsi="Times New Roman"/>
                <w:noProof/>
              </w:rPr>
              <w:t>COM/2016/0159</w:t>
            </w:r>
          </w:p>
          <w:p w:rsidR="00C95DC6" w:rsidRDefault="00E950C8">
            <w:pPr>
              <w:jc w:val="both"/>
              <w:rPr>
                <w:rFonts w:ascii="Times New Roman" w:eastAsia="Times New Roman" w:hAnsi="Times New Roman"/>
                <w:noProof/>
              </w:rPr>
            </w:pPr>
            <w:r>
              <w:rPr>
                <w:rFonts w:ascii="Times New Roman" w:eastAsia="Times New Roman" w:hAnsi="Times New Roman"/>
                <w:noProof/>
              </w:rPr>
              <w:t>2016/0086/COD</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REGULATION OF THE EUROPEAN PARLIAMENT AND OF THE COUNCIL fixing the adjustment rate provided for in Regulation (EU) No 1306/2013 for direct payments in respect of the calendar year 2016</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Obsolete: the matter was dealt with in Commission Implementing Regulation (EU) 2016/1153 of 14 July 2016.</w:t>
            </w:r>
          </w:p>
          <w:p w:rsidR="00C95DC6" w:rsidRDefault="00C95DC6">
            <w:pPr>
              <w:jc w:val="both"/>
              <w:rPr>
                <w:rFonts w:ascii="Times New Roman" w:eastAsia="Times New Roman" w:hAnsi="Times New Roman"/>
                <w:noProof/>
              </w:rPr>
            </w:pPr>
          </w:p>
        </w:tc>
      </w:tr>
      <w:tr w:rsidR="00C95DC6">
        <w:trPr>
          <w:cantSplit/>
        </w:trPr>
        <w:tc>
          <w:tcPr>
            <w:tcW w:w="5000" w:type="pct"/>
            <w:gridSpan w:val="4"/>
            <w:shd w:val="clear" w:color="auto" w:fill="F2F2F2" w:themeFill="background1" w:themeFillShade="F2"/>
            <w:vAlign w:val="center"/>
          </w:tcPr>
          <w:p w:rsidR="00C95DC6" w:rsidRDefault="00E950C8">
            <w:pPr>
              <w:spacing w:before="60" w:after="60"/>
              <w:ind w:right="-170"/>
              <w:rPr>
                <w:rFonts w:ascii="Times New Roman" w:hAnsi="Times New Roman"/>
                <w:b/>
                <w:noProof/>
              </w:rPr>
            </w:pPr>
            <w:r>
              <w:rPr>
                <w:rFonts w:ascii="Times New Roman" w:eastAsia="Times New Roman" w:hAnsi="Times New Roman"/>
                <w:b/>
                <w:noProof/>
              </w:rPr>
              <w:t>Climate Action &amp; Energy</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w:t>
            </w:r>
            <w:r>
              <w:rPr>
                <w:rFonts w:ascii="Times New Roman" w:eastAsia="Times New Roman" w:hAnsi="Times New Roman"/>
                <w:noProof/>
              </w:rPr>
              <w:t>2014</w:t>
            </w:r>
            <w:r>
              <w:rPr>
                <w:rFonts w:ascii="Times New Roman" w:hAnsi="Times New Roman"/>
                <w:noProof/>
                <w:color w:val="000000"/>
              </w:rPr>
              <w:t>/0566</w:t>
            </w:r>
          </w:p>
          <w:p w:rsidR="00C95DC6" w:rsidRDefault="00E950C8">
            <w:pPr>
              <w:jc w:val="both"/>
              <w:rPr>
                <w:rFonts w:ascii="Times New Roman" w:hAnsi="Times New Roman"/>
                <w:i/>
                <w:iCs/>
                <w:noProof/>
                <w:color w:val="000000"/>
              </w:rPr>
            </w:pPr>
            <w:r>
              <w:rPr>
                <w:rFonts w:ascii="Times New Roman" w:eastAsia="Times New Roman" w:hAnsi="Times New Roman"/>
                <w:noProof/>
              </w:rPr>
              <w:t>2014/0262/NLE</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Council Decision issuing directives to the Commission for the negotiation of amendments to the Convention on Nuclear Safety (CNS) in the framework of a Diplomatic Conference</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Obsolete: proposal outdated as the amendments were dealt with in the Vienna Convention on Nuclear Safety.</w:t>
            </w:r>
          </w:p>
        </w:tc>
      </w:tr>
      <w:tr w:rsidR="00C95DC6">
        <w:trPr>
          <w:cantSplit/>
        </w:trPr>
        <w:tc>
          <w:tcPr>
            <w:tcW w:w="5000" w:type="pct"/>
            <w:gridSpan w:val="4"/>
            <w:shd w:val="clear" w:color="auto" w:fill="F2F2F2" w:themeFill="background1" w:themeFillShade="F2"/>
            <w:vAlign w:val="center"/>
          </w:tcPr>
          <w:p w:rsidR="00C95DC6" w:rsidRDefault="00E950C8">
            <w:pPr>
              <w:spacing w:before="60" w:after="60"/>
              <w:ind w:right="-170"/>
              <w:rPr>
                <w:rFonts w:ascii="Times New Roman" w:hAnsi="Times New Roman"/>
                <w:b/>
                <w:noProof/>
              </w:rPr>
            </w:pPr>
            <w:r>
              <w:rPr>
                <w:rFonts w:ascii="Times New Roman" w:eastAsia="Times New Roman" w:hAnsi="Times New Roman"/>
                <w:b/>
                <w:noProof/>
              </w:rPr>
              <w:t>Economic &amp; Financial Affairs, Taxation &amp; Customs</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COM/2011/0121</w:t>
            </w:r>
          </w:p>
          <w:p w:rsidR="00C95DC6" w:rsidRDefault="00E950C8">
            <w:pPr>
              <w:jc w:val="both"/>
              <w:rPr>
                <w:rFonts w:ascii="Times New Roman" w:eastAsia="Times New Roman" w:hAnsi="Times New Roman"/>
                <w:bCs/>
                <w:noProof/>
              </w:rPr>
            </w:pPr>
            <w:r>
              <w:rPr>
                <w:rFonts w:ascii="Times New Roman" w:eastAsia="Times New Roman" w:hAnsi="Times New Roman"/>
                <w:bCs/>
                <w:noProof/>
              </w:rPr>
              <w:t>2011/0058/CNS</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COUNCIL DIRECTIVE  on a Common Consolidated Corporate Tax Base (CCCTB)</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 xml:space="preserve">As a follow-up to its Action Plan on Corporate Taxation of June 2015, the Commission is re-launching the Common Consolidated Corporate Tax Base (CCCTB) with a new staged approach. </w:t>
            </w:r>
            <w:r>
              <w:rPr>
                <w:rFonts w:ascii="Times New Roman" w:hAnsi="Times New Roman"/>
                <w:noProof/>
              </w:rPr>
              <w:t>A legislative proposal for a compulsory common corporate tax base</w:t>
            </w:r>
            <w:r>
              <w:rPr>
                <w:rFonts w:ascii="Times New Roman" w:eastAsia="Times New Roman" w:hAnsi="Times New Roman"/>
                <w:noProof/>
              </w:rPr>
              <w:t xml:space="preserve"> has been adopted on 25 October 2016. In line with the announcement already made in the Commission Work Programme 2016, the existing proposal has been withdrawn in parallel.</w:t>
            </w:r>
          </w:p>
        </w:tc>
      </w:tr>
      <w:tr w:rsidR="00C95DC6">
        <w:trPr>
          <w:cantSplit/>
        </w:trPr>
        <w:tc>
          <w:tcPr>
            <w:tcW w:w="5000" w:type="pct"/>
            <w:gridSpan w:val="4"/>
            <w:shd w:val="clear" w:color="auto" w:fill="F2F2F2" w:themeFill="background1" w:themeFillShade="F2"/>
            <w:vAlign w:val="center"/>
          </w:tcPr>
          <w:p w:rsidR="00C95DC6" w:rsidRDefault="00E950C8">
            <w:pPr>
              <w:keepNext/>
              <w:spacing w:before="60" w:after="60"/>
              <w:ind w:right="-170"/>
              <w:rPr>
                <w:rFonts w:ascii="Times New Roman" w:hAnsi="Times New Roman"/>
                <w:b/>
                <w:noProof/>
              </w:rPr>
            </w:pPr>
            <w:r>
              <w:rPr>
                <w:rFonts w:ascii="Times New Roman" w:eastAsia="Times New Roman" w:hAnsi="Times New Roman"/>
                <w:b/>
                <w:noProof/>
              </w:rPr>
              <w:lastRenderedPageBreak/>
              <w:t>Foreign Affairs &amp; Security Policy</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COM/2005/0397</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COUNCIL DECISION on a Community position in the Joint Committee on the implementation of Article 66 of the Euro-Mediterranean Interim Association Agreement on Trade and Cooperation between the European Community, of the one part, and the Palestine Liberation Organisation (PLO) for the benefit of the Palestinian Authority of the West Bank and the Gaza Strip, of the other part</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Obsolete: The latest relevant document on the issue is the Decision of the EU-PLO Joint Committee setting up six sub-committees (OJ L 187, 17.07.2012, pp. 64-72).</w:t>
            </w:r>
            <w:r>
              <w:rPr>
                <w:rFonts w:ascii="Times New Roman" w:eastAsia="Times New Roman" w:hAnsi="Times New Roman"/>
                <w:noProof/>
              </w:rPr>
              <w:br/>
            </w:r>
          </w:p>
          <w:p w:rsidR="00C95DC6" w:rsidRDefault="00C95DC6">
            <w:pPr>
              <w:jc w:val="both"/>
              <w:rPr>
                <w:rFonts w:ascii="Times New Roman" w:eastAsia="Times New Roman" w:hAnsi="Times New Roman"/>
                <w:noProof/>
              </w:rPr>
            </w:pP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JOIN/2015/0035</w:t>
            </w:r>
          </w:p>
          <w:p w:rsidR="00C95DC6" w:rsidRDefault="00E950C8">
            <w:pPr>
              <w:jc w:val="both"/>
              <w:rPr>
                <w:rFonts w:ascii="Times New Roman" w:hAnsi="Times New Roman"/>
                <w:noProof/>
                <w:color w:val="000000"/>
              </w:rPr>
            </w:pPr>
            <w:r>
              <w:rPr>
                <w:rFonts w:ascii="Times New Roman" w:hAnsi="Times New Roman"/>
                <w:noProof/>
                <w:color w:val="000000"/>
              </w:rPr>
              <w:t>2015/0303/NLE</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 xml:space="preserve">Joint Proposal for a COUNCIL DECISION on the signing, on behalf of the European Union, of the Cooperation Agreement on Partnership and Development between the European Union and the Islamic Republic of Afghanistan </w:t>
            </w:r>
          </w:p>
          <w:p w:rsidR="00C95DC6" w:rsidRDefault="00C95DC6">
            <w:pPr>
              <w:jc w:val="both"/>
              <w:rPr>
                <w:rFonts w:ascii="Times New Roman" w:eastAsia="Times New Roman" w:hAnsi="Times New Roman"/>
                <w:bCs/>
                <w:noProof/>
              </w:rPr>
            </w:pP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 xml:space="preserve">It has been replaced with a proposal for a mixed agreement, including provisional application </w:t>
            </w:r>
            <w:r>
              <w:rPr>
                <w:noProof/>
              </w:rPr>
              <w:t>(</w:t>
            </w:r>
            <w:r>
              <w:rPr>
                <w:rFonts w:ascii="Times New Roman" w:eastAsia="Times New Roman" w:hAnsi="Times New Roman"/>
                <w:noProof/>
              </w:rPr>
              <w:t xml:space="preserve">JOIN (2016)45). </w:t>
            </w:r>
          </w:p>
        </w:tc>
      </w:tr>
      <w:tr w:rsidR="00C95DC6">
        <w:trPr>
          <w:cantSplit/>
        </w:trPr>
        <w:tc>
          <w:tcPr>
            <w:tcW w:w="5000" w:type="pct"/>
            <w:gridSpan w:val="4"/>
            <w:shd w:val="clear" w:color="auto" w:fill="F2F2F2" w:themeFill="background1" w:themeFillShade="F2"/>
            <w:vAlign w:val="center"/>
          </w:tcPr>
          <w:p w:rsidR="00C95DC6" w:rsidRDefault="00E950C8">
            <w:pPr>
              <w:spacing w:before="60" w:after="60"/>
              <w:ind w:right="-170"/>
              <w:rPr>
                <w:rFonts w:ascii="Times New Roman" w:hAnsi="Times New Roman"/>
                <w:b/>
                <w:noProof/>
              </w:rPr>
            </w:pPr>
            <w:r>
              <w:rPr>
                <w:rFonts w:ascii="Times New Roman" w:eastAsia="Times New Roman" w:hAnsi="Times New Roman"/>
                <w:b/>
                <w:noProof/>
              </w:rPr>
              <w:t>Health &amp; Food Safety</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COM/2014/0004</w:t>
            </w:r>
          </w:p>
          <w:p w:rsidR="00C95DC6" w:rsidRDefault="00E950C8">
            <w:pPr>
              <w:jc w:val="both"/>
              <w:rPr>
                <w:rFonts w:ascii="Times New Roman" w:hAnsi="Times New Roman"/>
                <w:iCs/>
                <w:noProof/>
                <w:color w:val="000000"/>
              </w:rPr>
            </w:pPr>
            <w:r>
              <w:rPr>
                <w:rFonts w:ascii="Times New Roman" w:hAnsi="Times New Roman"/>
                <w:iCs/>
                <w:noProof/>
                <w:color w:val="000000"/>
              </w:rPr>
              <w:t>2014/0033/COD</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DIRECTIVE OF THE EUROPEAN PARLIAMENT AND OF THE COUNCIL amending Directives 89/608/EEC, 90/425/EEC and 91/496/EEC as regards references to zootechnical legislation</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 xml:space="preserve">Obsolete: The substance of the proposed Directive was taken over in the newly adopted Regulation (EU) 2016/1012 of the European Parliament and of the Council on zootechnical and genealogical conditions for the breeding, trade in and entry into the Union of purebred breeding animals, hybrid breeding pigs and the germinal products thereof (OJ L 171, 29.6.2016, p. 66-143).  </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COM/2007/0872</w:t>
            </w:r>
          </w:p>
          <w:p w:rsidR="00C95DC6" w:rsidRDefault="00E950C8">
            <w:pPr>
              <w:jc w:val="both"/>
              <w:rPr>
                <w:rFonts w:ascii="Times New Roman" w:hAnsi="Times New Roman"/>
                <w:iCs/>
                <w:noProof/>
                <w:color w:val="000000"/>
              </w:rPr>
            </w:pPr>
            <w:r>
              <w:rPr>
                <w:rFonts w:ascii="Times New Roman" w:hAnsi="Times New Roman"/>
                <w:iCs/>
                <w:noProof/>
                <w:color w:val="000000"/>
              </w:rPr>
              <w:t>2008/0002/COD</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REGULATION OF THE EUROPEAN PARLIAMENT AND OF THE COUNCIL on novel foods and amending Regulation (EC) No XXX/XXXX [common procedure]</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 xml:space="preserve">Obsolete: The conciliation failed in 2011. </w:t>
            </w:r>
          </w:p>
        </w:tc>
      </w:tr>
      <w:tr w:rsidR="00C95DC6">
        <w:trPr>
          <w:cantSplit/>
        </w:trPr>
        <w:tc>
          <w:tcPr>
            <w:tcW w:w="5000" w:type="pct"/>
            <w:gridSpan w:val="4"/>
            <w:shd w:val="clear" w:color="auto" w:fill="F2F2F2" w:themeFill="background1" w:themeFillShade="F2"/>
            <w:vAlign w:val="center"/>
          </w:tcPr>
          <w:p w:rsidR="00C95DC6" w:rsidRDefault="00E950C8">
            <w:pPr>
              <w:spacing w:before="60" w:after="60"/>
              <w:ind w:right="-170"/>
              <w:rPr>
                <w:rFonts w:ascii="Times New Roman" w:hAnsi="Times New Roman"/>
                <w:b/>
                <w:bCs/>
                <w:noProof/>
              </w:rPr>
            </w:pPr>
            <w:r>
              <w:rPr>
                <w:rFonts w:ascii="Times New Roman" w:eastAsia="Times New Roman" w:hAnsi="Times New Roman"/>
                <w:b/>
                <w:noProof/>
              </w:rPr>
              <w:t>Internal Market, Industry, Entrepreneurship and SMEs</w:t>
            </w:r>
          </w:p>
        </w:tc>
      </w:tr>
      <w:tr w:rsidR="00C95DC6">
        <w:trPr>
          <w:cantSplit/>
        </w:trPr>
        <w:tc>
          <w:tcPr>
            <w:tcW w:w="186" w:type="pct"/>
            <w:tcBorders>
              <w:bottom w:val="single" w:sz="4" w:space="0" w:color="auto"/>
            </w:tcBorders>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Borders>
              <w:bottom w:val="single" w:sz="4" w:space="0" w:color="auto"/>
            </w:tcBorders>
          </w:tcPr>
          <w:p w:rsidR="00C95DC6" w:rsidRDefault="00E950C8">
            <w:pPr>
              <w:jc w:val="both"/>
              <w:rPr>
                <w:rFonts w:ascii="Times New Roman" w:hAnsi="Times New Roman"/>
                <w:noProof/>
                <w:color w:val="000000"/>
              </w:rPr>
            </w:pPr>
            <w:r>
              <w:rPr>
                <w:rFonts w:ascii="Times New Roman" w:hAnsi="Times New Roman"/>
                <w:noProof/>
                <w:color w:val="000000"/>
              </w:rPr>
              <w:t>SEC(2010) 312 </w:t>
            </w:r>
          </w:p>
        </w:tc>
        <w:tc>
          <w:tcPr>
            <w:tcW w:w="2318" w:type="pct"/>
            <w:tcBorders>
              <w:bottom w:val="single" w:sz="4" w:space="0" w:color="auto"/>
            </w:tcBorders>
          </w:tcPr>
          <w:p w:rsidR="00C95DC6" w:rsidRDefault="00E950C8">
            <w:pPr>
              <w:jc w:val="both"/>
              <w:rPr>
                <w:rFonts w:ascii="Times New Roman" w:eastAsia="Times New Roman" w:hAnsi="Times New Roman"/>
                <w:bCs/>
                <w:noProof/>
              </w:rPr>
            </w:pPr>
            <w:r>
              <w:rPr>
                <w:rFonts w:ascii="Times New Roman" w:eastAsia="Times New Roman" w:hAnsi="Times New Roman"/>
                <w:bCs/>
                <w:noProof/>
              </w:rPr>
              <w:t>Recommendation from the European Commission to the Council in order to authorise the European Commission to open negotiations with non-EU countries with a view to conclude agreements on the installation of Galileo ground stations.</w:t>
            </w:r>
          </w:p>
        </w:tc>
        <w:tc>
          <w:tcPr>
            <w:tcW w:w="1643" w:type="pct"/>
            <w:tcBorders>
              <w:bottom w:val="single" w:sz="4" w:space="0" w:color="auto"/>
            </w:tcBorders>
          </w:tcPr>
          <w:p w:rsidR="00C95DC6" w:rsidRDefault="00E950C8">
            <w:pPr>
              <w:jc w:val="both"/>
              <w:rPr>
                <w:rFonts w:ascii="Times New Roman" w:eastAsia="Times New Roman" w:hAnsi="Times New Roman"/>
                <w:noProof/>
              </w:rPr>
            </w:pPr>
            <w:r>
              <w:rPr>
                <w:rFonts w:ascii="Times New Roman" w:eastAsia="Times New Roman" w:hAnsi="Times New Roman"/>
                <w:noProof/>
              </w:rPr>
              <w:t xml:space="preserve">This Recommendation dating from 2010 was not accepted by the Council because an alternative way forward was chosen: instead of negotiating the deployment of Galileo Stations in third countries – the initial aim of this proposal -, Member States preferred to deploy them on EU Member States' territories. </w:t>
            </w:r>
          </w:p>
        </w:tc>
      </w:tr>
      <w:tr w:rsidR="00C95DC6">
        <w:trPr>
          <w:cantSplit/>
        </w:trPr>
        <w:tc>
          <w:tcPr>
            <w:tcW w:w="5000" w:type="pct"/>
            <w:gridSpan w:val="4"/>
            <w:shd w:val="clear" w:color="auto" w:fill="F2F2F2" w:themeFill="background1" w:themeFillShade="F2"/>
            <w:vAlign w:val="center"/>
          </w:tcPr>
          <w:p w:rsidR="00C95DC6" w:rsidRDefault="00E950C8">
            <w:pPr>
              <w:spacing w:before="60" w:after="60"/>
              <w:ind w:right="-170"/>
              <w:rPr>
                <w:rFonts w:ascii="Times New Roman" w:hAnsi="Times New Roman"/>
                <w:b/>
                <w:noProof/>
              </w:rPr>
            </w:pPr>
            <w:r>
              <w:rPr>
                <w:rFonts w:ascii="Times New Roman" w:eastAsia="Times New Roman" w:hAnsi="Times New Roman"/>
                <w:b/>
                <w:noProof/>
              </w:rPr>
              <w:t>Justice, Consumers &amp; Gender Equality</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COM/2011/0126</w:t>
            </w:r>
          </w:p>
          <w:p w:rsidR="00C95DC6" w:rsidRDefault="00E950C8">
            <w:pPr>
              <w:jc w:val="both"/>
              <w:rPr>
                <w:rFonts w:ascii="Times New Roman" w:hAnsi="Times New Roman"/>
                <w:iCs/>
                <w:noProof/>
                <w:color w:val="000000"/>
              </w:rPr>
            </w:pPr>
            <w:r>
              <w:rPr>
                <w:rFonts w:ascii="Times New Roman" w:hAnsi="Times New Roman"/>
                <w:iCs/>
                <w:noProof/>
                <w:color w:val="000000"/>
              </w:rPr>
              <w:t>2011/0059/CNS</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COUNCIL REGULATION on jurisdiction, applicable law and the recognition and enforcement of decisions in matters of matrimonial property regimes</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Obsolete: This proposal was superseded by a proposal under the procedure of enhanced cooperation (COM(2016)108)</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COM/2011/0127</w:t>
            </w:r>
          </w:p>
          <w:p w:rsidR="00C95DC6" w:rsidRDefault="00E950C8">
            <w:pPr>
              <w:jc w:val="both"/>
              <w:rPr>
                <w:rFonts w:ascii="Times New Roman" w:hAnsi="Times New Roman"/>
                <w:i/>
                <w:iCs/>
                <w:noProof/>
                <w:color w:val="000000"/>
              </w:rPr>
            </w:pPr>
            <w:r>
              <w:rPr>
                <w:rFonts w:ascii="Times New Roman" w:hAnsi="Times New Roman"/>
                <w:noProof/>
                <w:color w:val="000000"/>
              </w:rPr>
              <w:t>2011/0060/CNS</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COUNCIL REGULATION on jurisdiction, applicable law and the recognition and enforcement of decisions regarding the property consequences of registered partnerships</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Obsolete: This proposal was superseded by proposals under the procedure of enhanced cooperation (COM(2016)107/108)</w:t>
            </w:r>
          </w:p>
        </w:tc>
      </w:tr>
      <w:tr w:rsidR="00C95DC6">
        <w:trPr>
          <w:cantSplit/>
        </w:trPr>
        <w:tc>
          <w:tcPr>
            <w:tcW w:w="5000" w:type="pct"/>
            <w:gridSpan w:val="4"/>
            <w:shd w:val="clear" w:color="auto" w:fill="F2F2F2" w:themeFill="background1" w:themeFillShade="F2"/>
            <w:vAlign w:val="center"/>
          </w:tcPr>
          <w:p w:rsidR="00C95DC6" w:rsidRDefault="00E950C8">
            <w:pPr>
              <w:keepNext/>
              <w:spacing w:before="60" w:after="60"/>
              <w:ind w:right="-170"/>
              <w:rPr>
                <w:rFonts w:ascii="Times New Roman" w:hAnsi="Times New Roman"/>
                <w:b/>
                <w:noProof/>
              </w:rPr>
            </w:pPr>
            <w:r>
              <w:rPr>
                <w:rFonts w:ascii="Times New Roman" w:eastAsia="Times New Roman" w:hAnsi="Times New Roman"/>
                <w:b/>
                <w:noProof/>
              </w:rPr>
              <w:t>Migration, Home Affairs &amp; Citizenship</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eastAsia="Times New Roman" w:hAnsi="Times New Roman"/>
                <w:noProof/>
              </w:rPr>
            </w:pPr>
            <w:r>
              <w:rPr>
                <w:rFonts w:ascii="Times New Roman" w:eastAsia="Times New Roman" w:hAnsi="Times New Roman"/>
                <w:noProof/>
              </w:rPr>
              <w:t>COM/2013/0097</w:t>
            </w:r>
          </w:p>
          <w:p w:rsidR="00C95DC6" w:rsidRDefault="00E950C8">
            <w:pPr>
              <w:jc w:val="both"/>
              <w:rPr>
                <w:rFonts w:ascii="Times New Roman" w:eastAsia="Times New Roman" w:hAnsi="Times New Roman"/>
                <w:noProof/>
              </w:rPr>
            </w:pPr>
            <w:r>
              <w:rPr>
                <w:rFonts w:ascii="Times New Roman" w:eastAsia="Times New Roman" w:hAnsi="Times New Roman"/>
                <w:noProof/>
              </w:rPr>
              <w:t>2013/0059/COD</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REGULATION OF THE EUROPEAN PARLIAMENT AND OF THE COUNCIL establishing a Registered Traveller Programme</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 xml:space="preserve">The proposal was already flagged in the list of withdrawals or modifications of pending proposals included in the Commission Work Programme 2016. As indicated in the Proposal for a Regulation of the European Parliament and of the Council establishing an Entry/Exit System (EES), COM(2016)194 final, when adopting the EES Proposal the Commission withdrew the proposal establishing a Registered Traveller Programme (cf. PV(2016)2172 final).   </w:t>
            </w:r>
            <w:r>
              <w:rPr>
                <w:rFonts w:ascii="Times New Roman" w:eastAsia="Times New Roman" w:hAnsi="Times New Roman"/>
                <w:noProof/>
              </w:rPr>
              <w:br/>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COM/2013/0619</w:t>
            </w:r>
          </w:p>
          <w:p w:rsidR="00C95DC6" w:rsidRDefault="00E950C8">
            <w:pPr>
              <w:jc w:val="both"/>
              <w:rPr>
                <w:rFonts w:ascii="Times New Roman" w:hAnsi="Times New Roman"/>
                <w:noProof/>
                <w:color w:val="000000"/>
              </w:rPr>
            </w:pPr>
            <w:r>
              <w:rPr>
                <w:rFonts w:ascii="Times New Roman" w:hAnsi="Times New Roman"/>
                <w:noProof/>
                <w:color w:val="000000"/>
              </w:rPr>
              <w:t>2013/0305/COD</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REGULATION OF THE EUROPEAN PARLIAMENT AND OF THE COUNCIL on new psychoactive substances</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 xml:space="preserve">Obsolete: Some elements of this proposal have found their way in the new proposal </w:t>
            </w:r>
            <w:r>
              <w:rPr>
                <w:noProof/>
              </w:rPr>
              <w:t xml:space="preserve"> </w:t>
            </w:r>
            <w:r>
              <w:rPr>
                <w:rFonts w:ascii="Times New Roman" w:eastAsia="Times New Roman" w:hAnsi="Times New Roman"/>
                <w:noProof/>
              </w:rPr>
              <w:t xml:space="preserve">for a Regulation of the European Parliament and of the Council amending Regulation (EC) No 1920/2006 as regards information exchange, early warning system and risk assessment procedure on new psychoactive substances (COM(2016)547); other elements are covered by the </w:t>
            </w:r>
            <w:r>
              <w:rPr>
                <w:noProof/>
              </w:rPr>
              <w:t xml:space="preserve"> </w:t>
            </w:r>
            <w:r>
              <w:rPr>
                <w:rFonts w:ascii="Times New Roman" w:eastAsia="Times New Roman" w:hAnsi="Times New Roman"/>
                <w:noProof/>
              </w:rPr>
              <w:t xml:space="preserve">Proposal for a Directive of the European Parliament and of the Council amending Council Framework Decision 2004/757/JHA of 25 October 2004 laying down minimum provisions on the constituent elements of criminal acts and penalties in the field of illicit drug trafficking, as regards the definition of drug (COM(2013)618). </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COM/2009/0703</w:t>
            </w:r>
          </w:p>
          <w:p w:rsidR="00C95DC6" w:rsidRDefault="00E950C8">
            <w:pPr>
              <w:jc w:val="both"/>
              <w:rPr>
                <w:rFonts w:ascii="Times New Roman" w:hAnsi="Times New Roman"/>
                <w:noProof/>
                <w:color w:val="000000"/>
              </w:rPr>
            </w:pPr>
            <w:r>
              <w:rPr>
                <w:rFonts w:ascii="Times New Roman" w:hAnsi="Times New Roman"/>
                <w:noProof/>
                <w:color w:val="000000"/>
              </w:rPr>
              <w:t>2009/0190/NLE</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COUNCIL DECISION on the conclusion of the Agreement between the European Union and the United States of America on the processing and transfer of Financial Messaging Data from the European Union to the United States for purposes of the Terrorist Finance Tracking Program</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Obsolete: Council Decision of 13 July 2010 on the conclusion of the Agreement between the European Union and the United States of America on the processing and transfer of Financial Messaging Data from the European Union to the United States for the purposes of the Terrorist Finance Tracking Program was adopted on the basis of another proposal (COM(2010)316). This previous proposal can therefore be withdrawn.</w:t>
            </w:r>
          </w:p>
        </w:tc>
      </w:tr>
      <w:tr w:rsidR="00C95DC6">
        <w:trPr>
          <w:cantSplit/>
        </w:trPr>
        <w:tc>
          <w:tcPr>
            <w:tcW w:w="5000" w:type="pct"/>
            <w:gridSpan w:val="4"/>
            <w:shd w:val="clear" w:color="auto" w:fill="F2F2F2" w:themeFill="background1" w:themeFillShade="F2"/>
            <w:vAlign w:val="center"/>
          </w:tcPr>
          <w:p w:rsidR="00C95DC6" w:rsidRDefault="00E950C8">
            <w:pPr>
              <w:keepNext/>
              <w:spacing w:before="120" w:after="120"/>
              <w:ind w:right="-170"/>
              <w:rPr>
                <w:rFonts w:ascii="Times New Roman" w:hAnsi="Times New Roman"/>
                <w:b/>
                <w:noProof/>
              </w:rPr>
            </w:pPr>
            <w:r>
              <w:rPr>
                <w:rFonts w:ascii="Times New Roman" w:eastAsia="Times New Roman" w:hAnsi="Times New Roman"/>
                <w:b/>
                <w:noProof/>
              </w:rPr>
              <w:t>Trade</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COM/2015/0390</w:t>
            </w:r>
          </w:p>
          <w:p w:rsidR="00C95DC6" w:rsidRDefault="00E950C8">
            <w:pPr>
              <w:jc w:val="both"/>
              <w:rPr>
                <w:rFonts w:ascii="Times New Roman" w:hAnsi="Times New Roman"/>
                <w:iCs/>
                <w:noProof/>
                <w:color w:val="000000"/>
              </w:rPr>
            </w:pPr>
            <w:r>
              <w:rPr>
                <w:rFonts w:ascii="Times New Roman" w:hAnsi="Times New Roman"/>
                <w:iCs/>
                <w:noProof/>
                <w:color w:val="000000"/>
              </w:rPr>
              <w:t>2015/0170/NLE</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COUNCIL DECISION on the position to be taken on behalf of the European Union within the Association Committee in Trade configuration established by the Association Agreement between the European Union and the European Atomic Energy Community and their Member States, of the one part, and the Republic of Moldova, of the other part</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 xml:space="preserve">Obsolete: This proposal has been replaced by proposal COM(2016)649. </w:t>
            </w:r>
          </w:p>
        </w:tc>
      </w:tr>
      <w:tr w:rsidR="00C95DC6">
        <w:trPr>
          <w:cantSplit/>
        </w:trPr>
        <w:tc>
          <w:tcPr>
            <w:tcW w:w="5000" w:type="pct"/>
            <w:gridSpan w:val="4"/>
            <w:shd w:val="clear" w:color="auto" w:fill="F2F2F2" w:themeFill="background1" w:themeFillShade="F2"/>
            <w:vAlign w:val="center"/>
          </w:tcPr>
          <w:p w:rsidR="00C95DC6" w:rsidRDefault="00E950C8">
            <w:pPr>
              <w:spacing w:before="120" w:after="120"/>
              <w:ind w:right="-170"/>
              <w:rPr>
                <w:rFonts w:ascii="Times New Roman" w:hAnsi="Times New Roman"/>
                <w:b/>
                <w:noProof/>
              </w:rPr>
            </w:pPr>
            <w:r>
              <w:rPr>
                <w:rFonts w:ascii="Times New Roman" w:eastAsia="Times New Roman" w:hAnsi="Times New Roman"/>
                <w:b/>
                <w:noProof/>
              </w:rPr>
              <w:t>Transport</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COM/2010/0263</w:t>
            </w:r>
          </w:p>
          <w:p w:rsidR="00C95DC6" w:rsidRDefault="00E950C8">
            <w:pPr>
              <w:jc w:val="both"/>
              <w:rPr>
                <w:rFonts w:ascii="Times New Roman" w:hAnsi="Times New Roman"/>
                <w:iCs/>
                <w:noProof/>
                <w:color w:val="000000"/>
              </w:rPr>
            </w:pPr>
            <w:r>
              <w:rPr>
                <w:rFonts w:ascii="Times New Roman" w:hAnsi="Times New Roman"/>
                <w:iCs/>
                <w:noProof/>
                <w:color w:val="000000"/>
              </w:rPr>
              <w:t>2010/0141/NLE</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COUNCIL DECISION on the signature and provisional application of the Agreement on certain aspects of air services between the European Union and the Republic of Peru</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Obsolete:</w:t>
            </w:r>
            <w:r>
              <w:rPr>
                <w:rFonts w:ascii="Times New Roman" w:hAnsi="Times New Roman"/>
                <w:noProof/>
                <w:color w:val="FF0000"/>
              </w:rPr>
              <w:t xml:space="preserve"> </w:t>
            </w:r>
            <w:r>
              <w:rPr>
                <w:rFonts w:ascii="Times New Roman" w:hAnsi="Times New Roman"/>
                <w:noProof/>
              </w:rPr>
              <w:t xml:space="preserve">Following re-negotiation of the agreement, </w:t>
            </w:r>
            <w:r>
              <w:rPr>
                <w:rFonts w:ascii="Times New Roman" w:eastAsia="Times New Roman" w:hAnsi="Times New Roman"/>
                <w:noProof/>
              </w:rPr>
              <w:t xml:space="preserve">this proposal has been replaced by proposal COM(2013)423. </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COM/2010/0264</w:t>
            </w:r>
          </w:p>
          <w:p w:rsidR="00C95DC6" w:rsidRDefault="00E950C8">
            <w:pPr>
              <w:jc w:val="both"/>
              <w:rPr>
                <w:rFonts w:ascii="Times New Roman" w:hAnsi="Times New Roman"/>
                <w:noProof/>
                <w:color w:val="000000"/>
              </w:rPr>
            </w:pPr>
            <w:r>
              <w:rPr>
                <w:rFonts w:ascii="Times New Roman" w:hAnsi="Times New Roman"/>
                <w:noProof/>
                <w:color w:val="000000"/>
              </w:rPr>
              <w:t>2010/0142/NLE</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 xml:space="preserve">Proposal for a COUNCIL DECISION on the conclusion of the Agreement on certain aspects of air services between the European Union and the Republic of Peru  </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 xml:space="preserve">Obsolete: </w:t>
            </w:r>
            <w:r>
              <w:rPr>
                <w:rFonts w:ascii="Times New Roman" w:hAnsi="Times New Roman"/>
                <w:noProof/>
              </w:rPr>
              <w:t>Following re-negotiation of the agreement,</w:t>
            </w:r>
            <w:r>
              <w:rPr>
                <w:rFonts w:ascii="Times New Roman" w:eastAsia="Times New Roman" w:hAnsi="Times New Roman"/>
                <w:noProof/>
              </w:rPr>
              <w:t xml:space="preserve"> this proposal has been replaced by proposal COM(2013)424. </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COM/2010/0803</w:t>
            </w:r>
          </w:p>
          <w:p w:rsidR="00C95DC6" w:rsidRDefault="00E950C8">
            <w:pPr>
              <w:tabs>
                <w:tab w:val="center" w:pos="911"/>
              </w:tabs>
              <w:jc w:val="both"/>
              <w:rPr>
                <w:rFonts w:ascii="Times New Roman" w:hAnsi="Times New Roman"/>
                <w:noProof/>
                <w:color w:val="000000"/>
              </w:rPr>
            </w:pPr>
            <w:r>
              <w:rPr>
                <w:rFonts w:ascii="Times New Roman" w:hAnsi="Times New Roman"/>
                <w:noProof/>
                <w:color w:val="000000"/>
              </w:rPr>
              <w:t>2010/0388/NLE</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COUNCIL DECISION on the conclusion of the Agreement on certain aspects of air services between the European Union and the Kingdom of Saudi Arabia</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Obsolete: On 15 June 2014, the Kingdom of Saudi Arabia has informed the Commission that it does not intend to sign the Agreement. The proposal can therefore be withdrawn.</w:t>
            </w:r>
          </w:p>
        </w:tc>
      </w:tr>
      <w:tr w:rsidR="00C95DC6">
        <w:trPr>
          <w:cantSplit/>
        </w:trPr>
        <w:tc>
          <w:tcPr>
            <w:tcW w:w="5000" w:type="pct"/>
            <w:gridSpan w:val="4"/>
            <w:shd w:val="clear" w:color="auto" w:fill="F2F2F2" w:themeFill="background1" w:themeFillShade="F2"/>
            <w:vAlign w:val="center"/>
          </w:tcPr>
          <w:p w:rsidR="00C95DC6" w:rsidRDefault="00E950C8">
            <w:pPr>
              <w:keepNext/>
              <w:spacing w:before="120" w:after="120"/>
              <w:ind w:right="-170"/>
              <w:rPr>
                <w:rFonts w:ascii="Times New Roman" w:hAnsi="Times New Roman"/>
                <w:b/>
                <w:noProof/>
              </w:rPr>
            </w:pPr>
            <w:r>
              <w:rPr>
                <w:rFonts w:ascii="Times New Roman" w:eastAsia="Times New Roman" w:hAnsi="Times New Roman"/>
                <w:b/>
                <w:noProof/>
              </w:rPr>
              <w:t>Codifications</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COM/2011/0120</w:t>
            </w:r>
          </w:p>
          <w:p w:rsidR="00C95DC6" w:rsidRDefault="00E950C8">
            <w:pPr>
              <w:jc w:val="both"/>
              <w:rPr>
                <w:rFonts w:ascii="Times New Roman" w:hAnsi="Times New Roman"/>
                <w:noProof/>
                <w:color w:val="000000"/>
              </w:rPr>
            </w:pPr>
            <w:r>
              <w:rPr>
                <w:rFonts w:ascii="Times New Roman" w:hAnsi="Times New Roman"/>
                <w:noProof/>
                <w:color w:val="000000"/>
              </w:rPr>
              <w:t>2011/0053/COD</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DIRECTIVE OF THE EUROPEAN PARLIAMENT AND OF THE COUNCIL relating to tyres for motor vehicles and their trailers and to their fitting (Codification)</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Obsolete As it contains a reference to an outdated provision on comitology.</w:t>
            </w:r>
          </w:p>
        </w:tc>
      </w:tr>
      <w:tr w:rsidR="00C95DC6">
        <w:trPr>
          <w:cantSplit/>
        </w:trPr>
        <w:tc>
          <w:tcPr>
            <w:tcW w:w="186" w:type="pct"/>
          </w:tcPr>
          <w:p w:rsidR="00C95DC6" w:rsidRDefault="00C95DC6">
            <w:pPr>
              <w:pStyle w:val="ListParagraph"/>
              <w:numPr>
                <w:ilvl w:val="0"/>
                <w:numId w:val="5"/>
              </w:numPr>
              <w:ind w:left="284" w:right="-172" w:hanging="284"/>
              <w:contextualSpacing w:val="0"/>
              <w:rPr>
                <w:rFonts w:ascii="Times New Roman" w:hAnsi="Times New Roman"/>
                <w:noProof/>
              </w:rPr>
            </w:pPr>
          </w:p>
        </w:tc>
        <w:tc>
          <w:tcPr>
            <w:tcW w:w="854" w:type="pct"/>
          </w:tcPr>
          <w:p w:rsidR="00C95DC6" w:rsidRDefault="00E950C8">
            <w:pPr>
              <w:jc w:val="both"/>
              <w:rPr>
                <w:rFonts w:ascii="Times New Roman" w:hAnsi="Times New Roman"/>
                <w:noProof/>
                <w:color w:val="000000"/>
              </w:rPr>
            </w:pPr>
            <w:r>
              <w:rPr>
                <w:rFonts w:ascii="Times New Roman" w:hAnsi="Times New Roman"/>
                <w:noProof/>
                <w:color w:val="000000"/>
              </w:rPr>
              <w:t>COM/2015/0157</w:t>
            </w:r>
          </w:p>
          <w:p w:rsidR="00C95DC6" w:rsidRDefault="00E950C8">
            <w:pPr>
              <w:jc w:val="both"/>
              <w:rPr>
                <w:rFonts w:ascii="Times New Roman" w:hAnsi="Times New Roman"/>
                <w:noProof/>
                <w:color w:val="000000"/>
              </w:rPr>
            </w:pPr>
            <w:r>
              <w:rPr>
                <w:rFonts w:ascii="Times New Roman" w:hAnsi="Times New Roman"/>
                <w:noProof/>
                <w:color w:val="000000"/>
              </w:rPr>
              <w:t>2015/0082/COD</w:t>
            </w:r>
          </w:p>
        </w:tc>
        <w:tc>
          <w:tcPr>
            <w:tcW w:w="2318" w:type="pct"/>
          </w:tcPr>
          <w:p w:rsidR="00C95DC6" w:rsidRDefault="00E950C8">
            <w:pPr>
              <w:jc w:val="both"/>
              <w:rPr>
                <w:rFonts w:ascii="Times New Roman" w:eastAsia="Times New Roman" w:hAnsi="Times New Roman"/>
                <w:bCs/>
                <w:noProof/>
              </w:rPr>
            </w:pPr>
            <w:r>
              <w:rPr>
                <w:rFonts w:ascii="Times New Roman" w:eastAsia="Times New Roman" w:hAnsi="Times New Roman"/>
                <w:bCs/>
                <w:noProof/>
              </w:rPr>
              <w:t>Proposal for a REGULATION OF THE EUROPEAN PARLIAMENT AND OF THE COUNCIL on trade in certain steel products between the European Union and the Republic of Kazakhstan (codification)</w:t>
            </w:r>
          </w:p>
        </w:tc>
        <w:tc>
          <w:tcPr>
            <w:tcW w:w="1643" w:type="pct"/>
          </w:tcPr>
          <w:p w:rsidR="00C95DC6" w:rsidRDefault="00E950C8">
            <w:pPr>
              <w:jc w:val="both"/>
              <w:rPr>
                <w:rFonts w:ascii="Times New Roman" w:eastAsia="Times New Roman" w:hAnsi="Times New Roman"/>
                <w:noProof/>
              </w:rPr>
            </w:pPr>
            <w:r>
              <w:rPr>
                <w:rFonts w:ascii="Times New Roman" w:eastAsia="Times New Roman" w:hAnsi="Times New Roman"/>
                <w:noProof/>
              </w:rPr>
              <w:t>Obsolete: The act whose codification was proposed expired (notice of expiry - JO C 425 of 18/12/2015).</w:t>
            </w:r>
          </w:p>
        </w:tc>
      </w:tr>
    </w:tbl>
    <w:p w:rsidR="00C95DC6" w:rsidRDefault="00C95DC6">
      <w:pPr>
        <w:spacing w:after="480"/>
        <w:jc w:val="center"/>
        <w:outlineLvl w:val="0"/>
        <w:rPr>
          <w:noProof/>
        </w:rPr>
      </w:pPr>
    </w:p>
    <w:sectPr w:rsidR="00C95DC6">
      <w:headerReference w:type="even" r:id="rId16"/>
      <w:headerReference w:type="default" r:id="rId17"/>
      <w:footerReference w:type="even" r:id="rId18"/>
      <w:footerReference w:type="default" r:id="rId19"/>
      <w:headerReference w:type="first" r:id="rId20"/>
      <w:footerReference w:type="first" r:id="rId21"/>
      <w:pgSz w:w="16838" w:h="11906" w:orient="landscape"/>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DC6" w:rsidRDefault="00E950C8">
      <w:pPr>
        <w:spacing w:after="0" w:line="240" w:lineRule="auto"/>
      </w:pPr>
      <w:r>
        <w:separator/>
      </w:r>
    </w:p>
  </w:endnote>
  <w:endnote w:type="continuationSeparator" w:id="0">
    <w:p w:rsidR="00C95DC6" w:rsidRDefault="00E9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A5" w:rsidRDefault="001958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FBD" w:rsidRPr="00763FBD" w:rsidRDefault="00763FBD" w:rsidP="00763FBD">
    <w:pPr>
      <w:pStyle w:val="FooterCoverPage"/>
      <w:rPr>
        <w:rFonts w:ascii="Arial" w:hAnsi="Arial" w:cs="Arial"/>
        <w:b/>
        <w:sz w:val="48"/>
      </w:rPr>
    </w:pPr>
    <w:r w:rsidRPr="00763FBD">
      <w:rPr>
        <w:rFonts w:ascii="Arial" w:hAnsi="Arial" w:cs="Arial"/>
        <w:b/>
        <w:sz w:val="48"/>
      </w:rPr>
      <w:t>EN</w:t>
    </w:r>
    <w:r w:rsidRPr="00763FBD">
      <w:rPr>
        <w:rFonts w:ascii="Arial" w:hAnsi="Arial" w:cs="Arial"/>
        <w:b/>
        <w:sz w:val="48"/>
      </w:rPr>
      <w:tab/>
    </w:r>
    <w:r w:rsidRPr="00763FBD">
      <w:rPr>
        <w:rFonts w:ascii="Arial" w:hAnsi="Arial" w:cs="Arial"/>
        <w:b/>
        <w:sz w:val="48"/>
      </w:rPr>
      <w:tab/>
    </w:r>
    <w:fldSimple w:instr=" DOCVARIABLE &quot;LW_Confidence&quot; \* MERGEFORMAT ">
      <w:r w:rsidR="001958A5">
        <w:t xml:space="preserve"> </w:t>
      </w:r>
    </w:fldSimple>
    <w:r w:rsidRPr="00763FBD">
      <w:tab/>
    </w:r>
    <w:r w:rsidRPr="00763FBD">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A5" w:rsidRDefault="001958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C6" w:rsidRDefault="00C95DC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606158"/>
      <w:docPartObj>
        <w:docPartGallery w:val="Page Numbers (Bottom of Page)"/>
        <w:docPartUnique/>
      </w:docPartObj>
    </w:sdtPr>
    <w:sdtEndPr>
      <w:rPr>
        <w:noProof/>
      </w:rPr>
    </w:sdtEndPr>
    <w:sdtContent>
      <w:p w:rsidR="00C95DC6" w:rsidRDefault="00E950C8">
        <w:pPr>
          <w:pStyle w:val="Footer"/>
          <w:jc w:val="right"/>
        </w:pPr>
        <w:r>
          <w:fldChar w:fldCharType="begin"/>
        </w:r>
        <w:r>
          <w:instrText xml:space="preserve"> PAGE   \* MERGEFORMAT </w:instrText>
        </w:r>
        <w:r>
          <w:fldChar w:fldCharType="separate"/>
        </w:r>
        <w:r w:rsidR="001958A5">
          <w:rPr>
            <w:noProof/>
          </w:rPr>
          <w:t>2</w:t>
        </w:r>
        <w:r>
          <w:rPr>
            <w:noProof/>
          </w:rPr>
          <w:fldChar w:fldCharType="end"/>
        </w:r>
      </w:p>
    </w:sdtContent>
  </w:sdt>
  <w:p w:rsidR="00C95DC6" w:rsidRDefault="00C95DC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C6" w:rsidRDefault="00C95D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DC6" w:rsidRDefault="00E950C8">
      <w:pPr>
        <w:spacing w:after="0" w:line="240" w:lineRule="auto"/>
      </w:pPr>
      <w:r>
        <w:separator/>
      </w:r>
    </w:p>
  </w:footnote>
  <w:footnote w:type="continuationSeparator" w:id="0">
    <w:p w:rsidR="00C95DC6" w:rsidRDefault="00E950C8">
      <w:pPr>
        <w:spacing w:after="0" w:line="240" w:lineRule="auto"/>
      </w:pPr>
      <w:r>
        <w:continuationSeparator/>
      </w:r>
    </w:p>
  </w:footnote>
  <w:footnote w:id="1">
    <w:p w:rsidR="00C95DC6" w:rsidRDefault="00E950C8">
      <w:pPr>
        <w:pStyle w:val="FootnoteText"/>
        <w:rPr>
          <w:bCs/>
        </w:rPr>
      </w:pPr>
      <w:r>
        <w:rPr>
          <w:rStyle w:val="FootnoteReference"/>
        </w:rPr>
        <w:footnoteRef/>
      </w:r>
      <w:r>
        <w:t xml:space="preserve"> </w:t>
      </w:r>
      <w:r>
        <w:rPr>
          <w:bCs/>
        </w:rPr>
        <w:t>This list includes pending legislative proposals, which the Commission intends to withdraw within six months (by April 2017). It also includes two proposals already withdrawn (cf. no 3 and 11), which were already included in the Commission Work Programme 2016 and are listed here for reasons of transparency.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A5" w:rsidRDefault="001958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A5" w:rsidRDefault="001958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8A5" w:rsidRDefault="001958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C6" w:rsidRDefault="00C95DC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C6" w:rsidRDefault="00C95DC6">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DC6" w:rsidRDefault="00C95D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F37A2"/>
    <w:multiLevelType w:val="hybridMultilevel"/>
    <w:tmpl w:val="DC52E516"/>
    <w:lvl w:ilvl="0" w:tplc="50041C60">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9D369E"/>
    <w:multiLevelType w:val="hybridMultilevel"/>
    <w:tmpl w:val="02CA5520"/>
    <w:lvl w:ilvl="0" w:tplc="FD7E75AC">
      <w:start w:val="1"/>
      <w:numFmt w:val="decimal"/>
      <w:lvlText w:val="%1."/>
      <w:lvlJc w:val="left"/>
      <w:pPr>
        <w:tabs>
          <w:tab w:val="num" w:pos="0"/>
        </w:tabs>
        <w:ind w:left="0" w:firstLine="0"/>
      </w:pPr>
      <w:rPr>
        <w:rFonts w:ascii="Times New Roman" w:hAnsi="Times New Roman" w:cs="Times New Roman"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37E45813"/>
    <w:multiLevelType w:val="hybridMultilevel"/>
    <w:tmpl w:val="2C16C1E6"/>
    <w:lvl w:ilvl="0" w:tplc="50041C60">
      <w:numFmt w:val="bullet"/>
      <w:lvlText w:val="-"/>
      <w:lvlJc w:val="left"/>
      <w:pPr>
        <w:ind w:left="720" w:hanging="360"/>
      </w:pPr>
      <w:rPr>
        <w:rFonts w:ascii="Calibri" w:eastAsia="SimSu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F74B90"/>
    <w:multiLevelType w:val="hybridMultilevel"/>
    <w:tmpl w:val="B9768E9E"/>
    <w:lvl w:ilvl="0" w:tplc="BCD0181C">
      <w:start w:val="1"/>
      <w:numFmt w:val="decimal"/>
      <w:lvlText w:val="%1."/>
      <w:lvlJc w:val="left"/>
      <w:pPr>
        <w:ind w:left="786"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9DE0F67"/>
    <w:multiLevelType w:val="hybridMultilevel"/>
    <w:tmpl w:val="17DA5598"/>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to the "/>
    <w:docVar w:name="LW_ANNEX_NBR_FIRST" w:val="4"/>
    <w:docVar w:name="LW_ANNEX_NBR_LAST" w:val="4"/>
    <w:docVar w:name="LW_CONFIDENCE" w:val=" "/>
    <w:docVar w:name="LW_CONST_RESTREINT_UE" w:val="RESTREINT UE/EU RESTRICTED"/>
    <w:docVar w:name="LW_CORRIGENDUM" w:val="&lt;UNUSED&gt;"/>
    <w:docVar w:name="LW_COVERPAGE_GUID" w:val="F04F37A7FB11462B8CEF7215C0B66E8E"/>
    <w:docVar w:name="LW_CROSSREFERENCE" w:val="{SWD(2016) 400 final}"/>
    <w:docVar w:name="LW_DocType" w:val="NORMAL"/>
    <w:docVar w:name="LW_EMISSION" w:val="25.10.2016"/>
    <w:docVar w:name="LW_EMISSION_ISODATE" w:val="2016-10-25"/>
    <w:docVar w:name="LW_EMISSION_LOCATION" w:val="STR"/>
    <w:docVar w:name="LW_EMISSION_PREFIX" w:val="Strasbourg, "/>
    <w:docVar w:name="LW_EMISSION_SUFFIX" w:val=" "/>
    <w:docVar w:name="LW_ID_DOCTYPE_NONLW" w:val="CP-039"/>
    <w:docVar w:name="LW_LANGUE" w:val="EN"/>
    <w:docVar w:name="LW_MARKING" w:val="&lt;UNUSED&gt;"/>
    <w:docVar w:name="LW_NOM.INST" w:val="EUROPEAN COMMISSION"/>
    <w:docVar w:name="LW_NOM.INST_JOINTDOC" w:val="&lt;EMPTY&gt;"/>
    <w:docVar w:name="LW_OBJETACTEPRINCIPAL.CP" w:val="_x000b_Commission Work Programme 2017_x000b__x000b_Delivering a Europe that protects, empowers and defends"/>
    <w:docVar w:name="LW_PART_NBR" w:val="1"/>
    <w:docVar w:name="LW_PART_NBR_TOTAL" w:val="1"/>
    <w:docVar w:name="LW_REF.INST.NEW" w:val="COM"/>
    <w:docVar w:name="LW_REF.INST.NEW_ADOPTED" w:val="final "/>
    <w:docVar w:name="LW_REF.INST.NEW_TEXT" w:val="(2016) 710"/>
    <w:docVar w:name="LW_REF.INTERNE" w:val="&lt;UNUSED&gt;"/>
    <w:docVar w:name="LW_SUPERTITRE" w:val="&lt;UNUSED&gt;"/>
    <w:docVar w:name="LW_TITRE.OBJ.CP" w:val="&lt;UNUSED&gt;"/>
    <w:docVar w:name="LW_TYPE.DOC.CP" w:val="ANNEX_x000b_"/>
    <w:docVar w:name="LW_TYPEACTEPRINCIPAL.CP" w:val="COMMUNICATION FROM THE COMMISSION TO THE EUROPEAN PARLIAMENT, THE COUNCIL, THE EUROPEAN ECONOMIC AND SOCIAL COMMITTEE AND THE COMMITTEE OF THE REGIONS"/>
  </w:docVars>
  <w:rsids>
    <w:rsidRoot w:val="00C95DC6"/>
    <w:rsid w:val="001958A5"/>
    <w:rsid w:val="007534B7"/>
    <w:rsid w:val="00763FBD"/>
    <w:rsid w:val="00C95DC6"/>
    <w:rsid w:val="00E95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iPriority w:val="99"/>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aliases w:val="Footnote Char,Fußnote Char"/>
    <w:basedOn w:val="DefaultParagraphFont"/>
    <w:link w:val="FootnoteText"/>
    <w:uiPriority w:val="99"/>
    <w:rPr>
      <w:rFonts w:ascii="Times New Roman" w:eastAsia="Times New Roman" w:hAnsi="Times New Roman" w:cs="Times New Roman"/>
      <w:sz w:val="20"/>
      <w:szCs w:val="20"/>
      <w:lang w:eastAsia="en-GB"/>
    </w:rPr>
  </w:style>
  <w:style w:type="character" w:styleId="FootnoteReference">
    <w:name w:val="footnote reference"/>
    <w:aliases w:val="Footnote Reference Superscript,Footnote symbol,Footnote reference number,note TESI,SUPERS,EN Footnote Reference,Voetnootverwijzing,Times 10 Point,Exposant 3 Point,Appel note de bas de p,BVI fnr,Ref,de nota al pie,EN Footnote text,numb"/>
    <w:uiPriority w:val="99"/>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hAnsi="Times New Roman"/>
      <w:noProof/>
      <w:sz w:val="24"/>
      <w:szCs w:val="28"/>
      <w:lang w:eastAsia="de-DE"/>
    </w:rPr>
  </w:style>
  <w:style w:type="character" w:customStyle="1" w:styleId="FooterCoverPageChar">
    <w:name w:val="Footer Cover Page Char"/>
    <w:basedOn w:val="DefaultParagraphFont"/>
    <w:link w:val="FooterCoverPage"/>
    <w:rPr>
      <w:rFonts w:ascii="Times New Roman" w:eastAsia="Calibri" w:hAnsi="Times New Roman" w:cs="Times New Roman"/>
      <w:noProof/>
      <w:sz w:val="24"/>
      <w:szCs w:val="28"/>
      <w:lang w:eastAsia="de-DE"/>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hAnsi="Times New Roman"/>
      <w:noProof/>
      <w:sz w:val="24"/>
      <w:szCs w:val="28"/>
      <w:lang w:eastAsia="de-DE"/>
    </w:rPr>
  </w:style>
  <w:style w:type="character" w:customStyle="1" w:styleId="HeaderCoverPageChar">
    <w:name w:val="Header Cover Page Char"/>
    <w:basedOn w:val="DefaultParagraphFont"/>
    <w:link w:val="HeaderCoverPage"/>
    <w:rPr>
      <w:rFonts w:ascii="Times New Roman" w:eastAsia="Calibri" w:hAnsi="Times New Roman" w:cs="Times New Roman"/>
      <w:noProof/>
      <w:sz w:val="24"/>
      <w:szCs w:val="28"/>
      <w:lang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ußnote"/>
    <w:basedOn w:val="Normal"/>
    <w:link w:val="FootnoteTextChar"/>
    <w:uiPriority w:val="99"/>
    <w:pPr>
      <w:spacing w:after="0" w:line="240" w:lineRule="auto"/>
    </w:pPr>
    <w:rPr>
      <w:rFonts w:ascii="Times New Roman" w:eastAsia="Times New Roman" w:hAnsi="Times New Roman"/>
      <w:sz w:val="20"/>
      <w:szCs w:val="20"/>
      <w:lang w:eastAsia="en-GB"/>
    </w:rPr>
  </w:style>
  <w:style w:type="character" w:customStyle="1" w:styleId="FootnoteTextChar">
    <w:name w:val="Footnote Text Char"/>
    <w:aliases w:val="Footnote Char,Fußnote Char"/>
    <w:basedOn w:val="DefaultParagraphFont"/>
    <w:link w:val="FootnoteText"/>
    <w:uiPriority w:val="99"/>
    <w:rPr>
      <w:rFonts w:ascii="Times New Roman" w:eastAsia="Times New Roman" w:hAnsi="Times New Roman" w:cs="Times New Roman"/>
      <w:sz w:val="20"/>
      <w:szCs w:val="20"/>
      <w:lang w:eastAsia="en-GB"/>
    </w:rPr>
  </w:style>
  <w:style w:type="character" w:styleId="FootnoteReference">
    <w:name w:val="footnote reference"/>
    <w:aliases w:val="Footnote Reference Superscript,Footnote symbol,Footnote reference number,note TESI,SUPERS,EN Footnote Reference,Voetnootverwijzing,Times 10 Point,Exposant 3 Point,Appel note de bas de p,BVI fnr,Ref,de nota al pie,EN Footnote text,numb"/>
    <w:uiPriority w:val="99"/>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outlineLvl w:val="0"/>
    </w:pPr>
    <w:rPr>
      <w:rFonts w:ascii="Times New Roman" w:hAnsi="Times New Roman"/>
      <w:noProof/>
      <w:sz w:val="24"/>
      <w:szCs w:val="28"/>
      <w:lang w:eastAsia="de-DE"/>
    </w:rPr>
  </w:style>
  <w:style w:type="character" w:customStyle="1" w:styleId="FooterCoverPageChar">
    <w:name w:val="Footer Cover Page Char"/>
    <w:basedOn w:val="DefaultParagraphFont"/>
    <w:link w:val="FooterCoverPage"/>
    <w:rPr>
      <w:rFonts w:ascii="Times New Roman" w:eastAsia="Calibri" w:hAnsi="Times New Roman" w:cs="Times New Roman"/>
      <w:noProof/>
      <w:sz w:val="24"/>
      <w:szCs w:val="28"/>
      <w:lang w:eastAsia="de-DE"/>
    </w:rPr>
  </w:style>
  <w:style w:type="paragraph" w:customStyle="1" w:styleId="HeaderCoverPage">
    <w:name w:val="Header Cover Page"/>
    <w:basedOn w:val="Normal"/>
    <w:link w:val="HeaderCoverPageChar"/>
    <w:pPr>
      <w:tabs>
        <w:tab w:val="center" w:pos="4535"/>
        <w:tab w:val="right" w:pos="9071"/>
      </w:tabs>
      <w:spacing w:after="120" w:line="240" w:lineRule="auto"/>
      <w:jc w:val="both"/>
      <w:outlineLvl w:val="0"/>
    </w:pPr>
    <w:rPr>
      <w:rFonts w:ascii="Times New Roman" w:hAnsi="Times New Roman"/>
      <w:noProof/>
      <w:sz w:val="24"/>
      <w:szCs w:val="28"/>
      <w:lang w:eastAsia="de-DE"/>
    </w:rPr>
  </w:style>
  <w:style w:type="character" w:customStyle="1" w:styleId="HeaderCoverPageChar">
    <w:name w:val="Header Cover Page Char"/>
    <w:basedOn w:val="DefaultParagraphFont"/>
    <w:link w:val="HeaderCoverPage"/>
    <w:rPr>
      <w:rFonts w:ascii="Times New Roman" w:eastAsia="Calibri" w:hAnsi="Times New Roman" w:cs="Times New Roman"/>
      <w:noProof/>
      <w:sz w:val="24"/>
      <w:szCs w:val="28"/>
      <w:lang w:eastAsia="de-D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2456AA-0DD5-4D3A-A676-B01C75CCC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1278</Words>
  <Characters>7368</Characters>
  <Application>Microsoft Office Word</Application>
  <DocSecurity>0</DocSecurity>
  <Lines>231</Lines>
  <Paragraphs>109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David (SG)</dc:creator>
  <cp:lastModifiedBy>HEILEMANN Stefanie (SG)</cp:lastModifiedBy>
  <cp:revision>3</cp:revision>
  <cp:lastPrinted>2016-10-25T08:22:00Z</cp:lastPrinted>
  <dcterms:created xsi:type="dcterms:W3CDTF">2016-10-25T08:22:00Z</dcterms:created>
  <dcterms:modified xsi:type="dcterms:W3CDTF">2016-10-25T08:23:00Z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rst annex">
    <vt:lpwstr>4</vt:lpwstr>
  </property>
  <property fmtid="{D5CDD505-2E9C-101B-9397-08002B2CF9AE}" pid="3" name="Last annex">
    <vt:lpwstr>4</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lassification">
    <vt:lpwstr> </vt:lpwstr>
  </property>
</Properties>
</file>