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57" w:rsidRDefault="00435298">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F9038A5C8D472B8251A602583116E3" style="width:449.4pt;height:434.5pt">
            <v:imagedata r:id="rId9" o:title=""/>
          </v:shape>
        </w:pict>
      </w:r>
      <w:bookmarkEnd w:id="1"/>
    </w:p>
    <w:bookmarkEnd w:id="0"/>
    <w:p w:rsidR="00A80E57" w:rsidRDefault="00A80E57">
      <w:pPr>
        <w:rPr>
          <w:noProof/>
        </w:rPr>
        <w:sectPr w:rsidR="00A80E5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A80E57" w:rsidRDefault="00435298">
      <w:pPr>
        <w:spacing w:after="480"/>
        <w:jc w:val="center"/>
        <w:outlineLvl w:val="0"/>
        <w:rPr>
          <w:rFonts w:ascii="Times New Roman" w:hAnsi="Times New Roman"/>
          <w:b/>
          <w:i/>
          <w:noProof/>
          <w:sz w:val="20"/>
          <w:szCs w:val="20"/>
          <w:highlight w:val="yellow"/>
          <w:u w:val="single"/>
        </w:rPr>
      </w:pPr>
      <w:r>
        <w:rPr>
          <w:rFonts w:ascii="Times New Roman" w:hAnsi="Times New Roman"/>
          <w:b/>
          <w:noProof/>
          <w:sz w:val="28"/>
          <w:u w:val="single"/>
        </w:rPr>
        <w:lastRenderedPageBreak/>
        <w:t>Annexe I: nouvelles initiatives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11"/>
        <w:gridCol w:w="3541"/>
        <w:gridCol w:w="10068"/>
      </w:tblGrid>
      <w:tr w:rsidR="00A80E57">
        <w:trPr>
          <w:cantSplit/>
          <w:tblHeader/>
        </w:trPr>
        <w:tc>
          <w:tcPr>
            <w:tcW w:w="181" w:type="pct"/>
            <w:tcBorders>
              <w:bottom w:val="single" w:sz="4" w:space="0" w:color="auto"/>
            </w:tcBorders>
            <w:shd w:val="clear" w:color="auto" w:fill="99CCFF"/>
            <w:vAlign w:val="center"/>
          </w:tcPr>
          <w:p w:rsidR="00A80E57" w:rsidRDefault="00435298">
            <w:pPr>
              <w:spacing w:after="0"/>
              <w:jc w:val="center"/>
              <w:rPr>
                <w:rFonts w:ascii="Times New Roman" w:hAnsi="Times New Roman"/>
                <w:b/>
                <w:noProof/>
                <w:sz w:val="20"/>
                <w:szCs w:val="20"/>
              </w:rPr>
            </w:pPr>
            <w:r>
              <w:rPr>
                <w:rFonts w:ascii="Times New Roman" w:hAnsi="Times New Roman"/>
                <w:b/>
                <w:noProof/>
                <w:sz w:val="20"/>
              </w:rPr>
              <w:t>Nº</w:t>
            </w:r>
          </w:p>
        </w:tc>
        <w:tc>
          <w:tcPr>
            <w:tcW w:w="1254" w:type="pct"/>
            <w:tcBorders>
              <w:bottom w:val="single" w:sz="4" w:space="0" w:color="auto"/>
            </w:tcBorders>
            <w:shd w:val="clear" w:color="auto" w:fill="99CCFF"/>
            <w:vAlign w:val="center"/>
          </w:tcPr>
          <w:p w:rsidR="00A80E57" w:rsidRDefault="00435298">
            <w:pPr>
              <w:spacing w:after="0"/>
              <w:jc w:val="center"/>
              <w:rPr>
                <w:rFonts w:ascii="Times New Roman" w:hAnsi="Times New Roman"/>
                <w:b/>
                <w:noProof/>
                <w:sz w:val="20"/>
                <w:szCs w:val="20"/>
              </w:rPr>
            </w:pPr>
            <w:r>
              <w:rPr>
                <w:rFonts w:ascii="Times New Roman" w:hAnsi="Times New Roman"/>
                <w:b/>
                <w:noProof/>
                <w:sz w:val="20"/>
              </w:rPr>
              <w:t>Intitulé</w:t>
            </w:r>
          </w:p>
        </w:tc>
        <w:tc>
          <w:tcPr>
            <w:tcW w:w="3565" w:type="pct"/>
            <w:tcBorders>
              <w:bottom w:val="single" w:sz="4" w:space="0" w:color="auto"/>
            </w:tcBorders>
            <w:shd w:val="clear" w:color="auto" w:fill="99CCFF"/>
            <w:vAlign w:val="center"/>
          </w:tcPr>
          <w:p w:rsidR="00A80E57" w:rsidRDefault="00435298">
            <w:pPr>
              <w:spacing w:after="0"/>
              <w:jc w:val="center"/>
              <w:rPr>
                <w:rFonts w:ascii="Times New Roman" w:hAnsi="Times New Roman"/>
                <w:b/>
                <w:noProof/>
                <w:sz w:val="20"/>
                <w:szCs w:val="20"/>
              </w:rPr>
            </w:pPr>
            <w:r>
              <w:rPr>
                <w:rFonts w:ascii="Times New Roman" w:hAnsi="Times New Roman"/>
                <w:b/>
                <w:noProof/>
                <w:sz w:val="20"/>
              </w:rPr>
              <w:t>Description</w:t>
            </w:r>
            <w:r>
              <w:rPr>
                <w:rStyle w:val="FootnoteReference"/>
                <w:rFonts w:ascii="Times New Roman" w:hAnsi="Times New Roman"/>
                <w:b/>
                <w:noProof/>
                <w:sz w:val="20"/>
              </w:rPr>
              <w:footnoteReference w:id="2"/>
            </w:r>
          </w:p>
        </w:tc>
      </w:tr>
      <w:tr w:rsidR="00A80E57">
        <w:trPr>
          <w:cantSplit/>
        </w:trPr>
        <w:tc>
          <w:tcPr>
            <w:tcW w:w="5000" w:type="pct"/>
            <w:gridSpan w:val="3"/>
            <w:tcBorders>
              <w:top w:val="single" w:sz="4" w:space="0" w:color="auto"/>
              <w:left w:val="single" w:sz="4" w:space="0" w:color="auto"/>
              <w:bottom w:val="single" w:sz="4" w:space="0" w:color="auto"/>
            </w:tcBorders>
            <w:shd w:val="clear" w:color="auto" w:fill="F2F2F2" w:themeFill="background1" w:themeFillShade="F2"/>
          </w:tcPr>
          <w:p w:rsidR="00A80E57" w:rsidRDefault="00435298">
            <w:pPr>
              <w:spacing w:before="60" w:after="60"/>
              <w:rPr>
                <w:rFonts w:ascii="Times New Roman" w:hAnsi="Times New Roman"/>
                <w:b/>
                <w:noProof/>
                <w:sz w:val="20"/>
                <w:szCs w:val="20"/>
              </w:rPr>
            </w:pPr>
            <w:r>
              <w:rPr>
                <w:rFonts w:ascii="Times New Roman" w:hAnsi="Times New Roman"/>
                <w:b/>
                <w:noProof/>
                <w:sz w:val="20"/>
              </w:rPr>
              <w:t xml:space="preserve">Un nouvel élan pour l’emploi, la </w:t>
            </w:r>
            <w:r>
              <w:rPr>
                <w:rFonts w:ascii="Times New Roman" w:hAnsi="Times New Roman"/>
                <w:b/>
                <w:noProof/>
                <w:sz w:val="20"/>
              </w:rPr>
              <w:t>croissance et l’investissement</w:t>
            </w:r>
          </w:p>
        </w:tc>
      </w:tr>
      <w:tr w:rsidR="00A80E57">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A80E57" w:rsidRDefault="00435298">
            <w:pPr>
              <w:spacing w:after="0"/>
              <w:rPr>
                <w:rFonts w:ascii="Times New Roman" w:hAnsi="Times New Roman"/>
                <w:b/>
                <w:noProof/>
                <w:sz w:val="20"/>
                <w:szCs w:val="20"/>
              </w:rPr>
            </w:pPr>
            <w:r>
              <w:rPr>
                <w:rFonts w:ascii="Times New Roman" w:hAnsi="Times New Roman"/>
                <w:b/>
                <w:noProof/>
                <w:sz w:val="20"/>
              </w:rPr>
              <w:t>Initiative pour la jeunesse</w:t>
            </w:r>
          </w:p>
          <w:p w:rsidR="00A80E57" w:rsidRDefault="00A80E57">
            <w:pPr>
              <w:spacing w:after="0"/>
              <w:rPr>
                <w:rFonts w:ascii="Times New Roman" w:hAnsi="Times New Roman"/>
                <w:b/>
                <w:noProof/>
                <w:sz w:val="20"/>
                <w:szCs w:val="20"/>
              </w:rPr>
            </w:pPr>
          </w:p>
        </w:tc>
        <w:tc>
          <w:tcPr>
            <w:tcW w:w="3565" w:type="pct"/>
            <w:tcBorders>
              <w:top w:val="single" w:sz="4" w:space="0" w:color="auto"/>
              <w:left w:val="single" w:sz="4" w:space="0" w:color="auto"/>
              <w:bottom w:val="single" w:sz="4" w:space="0" w:color="auto"/>
            </w:tcBorders>
          </w:tcPr>
          <w:p w:rsidR="00A80E57" w:rsidRDefault="00435298">
            <w:pPr>
              <w:spacing w:after="0"/>
              <w:jc w:val="both"/>
              <w:rPr>
                <w:rFonts w:ascii="Times New Roman" w:hAnsi="Times New Roman"/>
                <w:b/>
                <w:noProof/>
                <w:sz w:val="20"/>
                <w:szCs w:val="20"/>
              </w:rPr>
            </w:pPr>
            <w:r>
              <w:rPr>
                <w:rFonts w:ascii="Times New Roman" w:hAnsi="Times New Roman"/>
                <w:b/>
                <w:noProof/>
                <w:sz w:val="20"/>
              </w:rPr>
              <w:t>L’initiative comprend une proposition relative à la création d’un corps européen de solidarité</w:t>
            </w:r>
            <w:r>
              <w:rPr>
                <w:rFonts w:ascii="Times New Roman" w:hAnsi="Times New Roman"/>
                <w:noProof/>
                <w:sz w:val="20"/>
              </w:rPr>
              <w:t xml:space="preserve"> (initiative législative/non législative) </w:t>
            </w:r>
            <w:r>
              <w:rPr>
                <w:rFonts w:ascii="Times New Roman" w:hAnsi="Times New Roman"/>
                <w:b/>
                <w:noProof/>
                <w:sz w:val="20"/>
              </w:rPr>
              <w:t xml:space="preserve">et des mesures prioritaires destinées à mettre en œuvre </w:t>
            </w:r>
            <w:r>
              <w:rPr>
                <w:rFonts w:ascii="Times New Roman" w:hAnsi="Times New Roman"/>
                <w:b/>
                <w:noProof/>
                <w:sz w:val="20"/>
              </w:rPr>
              <w:t>les aspects «jeunesse» de la stratégie pour les compétences, y compris un cadre de qualité pour les apprentissages et une proposition visant à accroître la mobilité des apprentis</w:t>
            </w:r>
            <w:r>
              <w:rPr>
                <w:rFonts w:ascii="Times New Roman" w:hAnsi="Times New Roman"/>
                <w:noProof/>
                <w:sz w:val="20"/>
              </w:rPr>
              <w:t xml:space="preserve"> (initiative législative)</w:t>
            </w:r>
            <w:r>
              <w:rPr>
                <w:rFonts w:ascii="Times New Roman" w:hAnsi="Times New Roman"/>
                <w:b/>
                <w:noProof/>
                <w:sz w:val="20"/>
              </w:rPr>
              <w:t>, la modernisation de l’enseignement scolaire et supé</w:t>
            </w:r>
            <w:r>
              <w:rPr>
                <w:rFonts w:ascii="Times New Roman" w:hAnsi="Times New Roman"/>
                <w:b/>
                <w:noProof/>
                <w:sz w:val="20"/>
              </w:rPr>
              <w:t>rieur</w:t>
            </w:r>
            <w:r>
              <w:rPr>
                <w:rFonts w:ascii="Times New Roman" w:hAnsi="Times New Roman"/>
                <w:noProof/>
                <w:sz w:val="20"/>
              </w:rPr>
              <w:t xml:space="preserve"> (initiative non législative; T2/2017)</w:t>
            </w:r>
            <w:r>
              <w:rPr>
                <w:rFonts w:ascii="Times New Roman" w:hAnsi="Times New Roman"/>
                <w:b/>
                <w:noProof/>
                <w:sz w:val="20"/>
              </w:rPr>
              <w:t xml:space="preserve">, ainsi qu’une proposition tendant à améliorer le suivi de la situation des diplômés de l’enseignement supérieur, mais aussi des jeunes issus de l’enseignement et la formation professionnels </w:t>
            </w:r>
            <w:r>
              <w:rPr>
                <w:rFonts w:ascii="Times New Roman" w:hAnsi="Times New Roman"/>
                <w:noProof/>
                <w:sz w:val="20"/>
              </w:rPr>
              <w:t xml:space="preserve">(initiative non </w:t>
            </w:r>
            <w:r>
              <w:rPr>
                <w:rFonts w:ascii="Times New Roman" w:hAnsi="Times New Roman"/>
                <w:noProof/>
                <w:sz w:val="20"/>
              </w:rPr>
              <w:t>législative; T2/2017)</w:t>
            </w:r>
            <w:r>
              <w:rPr>
                <w:rFonts w:ascii="Times New Roman" w:hAnsi="Times New Roman"/>
                <w:b/>
                <w:noProof/>
                <w:sz w:val="20"/>
              </w:rPr>
              <w:t>.</w:t>
            </w:r>
          </w:p>
        </w:tc>
      </w:tr>
      <w:tr w:rsidR="00A80E57">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A80E57" w:rsidRDefault="00435298">
            <w:pPr>
              <w:spacing w:after="0"/>
              <w:rPr>
                <w:rFonts w:ascii="Times New Roman" w:hAnsi="Times New Roman"/>
                <w:b/>
                <w:noProof/>
                <w:sz w:val="20"/>
                <w:szCs w:val="20"/>
              </w:rPr>
            </w:pPr>
            <w:r>
              <w:rPr>
                <w:rFonts w:ascii="Times New Roman" w:hAnsi="Times New Roman"/>
                <w:b/>
                <w:noProof/>
                <w:sz w:val="20"/>
              </w:rPr>
              <w:t>Mise en œuvre du plan d’action en faveur de l’économie circulaire</w:t>
            </w:r>
          </w:p>
        </w:tc>
        <w:tc>
          <w:tcPr>
            <w:tcW w:w="3565" w:type="pct"/>
            <w:tcBorders>
              <w:top w:val="single" w:sz="4" w:space="0" w:color="auto"/>
              <w:left w:val="single" w:sz="4" w:space="0" w:color="auto"/>
              <w:bottom w:val="single" w:sz="4" w:space="0" w:color="auto"/>
            </w:tcBorders>
          </w:tcPr>
          <w:p w:rsidR="00A80E57" w:rsidRDefault="00435298">
            <w:pPr>
              <w:spacing w:after="0"/>
              <w:jc w:val="both"/>
              <w:rPr>
                <w:rFonts w:ascii="Times New Roman" w:hAnsi="Times New Roman"/>
                <w:b/>
                <w:noProof/>
                <w:sz w:val="20"/>
                <w:szCs w:val="20"/>
              </w:rPr>
            </w:pPr>
            <w:r>
              <w:rPr>
                <w:rFonts w:ascii="Times New Roman" w:hAnsi="Times New Roman"/>
                <w:b/>
                <w:noProof/>
                <w:sz w:val="20"/>
              </w:rPr>
              <w:t>L’initiative comprend une stratégie concernant l’utilisation, la réutilisation et le recyclage des matières plastiques</w:t>
            </w:r>
            <w:r>
              <w:rPr>
                <w:noProof/>
              </w:rPr>
              <w:t xml:space="preserve"> </w:t>
            </w:r>
            <w:r>
              <w:rPr>
                <w:rFonts w:ascii="Times New Roman" w:hAnsi="Times New Roman"/>
                <w:noProof/>
                <w:sz w:val="20"/>
              </w:rPr>
              <w:t>(initiative non législative; T4/2017)</w:t>
            </w:r>
            <w:r>
              <w:rPr>
                <w:rFonts w:ascii="Times New Roman" w:hAnsi="Times New Roman"/>
                <w:b/>
                <w:noProof/>
                <w:sz w:val="20"/>
              </w:rPr>
              <w:t>, des mes</w:t>
            </w:r>
            <w:r>
              <w:rPr>
                <w:rFonts w:ascii="Times New Roman" w:hAnsi="Times New Roman"/>
                <w:b/>
                <w:noProof/>
                <w:sz w:val="20"/>
              </w:rPr>
              <w:t xml:space="preserve">ures relatives à l’eau: une proposition de règlement fixant des exigences minimales de qualité applicables à l’eau réutilisée </w:t>
            </w:r>
            <w:r>
              <w:rPr>
                <w:rFonts w:ascii="Times New Roman" w:hAnsi="Times New Roman"/>
                <w:noProof/>
                <w:sz w:val="20"/>
              </w:rPr>
              <w:t>(incluant une analyse d’impact; article 192 du TFUE; T2/2017)</w:t>
            </w:r>
            <w:r>
              <w:rPr>
                <w:rFonts w:ascii="Times New Roman" w:hAnsi="Times New Roman"/>
                <w:b/>
                <w:noProof/>
                <w:sz w:val="20"/>
              </w:rPr>
              <w:t>,</w:t>
            </w:r>
            <w:r>
              <w:rPr>
                <w:rFonts w:ascii="Times New Roman" w:hAnsi="Times New Roman"/>
                <w:noProof/>
                <w:sz w:val="20"/>
              </w:rPr>
              <w:t xml:space="preserve"> </w:t>
            </w:r>
            <w:r>
              <w:rPr>
                <w:rFonts w:ascii="Times New Roman" w:hAnsi="Times New Roman"/>
                <w:b/>
                <w:noProof/>
                <w:sz w:val="20"/>
              </w:rPr>
              <w:t>une révision, au titre du programme REFIT, de la directive relative</w:t>
            </w:r>
            <w:r>
              <w:rPr>
                <w:rFonts w:ascii="Times New Roman" w:hAnsi="Times New Roman"/>
                <w:b/>
                <w:noProof/>
                <w:sz w:val="20"/>
              </w:rPr>
              <w:t xml:space="preserve"> à l’eau potable</w:t>
            </w:r>
            <w:r>
              <w:rPr>
                <w:rFonts w:ascii="Times New Roman" w:hAnsi="Times New Roman"/>
                <w:noProof/>
                <w:sz w:val="20"/>
              </w:rPr>
              <w:t xml:space="preserve"> (incluant une analyse d’impact; article 192, paragraphe 1, du TFUE; T4/2017)</w:t>
            </w:r>
            <w:r>
              <w:rPr>
                <w:rFonts w:ascii="Times New Roman" w:hAnsi="Times New Roman"/>
                <w:b/>
                <w:noProof/>
                <w:sz w:val="20"/>
              </w:rPr>
              <w:t>, une initiative visant à lever les obstacles juridiques, techniques ou pratiques se situant à l’interface entre les législations sur les substances chimiques, sur</w:t>
            </w:r>
            <w:r>
              <w:rPr>
                <w:rFonts w:ascii="Times New Roman" w:hAnsi="Times New Roman"/>
                <w:b/>
                <w:noProof/>
                <w:sz w:val="20"/>
              </w:rPr>
              <w:t xml:space="preserve"> les produits et sur les déchets</w:t>
            </w:r>
            <w:r>
              <w:rPr>
                <w:rFonts w:ascii="Times New Roman" w:hAnsi="Times New Roman"/>
                <w:noProof/>
                <w:sz w:val="20"/>
              </w:rPr>
              <w:t xml:space="preserve"> (initiative non législative; T4/2017)</w:t>
            </w:r>
            <w:r>
              <w:rPr>
                <w:rFonts w:ascii="Times New Roman" w:hAnsi="Times New Roman"/>
                <w:b/>
                <w:noProof/>
                <w:sz w:val="20"/>
              </w:rPr>
              <w:t>, ainsi qu’un cadre de suivi afférent à l’économie circulaire</w:t>
            </w:r>
            <w:r>
              <w:rPr>
                <w:rFonts w:ascii="Times New Roman" w:hAnsi="Times New Roman"/>
                <w:noProof/>
                <w:sz w:val="20"/>
              </w:rPr>
              <w:t xml:space="preserve"> (initiative non législative; T3/2017)</w:t>
            </w:r>
            <w:r>
              <w:rPr>
                <w:rFonts w:ascii="Times New Roman" w:hAnsi="Times New Roman"/>
                <w:b/>
                <w:noProof/>
                <w:sz w:val="20"/>
              </w:rPr>
              <w:t>.</w:t>
            </w:r>
          </w:p>
        </w:tc>
      </w:tr>
      <w:tr w:rsidR="00A80E57">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A80E57" w:rsidRDefault="00435298">
            <w:pPr>
              <w:spacing w:after="0"/>
              <w:rPr>
                <w:rFonts w:ascii="Times New Roman" w:hAnsi="Times New Roman"/>
                <w:b/>
                <w:noProof/>
                <w:sz w:val="20"/>
                <w:szCs w:val="20"/>
              </w:rPr>
            </w:pPr>
            <w:r>
              <w:rPr>
                <w:rFonts w:ascii="Times New Roman" w:hAnsi="Times New Roman"/>
                <w:b/>
                <w:noProof/>
                <w:sz w:val="20"/>
              </w:rPr>
              <w:t>Cadre financier au-delà de 2020</w:t>
            </w:r>
          </w:p>
        </w:tc>
        <w:tc>
          <w:tcPr>
            <w:tcW w:w="3565" w:type="pct"/>
            <w:tcBorders>
              <w:top w:val="single" w:sz="4" w:space="0" w:color="auto"/>
              <w:left w:val="single" w:sz="4" w:space="0" w:color="auto"/>
              <w:bottom w:val="single" w:sz="4" w:space="0" w:color="auto"/>
            </w:tcBorders>
          </w:tcPr>
          <w:p w:rsidR="00A80E57" w:rsidRDefault="00435298">
            <w:pPr>
              <w:spacing w:after="0"/>
              <w:jc w:val="both"/>
              <w:rPr>
                <w:rFonts w:ascii="Times New Roman" w:hAnsi="Times New Roman"/>
                <w:b/>
                <w:noProof/>
                <w:sz w:val="20"/>
                <w:szCs w:val="20"/>
              </w:rPr>
            </w:pPr>
            <w:r>
              <w:rPr>
                <w:rFonts w:ascii="Times New Roman" w:hAnsi="Times New Roman"/>
                <w:b/>
                <w:noProof/>
                <w:sz w:val="20"/>
              </w:rPr>
              <w:t>Proposition globale en vue du prochain cadre financ</w:t>
            </w:r>
            <w:r>
              <w:rPr>
                <w:rFonts w:ascii="Times New Roman" w:hAnsi="Times New Roman"/>
                <w:b/>
                <w:noProof/>
                <w:sz w:val="20"/>
              </w:rPr>
              <w:t>ier pluriannuel, y compris en ce qui concerne les ressources propres</w:t>
            </w:r>
            <w:r>
              <w:rPr>
                <w:rFonts w:ascii="Times New Roman" w:hAnsi="Times New Roman"/>
                <w:noProof/>
                <w:sz w:val="20"/>
              </w:rPr>
              <w:t xml:space="preserve"> (initiative législative/non législative; article 312 du TFUE)</w:t>
            </w:r>
            <w:r>
              <w:rPr>
                <w:rFonts w:ascii="Times New Roman" w:hAnsi="Times New Roman"/>
                <w:b/>
                <w:noProof/>
                <w:sz w:val="20"/>
              </w:rPr>
              <w:t>.</w:t>
            </w:r>
          </w:p>
        </w:tc>
      </w:tr>
      <w:tr w:rsidR="00A80E57">
        <w:trPr>
          <w:cantSplit/>
        </w:trPr>
        <w:tc>
          <w:tcPr>
            <w:tcW w:w="5000" w:type="pct"/>
            <w:gridSpan w:val="3"/>
            <w:shd w:val="clear" w:color="auto" w:fill="F2F2F2" w:themeFill="background1" w:themeFillShade="F2"/>
          </w:tcPr>
          <w:p w:rsidR="00A80E57" w:rsidRDefault="00435298">
            <w:pPr>
              <w:spacing w:before="60" w:after="60"/>
              <w:rPr>
                <w:rFonts w:ascii="Times New Roman" w:hAnsi="Times New Roman"/>
                <w:noProof/>
                <w:sz w:val="20"/>
                <w:szCs w:val="20"/>
              </w:rPr>
            </w:pPr>
            <w:r>
              <w:rPr>
                <w:rFonts w:ascii="Times New Roman" w:hAnsi="Times New Roman"/>
                <w:b/>
                <w:noProof/>
                <w:sz w:val="20"/>
              </w:rPr>
              <w:t>Un marché unique du numérique connecté</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Mise en œuvre de la stratégie pour un marché unique numérique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Examen à mi-parcours</w:t>
            </w:r>
            <w:r>
              <w:rPr>
                <w:rFonts w:ascii="Times New Roman" w:hAnsi="Times New Roman"/>
                <w:b/>
                <w:noProof/>
                <w:sz w:val="20"/>
              </w:rPr>
              <w:t xml:space="preserve"> de la mise en œuvre de la stratégie pour un marché unique numérique.</w:t>
            </w:r>
          </w:p>
        </w:tc>
      </w:tr>
      <w:tr w:rsidR="00A80E57">
        <w:trPr>
          <w:cantSplit/>
        </w:trPr>
        <w:tc>
          <w:tcPr>
            <w:tcW w:w="5000" w:type="pct"/>
            <w:gridSpan w:val="3"/>
            <w:shd w:val="clear" w:color="auto" w:fill="F2F2F2" w:themeFill="background1" w:themeFillShade="F2"/>
          </w:tcPr>
          <w:p w:rsidR="00A80E57" w:rsidRDefault="00435298">
            <w:pPr>
              <w:keepNext/>
              <w:spacing w:before="60" w:after="60"/>
              <w:rPr>
                <w:rFonts w:ascii="Times New Roman" w:hAnsi="Times New Roman"/>
                <w:noProof/>
                <w:sz w:val="20"/>
                <w:szCs w:val="20"/>
              </w:rPr>
            </w:pPr>
            <w:r>
              <w:rPr>
                <w:rFonts w:ascii="Times New Roman" w:hAnsi="Times New Roman"/>
                <w:b/>
                <w:noProof/>
                <w:sz w:val="20"/>
              </w:rPr>
              <w:t>Une Union plus résiliente sur le plan de l’énergie, dotée d’une politique visionnaire en matière de changement climatique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 xml:space="preserve">Mise en œuvre de la stratégie pour l’union de l’énergie: </w:t>
            </w:r>
            <w:r>
              <w:rPr>
                <w:rFonts w:ascii="Times New Roman" w:hAnsi="Times New Roman"/>
                <w:b/>
                <w:noProof/>
                <w:sz w:val="20"/>
              </w:rPr>
              <w:t>déplacements et mobilité à faible taux d’émissions</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 xml:space="preserve">Révision, au titre du programme REFIT, de plusieurs textes législatifs importants mis en évidence dans le plan d’action pour une mobilité à faible taux d’émissions: les stratégies post-2020 pour les </w:t>
            </w:r>
            <w:r>
              <w:rPr>
                <w:rFonts w:ascii="Times New Roman" w:hAnsi="Times New Roman"/>
                <w:b/>
                <w:noProof/>
                <w:sz w:val="20"/>
              </w:rPr>
              <w:t>voitures/camionnettes et pour les camions, les autobus et les autocars</w:t>
            </w:r>
            <w:r>
              <w:rPr>
                <w:noProof/>
              </w:rPr>
              <w:t xml:space="preserve"> </w:t>
            </w:r>
            <w:r>
              <w:rPr>
                <w:rFonts w:ascii="Times New Roman" w:hAnsi="Times New Roman"/>
                <w:noProof/>
                <w:sz w:val="20"/>
              </w:rPr>
              <w:t>(initiative législative, incluant une analyse d’impact; T2/2017)</w:t>
            </w:r>
            <w:r>
              <w:rPr>
                <w:rFonts w:ascii="Times New Roman" w:hAnsi="Times New Roman"/>
                <w:b/>
                <w:noProof/>
                <w:sz w:val="20"/>
              </w:rPr>
              <w:t>, la directive sur les véhicules propres</w:t>
            </w:r>
            <w:r>
              <w:rPr>
                <w:rFonts w:ascii="Times New Roman" w:hAnsi="Times New Roman"/>
                <w:noProof/>
                <w:sz w:val="20"/>
              </w:rPr>
              <w:t xml:space="preserve"> (incluant une analyse d’impact; article 192 du TFUE; T2/2017)</w:t>
            </w:r>
            <w:r>
              <w:rPr>
                <w:rFonts w:ascii="Times New Roman" w:hAnsi="Times New Roman"/>
                <w:b/>
                <w:noProof/>
                <w:sz w:val="20"/>
              </w:rPr>
              <w:t>, ainsi que la dire</w:t>
            </w:r>
            <w:r>
              <w:rPr>
                <w:rFonts w:ascii="Times New Roman" w:hAnsi="Times New Roman"/>
                <w:b/>
                <w:noProof/>
                <w:sz w:val="20"/>
              </w:rPr>
              <w:t>ctive «Eurovignette» et la directive relative au service européen de télépéage (SET)</w:t>
            </w:r>
            <w:r>
              <w:rPr>
                <w:rFonts w:ascii="Times New Roman" w:hAnsi="Times New Roman"/>
                <w:noProof/>
                <w:sz w:val="20"/>
              </w:rPr>
              <w:t xml:space="preserve"> (incluant une analyse d’impact; article 91 du TFUE; T2/2017)</w:t>
            </w:r>
            <w:r>
              <w:rPr>
                <w:rFonts w:ascii="Times New Roman" w:hAnsi="Times New Roman"/>
                <w:b/>
                <w:noProof/>
                <w:sz w:val="20"/>
              </w:rPr>
              <w:t>. Cette initiative comprend la mise en œuvre de l’accord international sur les émissions des aéronefs (OACI)</w:t>
            </w:r>
            <w:r>
              <w:rPr>
                <w:rFonts w:ascii="Times New Roman" w:hAnsi="Times New Roman"/>
                <w:noProof/>
                <w:sz w:val="20"/>
              </w:rPr>
              <w:t xml:space="preserve"> (i</w:t>
            </w:r>
            <w:r>
              <w:rPr>
                <w:rFonts w:ascii="Times New Roman" w:hAnsi="Times New Roman"/>
                <w:noProof/>
                <w:sz w:val="20"/>
              </w:rPr>
              <w:t>nitiative législative, incluant une analyse d’impact; article 192 du TFUE; T1/2017)</w:t>
            </w:r>
            <w:r>
              <w:rPr>
                <w:rFonts w:ascii="Times New Roman" w:hAnsi="Times New Roman"/>
                <w:b/>
                <w:noProof/>
                <w:sz w:val="20"/>
              </w:rPr>
              <w:t>.</w:t>
            </w:r>
          </w:p>
        </w:tc>
      </w:tr>
      <w:tr w:rsidR="00A80E57">
        <w:trPr>
          <w:cantSplit/>
        </w:trPr>
        <w:tc>
          <w:tcPr>
            <w:tcW w:w="5000" w:type="pct"/>
            <w:gridSpan w:val="3"/>
            <w:shd w:val="clear" w:color="auto" w:fill="F2F2F2" w:themeFill="background1" w:themeFillShade="F2"/>
          </w:tcPr>
          <w:p w:rsidR="00A80E57" w:rsidRDefault="00435298">
            <w:pPr>
              <w:spacing w:before="60" w:after="60"/>
              <w:rPr>
                <w:rFonts w:ascii="Times New Roman" w:hAnsi="Times New Roman"/>
                <w:noProof/>
                <w:sz w:val="20"/>
                <w:szCs w:val="20"/>
              </w:rPr>
            </w:pPr>
            <w:r>
              <w:rPr>
                <w:rFonts w:ascii="Times New Roman" w:hAnsi="Times New Roman"/>
                <w:b/>
                <w:noProof/>
                <w:sz w:val="20"/>
              </w:rPr>
              <w:t>Un marché intérieur plus approfondi et plus équitable, doté d’une base industrielle renforcée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Mise en œuvre de la stratégie pour le marché unique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 xml:space="preserve">Les actions à mener </w:t>
            </w:r>
            <w:r>
              <w:rPr>
                <w:rFonts w:ascii="Times New Roman" w:hAnsi="Times New Roman"/>
                <w:b/>
                <w:noProof/>
                <w:sz w:val="20"/>
              </w:rPr>
              <w:t>incluront une révision, au titre du programme REFIT, de la législation sur les marchandises</w:t>
            </w:r>
            <w:r>
              <w:rPr>
                <w:rFonts w:ascii="Times New Roman" w:hAnsi="Times New Roman"/>
                <w:noProof/>
                <w:sz w:val="20"/>
              </w:rPr>
              <w:t xml:space="preserve"> (initiative législative/non législative, incluant une analyse d’impact; articles 43, 114 et 207 du TFUE; T2/2017)</w:t>
            </w:r>
            <w:r>
              <w:rPr>
                <w:rFonts w:ascii="Times New Roman" w:hAnsi="Times New Roman"/>
                <w:b/>
                <w:noProof/>
                <w:sz w:val="20"/>
              </w:rPr>
              <w:t xml:space="preserve">, une initiative en matière de droit des sociétés </w:t>
            </w:r>
            <w:r>
              <w:rPr>
                <w:rFonts w:ascii="Times New Roman" w:hAnsi="Times New Roman"/>
                <w:b/>
                <w:noProof/>
                <w:sz w:val="20"/>
              </w:rPr>
              <w:t>visant à faciliter l’utilisation des technologies numériques tout au long du cycle de vie d’une entreprise ainsi que les fusions et scissions transfrontalières</w:t>
            </w:r>
            <w:r>
              <w:rPr>
                <w:rFonts w:ascii="Times New Roman" w:hAnsi="Times New Roman"/>
                <w:noProof/>
                <w:sz w:val="20"/>
              </w:rPr>
              <w:t xml:space="preserve"> (initiative législative, incluant une analyse d’impact; T3-4/2017)</w:t>
            </w:r>
            <w:r>
              <w:rPr>
                <w:rFonts w:ascii="Times New Roman" w:hAnsi="Times New Roman"/>
                <w:b/>
                <w:noProof/>
                <w:sz w:val="20"/>
              </w:rPr>
              <w:t>, une initiative sur les évalu</w:t>
            </w:r>
            <w:r>
              <w:rPr>
                <w:rFonts w:ascii="Times New Roman" w:hAnsi="Times New Roman"/>
                <w:b/>
                <w:noProof/>
                <w:sz w:val="20"/>
              </w:rPr>
              <w:t>ations coordonnées des technologies de la santé</w:t>
            </w:r>
            <w:r>
              <w:rPr>
                <w:rFonts w:ascii="Times New Roman" w:hAnsi="Times New Roman"/>
                <w:noProof/>
                <w:sz w:val="20"/>
              </w:rPr>
              <w:t xml:space="preserve"> (initiative législative/non législative, incluant une analyse d’impact; T4/2017)</w:t>
            </w:r>
            <w:r>
              <w:rPr>
                <w:rFonts w:ascii="Times New Roman" w:hAnsi="Times New Roman"/>
                <w:b/>
                <w:noProof/>
                <w:sz w:val="20"/>
              </w:rPr>
              <w:t>, des mesures pour une meilleure application des règles du marché unique, s’inscrivant dans le cadre d’un ensemble plus vaste de</w:t>
            </w:r>
            <w:r>
              <w:rPr>
                <w:rFonts w:ascii="Times New Roman" w:hAnsi="Times New Roman"/>
                <w:b/>
                <w:noProof/>
                <w:sz w:val="20"/>
              </w:rPr>
              <w:t xml:space="preserve"> mesures d’application et incluant des propositions en vue d’un portail numérique unique</w:t>
            </w:r>
            <w:r>
              <w:rPr>
                <w:rFonts w:ascii="Times New Roman" w:hAnsi="Times New Roman"/>
                <w:noProof/>
                <w:sz w:val="20"/>
              </w:rPr>
              <w:t xml:space="preserve"> (initiative législative/non législative, incluant une analyse d’impact; article 114 du TFUE; T1/2017) </w:t>
            </w:r>
            <w:r>
              <w:rPr>
                <w:rFonts w:ascii="Times New Roman" w:hAnsi="Times New Roman"/>
                <w:b/>
                <w:noProof/>
                <w:sz w:val="20"/>
              </w:rPr>
              <w:t>et d’un outil d’information sur le marché unique</w:t>
            </w:r>
            <w:r>
              <w:rPr>
                <w:rFonts w:ascii="Times New Roman" w:hAnsi="Times New Roman"/>
                <w:noProof/>
                <w:sz w:val="20"/>
              </w:rPr>
              <w:t xml:space="preserve"> (initiative légi</w:t>
            </w:r>
            <w:r>
              <w:rPr>
                <w:rFonts w:ascii="Times New Roman" w:hAnsi="Times New Roman"/>
                <w:noProof/>
                <w:sz w:val="20"/>
              </w:rPr>
              <w:t>slative, incluant une analyse d’impact; T1/2017)</w:t>
            </w:r>
            <w:r>
              <w:rPr>
                <w:rFonts w:ascii="Times New Roman" w:hAnsi="Times New Roman"/>
                <w:b/>
                <w:noProof/>
                <w:sz w:val="20"/>
              </w:rPr>
              <w:t>, la modernisation de SOLVIT</w:t>
            </w:r>
            <w:r>
              <w:rPr>
                <w:rFonts w:ascii="Times New Roman" w:hAnsi="Times New Roman"/>
                <w:noProof/>
                <w:sz w:val="20"/>
              </w:rPr>
              <w:t xml:space="preserve"> (initiative non législative; T1/2017) </w:t>
            </w:r>
            <w:r>
              <w:rPr>
                <w:rFonts w:ascii="Times New Roman" w:hAnsi="Times New Roman"/>
                <w:b/>
                <w:noProof/>
                <w:sz w:val="20"/>
              </w:rPr>
              <w:t>et des mesures donnant aux autorités nationales de la concurrence les moyens de mieux faire respecter les règles</w:t>
            </w:r>
            <w:r>
              <w:rPr>
                <w:rFonts w:ascii="Times New Roman" w:hAnsi="Times New Roman"/>
                <w:noProof/>
                <w:sz w:val="20"/>
              </w:rPr>
              <w:t xml:space="preserve"> (initiative législative/non </w:t>
            </w:r>
            <w:r>
              <w:rPr>
                <w:rFonts w:ascii="Times New Roman" w:hAnsi="Times New Roman"/>
                <w:noProof/>
                <w:sz w:val="20"/>
              </w:rPr>
              <w:t>législative, incluant une évaluation d’impact; T2/2017).</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Une fiscalité des entreprises plus équitable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L’initiative comprend la mise en œuvre du plan d’action sur la TVA au moyen de propositions REFIT relatives à un système de TVA définitif et aux taux de</w:t>
            </w:r>
            <w:r>
              <w:rPr>
                <w:rFonts w:ascii="Times New Roman" w:hAnsi="Times New Roman"/>
                <w:b/>
                <w:noProof/>
                <w:sz w:val="20"/>
              </w:rPr>
              <w:t xml:space="preserve"> TVA</w:t>
            </w:r>
            <w:r>
              <w:rPr>
                <w:noProof/>
              </w:rPr>
              <w:t xml:space="preserve"> </w:t>
            </w:r>
            <w:r>
              <w:rPr>
                <w:rFonts w:ascii="Times New Roman" w:hAnsi="Times New Roman"/>
                <w:noProof/>
                <w:sz w:val="20"/>
              </w:rPr>
              <w:t>(initiative législative, incluant une analyse d’impact; article 113 du TFUE; T3/2017)</w:t>
            </w:r>
            <w:r>
              <w:rPr>
                <w:rFonts w:ascii="Times New Roman" w:hAnsi="Times New Roman"/>
                <w:b/>
                <w:noProof/>
                <w:sz w:val="20"/>
              </w:rPr>
              <w:t>, d’une meilleure coopération administrative et d’un train de mesures de simplification visant à réduire la charge des entreprises et des administrations fiscales</w:t>
            </w:r>
            <w:r>
              <w:rPr>
                <w:rFonts w:ascii="Times New Roman" w:hAnsi="Times New Roman"/>
                <w:noProof/>
                <w:sz w:val="20"/>
              </w:rPr>
              <w:t xml:space="preserve"> (in</w:t>
            </w:r>
            <w:r>
              <w:rPr>
                <w:rFonts w:ascii="Times New Roman" w:hAnsi="Times New Roman"/>
                <w:noProof/>
                <w:sz w:val="20"/>
              </w:rPr>
              <w:t>itiative législative, incluant une analyse d’impact; article 113 du TFUE; T4/2017)</w:t>
            </w:r>
            <w:r>
              <w:rPr>
                <w:rFonts w:ascii="Times New Roman" w:hAnsi="Times New Roman"/>
                <w:b/>
                <w:noProof/>
                <w:sz w:val="20"/>
              </w:rPr>
              <w:t>, une proposition de liste de l’UE des juridictions de pays tiers qui ne respectent pas les normes de bonne gouvernance fiscale</w:t>
            </w:r>
            <w:r>
              <w:rPr>
                <w:rFonts w:ascii="Times New Roman" w:hAnsi="Times New Roman"/>
                <w:noProof/>
                <w:sz w:val="20"/>
              </w:rPr>
              <w:t xml:space="preserve"> (initiative non législative; T3/2017)</w:t>
            </w:r>
            <w:r>
              <w:rPr>
                <w:rFonts w:ascii="Times New Roman" w:hAnsi="Times New Roman"/>
                <w:b/>
                <w:noProof/>
                <w:sz w:val="20"/>
              </w:rPr>
              <w:t xml:space="preserve"> et la mi</w:t>
            </w:r>
            <w:r>
              <w:rPr>
                <w:rFonts w:ascii="Times New Roman" w:hAnsi="Times New Roman"/>
                <w:b/>
                <w:noProof/>
                <w:sz w:val="20"/>
              </w:rPr>
              <w:t>se en œuvre, dans la législation de l’UE, de l’accord international sur l’érosion de la base d’imposition et le transfert de bénéfices (BEPS)</w:t>
            </w:r>
            <w:r>
              <w:rPr>
                <w:rFonts w:ascii="Times New Roman" w:hAnsi="Times New Roman"/>
                <w:noProof/>
                <w:sz w:val="20"/>
              </w:rPr>
              <w:t xml:space="preserve"> (initiative législative/non législative, incluant une analyse d’impact; T2/2017)</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highlight w:val="yellow"/>
              </w:rPr>
            </w:pPr>
            <w:r>
              <w:rPr>
                <w:rFonts w:ascii="Times New Roman" w:hAnsi="Times New Roman"/>
                <w:b/>
                <w:noProof/>
                <w:sz w:val="20"/>
              </w:rPr>
              <w:t xml:space="preserve">Mise en œuvre de la stratégie </w:t>
            </w:r>
            <w:r>
              <w:rPr>
                <w:rFonts w:ascii="Times New Roman" w:hAnsi="Times New Roman"/>
                <w:b/>
                <w:noProof/>
                <w:sz w:val="20"/>
              </w:rPr>
              <w:t>spatiale pour l’Europe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Propositions législatives relatives aux services gouvernementaux de communication par satellite</w:t>
            </w:r>
            <w:r>
              <w:rPr>
                <w:noProof/>
              </w:rPr>
              <w:t xml:space="preserve"> </w:t>
            </w:r>
            <w:r>
              <w:rPr>
                <w:rFonts w:ascii="Times New Roman" w:hAnsi="Times New Roman"/>
                <w:noProof/>
                <w:sz w:val="20"/>
              </w:rPr>
              <w:t>(incluant une analyse d’impact; article 189 du TFUE; T4/2017)</w:t>
            </w:r>
            <w:r>
              <w:rPr>
                <w:rFonts w:ascii="Times New Roman" w:hAnsi="Times New Roman"/>
                <w:b/>
                <w:noProof/>
                <w:sz w:val="20"/>
              </w:rPr>
              <w:t xml:space="preserve"> et mesures visant à promouvoir l’utilisation par le marché des données et d</w:t>
            </w:r>
            <w:r>
              <w:rPr>
                <w:rFonts w:ascii="Times New Roman" w:hAnsi="Times New Roman"/>
                <w:b/>
                <w:noProof/>
                <w:sz w:val="20"/>
              </w:rPr>
              <w:t>es services spatiaux</w:t>
            </w:r>
            <w:r>
              <w:rPr>
                <w:rFonts w:ascii="Times New Roman" w:hAnsi="Times New Roman"/>
                <w:noProof/>
                <w:sz w:val="20"/>
              </w:rPr>
              <w:t xml:space="preserve"> (initiative législative/non législative)</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Mise en œuvre du plan d’action pour l’union des marchés des capitaux</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Un examen à mi-parcours</w:t>
            </w:r>
            <w:r>
              <w:rPr>
                <w:noProof/>
              </w:rPr>
              <w:t xml:space="preserve"> </w:t>
            </w:r>
            <w:r>
              <w:rPr>
                <w:rFonts w:ascii="Times New Roman" w:hAnsi="Times New Roman"/>
                <w:noProof/>
                <w:sz w:val="20"/>
              </w:rPr>
              <w:t xml:space="preserve">(initiative non législative; T2/2017) </w:t>
            </w:r>
            <w:r>
              <w:rPr>
                <w:rFonts w:ascii="Times New Roman" w:hAnsi="Times New Roman"/>
                <w:b/>
                <w:noProof/>
                <w:sz w:val="20"/>
              </w:rPr>
              <w:t>permettra de dresser le bilan des progrès réalisés dans la m</w:t>
            </w:r>
            <w:r>
              <w:rPr>
                <w:rFonts w:ascii="Times New Roman" w:hAnsi="Times New Roman"/>
                <w:b/>
                <w:noProof/>
                <w:sz w:val="20"/>
              </w:rPr>
              <w:t>ise en œuvre de l’union des marchés des capitaux et de définir les éventuelles mesures supplémentaires nécessaires pour améliorer le financement de l’économie. Les nouvelles mesures comprendront un cadre pour un produit européen d’épargne retraite individu</w:t>
            </w:r>
            <w:r>
              <w:rPr>
                <w:rFonts w:ascii="Times New Roman" w:hAnsi="Times New Roman"/>
                <w:b/>
                <w:noProof/>
                <w:sz w:val="20"/>
              </w:rPr>
              <w:t>elle</w:t>
            </w:r>
            <w:r>
              <w:rPr>
                <w:rFonts w:ascii="Times New Roman" w:hAnsi="Times New Roman"/>
                <w:noProof/>
                <w:sz w:val="20"/>
              </w:rPr>
              <w:t xml:space="preserve"> (initiative législative/non législative, incluant une analyse d’impact; article 114 du TFUE; T2/2017)</w:t>
            </w:r>
            <w:r>
              <w:rPr>
                <w:rFonts w:ascii="Times New Roman" w:hAnsi="Times New Roman"/>
                <w:b/>
                <w:noProof/>
                <w:sz w:val="20"/>
              </w:rPr>
              <w:t>, une révision, au titre du programme REFIT, du règlement relatif aux infrastructures de marché européennes (EMIR)</w:t>
            </w:r>
            <w:r>
              <w:rPr>
                <w:rFonts w:ascii="Times New Roman" w:hAnsi="Times New Roman"/>
                <w:noProof/>
                <w:sz w:val="20"/>
              </w:rPr>
              <w:t xml:space="preserve"> (incluant une analyse d’impact; art</w:t>
            </w:r>
            <w:r>
              <w:rPr>
                <w:rFonts w:ascii="Times New Roman" w:hAnsi="Times New Roman"/>
                <w:noProof/>
                <w:sz w:val="20"/>
              </w:rPr>
              <w:t>icle 114 du TFUE; T1/2017)</w:t>
            </w:r>
            <w:r>
              <w:rPr>
                <w:rFonts w:ascii="Times New Roman" w:hAnsi="Times New Roman"/>
                <w:b/>
                <w:noProof/>
                <w:sz w:val="20"/>
              </w:rPr>
              <w:t>, un plan d’action relatif aux services financiers de détail</w:t>
            </w:r>
            <w:r>
              <w:rPr>
                <w:rFonts w:ascii="Times New Roman" w:hAnsi="Times New Roman"/>
                <w:noProof/>
                <w:sz w:val="20"/>
              </w:rPr>
              <w:t xml:space="preserve"> (initiative non législative; T1/2017)</w:t>
            </w:r>
            <w:r>
              <w:rPr>
                <w:rFonts w:ascii="Times New Roman" w:hAnsi="Times New Roman"/>
                <w:b/>
                <w:noProof/>
                <w:sz w:val="20"/>
              </w:rPr>
              <w:t xml:space="preserve"> et des actes délégués supplémentaires pour faciliter le financement d’entreprises d’infrastructure par des investisseurs institutio</w:t>
            </w:r>
            <w:r>
              <w:rPr>
                <w:rFonts w:ascii="Times New Roman" w:hAnsi="Times New Roman"/>
                <w:b/>
                <w:noProof/>
                <w:sz w:val="20"/>
              </w:rPr>
              <w:t xml:space="preserve">nnels </w:t>
            </w:r>
            <w:r>
              <w:rPr>
                <w:rFonts w:ascii="Times New Roman" w:hAnsi="Times New Roman"/>
                <w:noProof/>
                <w:sz w:val="20"/>
              </w:rPr>
              <w:t>(incluant une analyse d’impact; T4/2016)</w:t>
            </w:r>
            <w:r>
              <w:rPr>
                <w:rFonts w:ascii="Times New Roman" w:hAnsi="Times New Roman"/>
                <w:b/>
                <w:noProof/>
                <w:sz w:val="20"/>
              </w:rPr>
              <w:t>.</w:t>
            </w:r>
          </w:p>
        </w:tc>
      </w:tr>
      <w:tr w:rsidR="00A80E57">
        <w:trPr>
          <w:cantSplit/>
        </w:trPr>
        <w:tc>
          <w:tcPr>
            <w:tcW w:w="5000" w:type="pct"/>
            <w:gridSpan w:val="3"/>
            <w:shd w:val="clear" w:color="auto" w:fill="F2F2F2" w:themeFill="background1" w:themeFillShade="F2"/>
          </w:tcPr>
          <w:p w:rsidR="00A80E57" w:rsidRDefault="00435298">
            <w:pPr>
              <w:spacing w:before="60" w:after="60"/>
              <w:rPr>
                <w:rFonts w:ascii="Times New Roman" w:hAnsi="Times New Roman"/>
                <w:noProof/>
                <w:sz w:val="20"/>
                <w:szCs w:val="20"/>
              </w:rPr>
            </w:pPr>
            <w:r>
              <w:rPr>
                <w:rFonts w:ascii="Times New Roman" w:hAnsi="Times New Roman"/>
                <w:b/>
                <w:noProof/>
                <w:sz w:val="20"/>
              </w:rPr>
              <w:t>Une Union économique et monétaire plus approfondie et plus équitable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Une Union forte fondée sur une UEM forte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Le Livre blanc sur l’avenir de l’Europe</w:t>
            </w:r>
            <w:r>
              <w:rPr>
                <w:noProof/>
              </w:rPr>
              <w:t xml:space="preserve"> </w:t>
            </w:r>
            <w:r>
              <w:rPr>
                <w:rFonts w:ascii="Times New Roman" w:hAnsi="Times New Roman"/>
                <w:noProof/>
                <w:sz w:val="20"/>
              </w:rPr>
              <w:t xml:space="preserve">(initiative non législative; T1/2017) </w:t>
            </w:r>
            <w:r>
              <w:rPr>
                <w:rFonts w:ascii="Times New Roman" w:hAnsi="Times New Roman"/>
                <w:b/>
                <w:noProof/>
                <w:sz w:val="20"/>
              </w:rPr>
              <w:t xml:space="preserve">exposant les </w:t>
            </w:r>
            <w:r>
              <w:rPr>
                <w:rFonts w:ascii="Times New Roman" w:hAnsi="Times New Roman"/>
                <w:b/>
                <w:noProof/>
                <w:sz w:val="20"/>
              </w:rPr>
              <w:t>mesures à prendre pour réformer une UE à 27 États membres 60 ans après les traités de Rome traitera également de l’avenir de l’UEM, afin d’en préparer la deuxième phase d’approfondissement dans le nouveau contexte politique et démocratique (il prévoira not</w:t>
            </w:r>
            <w:r>
              <w:rPr>
                <w:rFonts w:ascii="Times New Roman" w:hAnsi="Times New Roman"/>
                <w:b/>
                <w:noProof/>
                <w:sz w:val="20"/>
              </w:rPr>
              <w:t>amment une révision du pacte de stabilité et de croissance axée sur la stabilité, et les mesures à prendre pour se conformer à l’article 16 du traité sur la stabilité, la coordination et la gouvernance au sein de l’UEM, c’est-à-dire pour intégrer le conten</w:t>
            </w:r>
            <w:r>
              <w:rPr>
                <w:rFonts w:ascii="Times New Roman" w:hAnsi="Times New Roman"/>
                <w:b/>
                <w:noProof/>
                <w:sz w:val="20"/>
              </w:rPr>
              <w:t>u de ce traité dans le cadre juridique de l’UE). L’initiative comprendra également une révision du système européen de surveillance financière (SESF) visant à renforcer l’effectivité et l’efficacité de la surveillance au niveau macro- et microprudentiel.</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Socle européen des droits sociaux</w:t>
            </w:r>
          </w:p>
        </w:tc>
        <w:tc>
          <w:tcPr>
            <w:tcW w:w="3565" w:type="pct"/>
          </w:tcPr>
          <w:p w:rsidR="00A80E57" w:rsidRDefault="00435298">
            <w:pPr>
              <w:jc w:val="both"/>
              <w:rPr>
                <w:rFonts w:ascii="Times New Roman" w:hAnsi="Times New Roman"/>
                <w:b/>
                <w:noProof/>
                <w:sz w:val="20"/>
                <w:szCs w:val="20"/>
              </w:rPr>
            </w:pPr>
            <w:r>
              <w:rPr>
                <w:rFonts w:ascii="Times New Roman" w:hAnsi="Times New Roman"/>
                <w:b/>
                <w:noProof/>
                <w:sz w:val="20"/>
              </w:rPr>
              <w:t>À la suite de la consultation publique, la proposition concernant le socle des droits sociaux sera présentée</w:t>
            </w:r>
            <w:r>
              <w:rPr>
                <w:rFonts w:ascii="Times New Roman" w:hAnsi="Times New Roman"/>
                <w:noProof/>
                <w:sz w:val="20"/>
              </w:rPr>
              <w:t xml:space="preserve"> (T1/2017)</w:t>
            </w:r>
            <w:r>
              <w:rPr>
                <w:rFonts w:ascii="Times New Roman" w:hAnsi="Times New Roman"/>
                <w:b/>
                <w:noProof/>
                <w:sz w:val="20"/>
              </w:rPr>
              <w:t>, de même que des initiatives connexes, comme des initiatives visant à régler les problèmes d’équilibre</w:t>
            </w:r>
            <w:r>
              <w:rPr>
                <w:rFonts w:ascii="Times New Roman" w:hAnsi="Times New Roman"/>
                <w:b/>
                <w:noProof/>
                <w:sz w:val="20"/>
              </w:rPr>
              <w:t xml:space="preserve"> entre vie professionnelle et vie privée rencontrés par les familles qui travaillent </w:t>
            </w:r>
            <w:r>
              <w:rPr>
                <w:rFonts w:ascii="Times New Roman" w:hAnsi="Times New Roman"/>
                <w:noProof/>
                <w:sz w:val="20"/>
              </w:rPr>
              <w:t>(initiative législative/non législative, incluant une analyse d’impact; articles 153 et 157 du TFUE)</w:t>
            </w:r>
            <w:r>
              <w:rPr>
                <w:rFonts w:ascii="Times New Roman" w:hAnsi="Times New Roman"/>
                <w:b/>
                <w:noProof/>
                <w:sz w:val="20"/>
              </w:rPr>
              <w:t>, portant sur l’accès à la protection sociale</w:t>
            </w:r>
            <w:r>
              <w:rPr>
                <w:rFonts w:ascii="Times New Roman" w:hAnsi="Times New Roman"/>
                <w:noProof/>
                <w:sz w:val="20"/>
              </w:rPr>
              <w:t xml:space="preserve"> (initiative législative/n</w:t>
            </w:r>
            <w:r>
              <w:rPr>
                <w:rFonts w:ascii="Times New Roman" w:hAnsi="Times New Roman"/>
                <w:noProof/>
                <w:sz w:val="20"/>
              </w:rPr>
              <w:t>on législative, incluant une analyse d’impact; articles 153 et 292)</w:t>
            </w:r>
            <w:r>
              <w:rPr>
                <w:rFonts w:ascii="Times New Roman" w:hAnsi="Times New Roman"/>
                <w:b/>
                <w:noProof/>
                <w:sz w:val="20"/>
              </w:rPr>
              <w:t xml:space="preserve"> et concernant la mise en œuvre de la directive sur le temps de travail </w:t>
            </w:r>
            <w:r>
              <w:rPr>
                <w:rFonts w:ascii="Times New Roman" w:hAnsi="Times New Roman"/>
                <w:noProof/>
                <w:sz w:val="20"/>
              </w:rPr>
              <w:t>(initiative non législative)</w:t>
            </w:r>
            <w:r>
              <w:rPr>
                <w:rFonts w:ascii="Times New Roman" w:hAnsi="Times New Roman"/>
                <w:b/>
                <w:noProof/>
                <w:sz w:val="20"/>
              </w:rPr>
              <w:t>, ainsi qu’une révision, au titre du programme REFIT, de la directive relative à la décla</w:t>
            </w:r>
            <w:r>
              <w:rPr>
                <w:rFonts w:ascii="Times New Roman" w:hAnsi="Times New Roman"/>
                <w:b/>
                <w:noProof/>
                <w:sz w:val="20"/>
              </w:rPr>
              <w:t>ration écrite</w:t>
            </w:r>
            <w:r>
              <w:rPr>
                <w:rFonts w:ascii="Times New Roman" w:hAnsi="Times New Roman"/>
                <w:b/>
                <w:noProof/>
                <w:color w:val="FF0000"/>
                <w:sz w:val="24"/>
              </w:rPr>
              <w:t xml:space="preserve"> </w:t>
            </w:r>
            <w:r>
              <w:rPr>
                <w:rFonts w:ascii="Times New Roman" w:hAnsi="Times New Roman"/>
                <w:b/>
                <w:noProof/>
                <w:sz w:val="20"/>
              </w:rPr>
              <w:t xml:space="preserve">imposant à l’employeur d’informer le travailleur des conditions applicables au contrat ou à la relation de travail </w:t>
            </w:r>
            <w:r>
              <w:rPr>
                <w:rFonts w:ascii="Times New Roman" w:hAnsi="Times New Roman"/>
                <w:noProof/>
                <w:sz w:val="20"/>
              </w:rPr>
              <w:t>(initiative législative, incluant une analyse d’impact; article 153, paragraphe 1, point b), et article 154 du TFUE).</w:t>
            </w:r>
          </w:p>
        </w:tc>
      </w:tr>
      <w:tr w:rsidR="00A80E57">
        <w:trPr>
          <w:cantSplit/>
        </w:trPr>
        <w:tc>
          <w:tcPr>
            <w:tcW w:w="5000" w:type="pct"/>
            <w:gridSpan w:val="3"/>
            <w:tcBorders>
              <w:bottom w:val="single" w:sz="4" w:space="0" w:color="auto"/>
            </w:tcBorders>
            <w:shd w:val="clear" w:color="auto" w:fill="F2F2F2" w:themeFill="background1" w:themeFillShade="F2"/>
          </w:tcPr>
          <w:p w:rsidR="00A80E57" w:rsidRDefault="00435298">
            <w:pPr>
              <w:keepNext/>
              <w:spacing w:before="60" w:after="60"/>
              <w:rPr>
                <w:rFonts w:ascii="Times New Roman" w:hAnsi="Times New Roman"/>
                <w:noProof/>
                <w:sz w:val="20"/>
                <w:szCs w:val="20"/>
              </w:rPr>
            </w:pPr>
            <w:r>
              <w:rPr>
                <w:rFonts w:ascii="Times New Roman" w:hAnsi="Times New Roman"/>
                <w:b/>
                <w:noProof/>
                <w:sz w:val="20"/>
              </w:rPr>
              <w:t>Commerce</w:t>
            </w:r>
            <w:r>
              <w:rPr>
                <w:rFonts w:ascii="Times New Roman" w:hAnsi="Times New Roman"/>
                <w:b/>
                <w:noProof/>
                <w:sz w:val="20"/>
              </w:rPr>
              <w:t>: un accord de libre-échange raisonnable et équilibré avec les États-Unis</w:t>
            </w:r>
          </w:p>
        </w:tc>
      </w:tr>
      <w:tr w:rsidR="00A80E57">
        <w:trPr>
          <w:cantSplit/>
        </w:trPr>
        <w:tc>
          <w:tcPr>
            <w:tcW w:w="181" w:type="pct"/>
            <w:tcBorders>
              <w:bottom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A80E57" w:rsidRDefault="00435298">
            <w:pPr>
              <w:spacing w:after="0"/>
              <w:rPr>
                <w:rFonts w:ascii="Times New Roman" w:hAnsi="Times New Roman"/>
                <w:b/>
                <w:noProof/>
                <w:sz w:val="20"/>
                <w:szCs w:val="20"/>
                <w:highlight w:val="yellow"/>
              </w:rPr>
            </w:pPr>
            <w:r>
              <w:rPr>
                <w:rFonts w:ascii="Times New Roman" w:hAnsi="Times New Roman"/>
                <w:b/>
                <w:noProof/>
                <w:sz w:val="20"/>
              </w:rPr>
              <w:t>Mise en œuvre de la stratégie «Le commerce pour tous»</w:t>
            </w:r>
          </w:p>
        </w:tc>
        <w:tc>
          <w:tcPr>
            <w:tcW w:w="3565" w:type="pct"/>
            <w:tcBorders>
              <w:bottom w:val="single" w:sz="4" w:space="0" w:color="auto"/>
            </w:tcBorders>
          </w:tcPr>
          <w:p w:rsidR="00A80E57" w:rsidRDefault="00435298">
            <w:pPr>
              <w:autoSpaceDE w:val="0"/>
              <w:autoSpaceDN w:val="0"/>
              <w:adjustRightInd w:val="0"/>
              <w:spacing w:after="0"/>
              <w:jc w:val="both"/>
              <w:rPr>
                <w:rFonts w:ascii="Times New Roman" w:hAnsi="Times New Roman"/>
                <w:b/>
                <w:noProof/>
                <w:sz w:val="20"/>
                <w:szCs w:val="20"/>
              </w:rPr>
            </w:pPr>
            <w:r>
              <w:rPr>
                <w:rFonts w:ascii="Times New Roman" w:hAnsi="Times New Roman"/>
                <w:b/>
                <w:noProof/>
                <w:sz w:val="20"/>
              </w:rPr>
              <w:t xml:space="preserve">Parallèlement à la poursuite et à l’achèvement de négociations bilatérales (avec le Japon, par exemple) et à l’ouverture de </w:t>
            </w:r>
            <w:r>
              <w:rPr>
                <w:rFonts w:ascii="Times New Roman" w:hAnsi="Times New Roman"/>
                <w:b/>
                <w:noProof/>
                <w:sz w:val="20"/>
              </w:rPr>
              <w:t>nouvelles négociations avec l’Australie</w:t>
            </w:r>
            <w:r>
              <w:rPr>
                <w:noProof/>
              </w:rPr>
              <w:t xml:space="preserve"> </w:t>
            </w:r>
            <w:r>
              <w:rPr>
                <w:rFonts w:ascii="Times New Roman" w:hAnsi="Times New Roman"/>
                <w:noProof/>
                <w:sz w:val="20"/>
              </w:rPr>
              <w:t>(incluant une analyse d’impact; T1/2017)</w:t>
            </w:r>
            <w:r>
              <w:rPr>
                <w:rFonts w:ascii="Times New Roman" w:hAnsi="Times New Roman"/>
                <w:b/>
                <w:noProof/>
                <w:sz w:val="20"/>
              </w:rPr>
              <w:t>, le Chili</w:t>
            </w:r>
            <w:r>
              <w:rPr>
                <w:rFonts w:ascii="Times New Roman" w:hAnsi="Times New Roman"/>
                <w:noProof/>
                <w:sz w:val="20"/>
              </w:rPr>
              <w:t xml:space="preserve"> (incluant une analyse d’impact; T2/2017) </w:t>
            </w:r>
            <w:r>
              <w:rPr>
                <w:rFonts w:ascii="Times New Roman" w:hAnsi="Times New Roman"/>
                <w:b/>
                <w:noProof/>
                <w:sz w:val="20"/>
              </w:rPr>
              <w:t>et la Nouvelle-Zélande</w:t>
            </w:r>
            <w:r>
              <w:rPr>
                <w:rFonts w:ascii="Times New Roman" w:hAnsi="Times New Roman"/>
                <w:noProof/>
                <w:sz w:val="20"/>
              </w:rPr>
              <w:t xml:space="preserve"> (incluant une analyse d’impact; T1/2017)</w:t>
            </w:r>
            <w:r>
              <w:rPr>
                <w:rFonts w:ascii="Times New Roman" w:hAnsi="Times New Roman"/>
                <w:b/>
                <w:noProof/>
                <w:sz w:val="20"/>
              </w:rPr>
              <w:t xml:space="preserve"> en vue de la conclusion d’accords de libre-échange, cette in</w:t>
            </w:r>
            <w:r>
              <w:rPr>
                <w:rFonts w:ascii="Times New Roman" w:hAnsi="Times New Roman"/>
                <w:b/>
                <w:noProof/>
                <w:sz w:val="20"/>
              </w:rPr>
              <w:t>itiative comprend le renforcement des instruments de défense commerciale de l’UE au moyen d’une proposition de modification de la législation antidumping de l’UE</w:t>
            </w:r>
            <w:r>
              <w:rPr>
                <w:rFonts w:ascii="Times New Roman" w:hAnsi="Times New Roman"/>
                <w:noProof/>
                <w:sz w:val="20"/>
              </w:rPr>
              <w:t xml:space="preserve"> (incluant une analyse d’impact; T4/2016)</w:t>
            </w:r>
            <w:r>
              <w:rPr>
                <w:rFonts w:ascii="Times New Roman" w:hAnsi="Times New Roman"/>
                <w:b/>
                <w:noProof/>
                <w:sz w:val="20"/>
              </w:rPr>
              <w:t xml:space="preserve">, conformément à la communication de la Commission du </w:t>
            </w:r>
            <w:r>
              <w:rPr>
                <w:rFonts w:ascii="Times New Roman" w:hAnsi="Times New Roman"/>
                <w:b/>
                <w:noProof/>
                <w:sz w:val="20"/>
              </w:rPr>
              <w:t>18 octobre 2016.</w:t>
            </w:r>
          </w:p>
        </w:tc>
      </w:tr>
      <w:tr w:rsidR="00A80E57">
        <w:trPr>
          <w:cantSplit/>
        </w:trPr>
        <w:tc>
          <w:tcPr>
            <w:tcW w:w="5000" w:type="pct"/>
            <w:gridSpan w:val="3"/>
            <w:tcBorders>
              <w:bottom w:val="single" w:sz="4" w:space="0" w:color="auto"/>
            </w:tcBorders>
            <w:shd w:val="clear" w:color="auto" w:fill="F2F2F2" w:themeFill="background1" w:themeFillShade="F2"/>
          </w:tcPr>
          <w:p w:rsidR="00A80E57" w:rsidRDefault="00435298">
            <w:pPr>
              <w:spacing w:before="60" w:after="60"/>
              <w:rPr>
                <w:rFonts w:ascii="Times New Roman" w:hAnsi="Times New Roman"/>
                <w:noProof/>
                <w:sz w:val="20"/>
                <w:szCs w:val="20"/>
              </w:rPr>
            </w:pPr>
            <w:r>
              <w:rPr>
                <w:rFonts w:ascii="Times New Roman" w:hAnsi="Times New Roman"/>
                <w:b/>
                <w:noProof/>
                <w:sz w:val="20"/>
              </w:rPr>
              <w:t>Un espace de justice et de droits fondamentaux basé sur la confiance mutuelle</w:t>
            </w:r>
          </w:p>
        </w:tc>
      </w:tr>
      <w:tr w:rsidR="00A80E57">
        <w:trPr>
          <w:cantSplit/>
        </w:trPr>
        <w:tc>
          <w:tcPr>
            <w:tcW w:w="181" w:type="pct"/>
            <w:tcBorders>
              <w:bottom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A80E57" w:rsidRDefault="00435298">
            <w:pPr>
              <w:spacing w:after="0"/>
              <w:rPr>
                <w:rFonts w:ascii="Times New Roman" w:hAnsi="Times New Roman"/>
                <w:b/>
                <w:noProof/>
                <w:sz w:val="20"/>
                <w:szCs w:val="20"/>
              </w:rPr>
            </w:pPr>
            <w:r>
              <w:rPr>
                <w:rFonts w:ascii="Times New Roman" w:hAnsi="Times New Roman"/>
                <w:b/>
                <w:noProof/>
                <w:sz w:val="20"/>
              </w:rPr>
              <w:t>Train de mesures sur la protection des données</w:t>
            </w:r>
          </w:p>
        </w:tc>
        <w:tc>
          <w:tcPr>
            <w:tcW w:w="3565" w:type="pct"/>
            <w:tcBorders>
              <w:bottom w:val="single" w:sz="4" w:space="0" w:color="auto"/>
            </w:tcBorders>
          </w:tcPr>
          <w:p w:rsidR="00A80E57" w:rsidRDefault="00435298">
            <w:pPr>
              <w:autoSpaceDE w:val="0"/>
              <w:autoSpaceDN w:val="0"/>
              <w:adjustRightInd w:val="0"/>
              <w:spacing w:after="0"/>
              <w:jc w:val="both"/>
              <w:rPr>
                <w:rFonts w:ascii="Times New Roman" w:eastAsia="Times New Roman" w:hAnsi="Times New Roman"/>
                <w:b/>
                <w:noProof/>
                <w:sz w:val="20"/>
                <w:szCs w:val="20"/>
              </w:rPr>
            </w:pPr>
            <w:r>
              <w:rPr>
                <w:rFonts w:ascii="Times New Roman" w:hAnsi="Times New Roman"/>
                <w:b/>
                <w:noProof/>
                <w:sz w:val="20"/>
              </w:rPr>
              <w:t>Le train de mesures</w:t>
            </w:r>
            <w:r>
              <w:rPr>
                <w:noProof/>
              </w:rPr>
              <w:t xml:space="preserve"> </w:t>
            </w:r>
            <w:r>
              <w:rPr>
                <w:rFonts w:ascii="Times New Roman" w:hAnsi="Times New Roman"/>
                <w:noProof/>
                <w:sz w:val="20"/>
              </w:rPr>
              <w:t xml:space="preserve">(T1/2017) </w:t>
            </w:r>
            <w:r>
              <w:rPr>
                <w:rFonts w:ascii="Times New Roman" w:hAnsi="Times New Roman"/>
                <w:b/>
                <w:noProof/>
                <w:sz w:val="20"/>
              </w:rPr>
              <w:t xml:space="preserve">comprendra un alignement des règles relatives à la protection des données à </w:t>
            </w:r>
            <w:r>
              <w:rPr>
                <w:rFonts w:ascii="Times New Roman" w:hAnsi="Times New Roman"/>
                <w:b/>
                <w:noProof/>
                <w:sz w:val="20"/>
              </w:rPr>
              <w:t>caractère personnel lors de leur traitement par les institutions de l’UE sur les nouvelles règles générales en matière de protection des données</w:t>
            </w:r>
            <w:r>
              <w:rPr>
                <w:rFonts w:ascii="Times New Roman" w:hAnsi="Times New Roman"/>
                <w:noProof/>
                <w:sz w:val="20"/>
              </w:rPr>
              <w:t xml:space="preserve"> (initiative législative; article 16 du TFUE)</w:t>
            </w:r>
            <w:r>
              <w:rPr>
                <w:rFonts w:ascii="Times New Roman" w:hAnsi="Times New Roman"/>
                <w:b/>
                <w:noProof/>
                <w:sz w:val="20"/>
              </w:rPr>
              <w:t>, une révision, au titre du programme REFIT, de la directive relati</w:t>
            </w:r>
            <w:r>
              <w:rPr>
                <w:rFonts w:ascii="Times New Roman" w:hAnsi="Times New Roman"/>
                <w:b/>
                <w:noProof/>
                <w:sz w:val="20"/>
              </w:rPr>
              <w:t>ve à la vie privée et aux communications électroniques</w:t>
            </w:r>
            <w:r>
              <w:rPr>
                <w:rFonts w:ascii="Times New Roman" w:hAnsi="Times New Roman"/>
                <w:noProof/>
                <w:sz w:val="20"/>
              </w:rPr>
              <w:t xml:space="preserve"> (incluant une analyse d’impact; articles 114 et 16 du TFUE)</w:t>
            </w:r>
            <w:r>
              <w:rPr>
                <w:rFonts w:ascii="Times New Roman" w:hAnsi="Times New Roman"/>
                <w:b/>
                <w:noProof/>
                <w:sz w:val="20"/>
              </w:rPr>
              <w:t>, ainsi qu’un cadre applicable aux décisions constatant le caractère adéquat du niveau de protection pour ce qui est des échanges de données à</w:t>
            </w:r>
            <w:r>
              <w:rPr>
                <w:rFonts w:ascii="Times New Roman" w:hAnsi="Times New Roman"/>
                <w:b/>
                <w:noProof/>
                <w:sz w:val="20"/>
              </w:rPr>
              <w:t xml:space="preserve"> caractère personnel avec des pays tiers.</w:t>
            </w:r>
          </w:p>
        </w:tc>
      </w:tr>
      <w:tr w:rsidR="00A80E57">
        <w:trPr>
          <w:cantSplit/>
        </w:trPr>
        <w:tc>
          <w:tcPr>
            <w:tcW w:w="181" w:type="pct"/>
            <w:tcBorders>
              <w:bottom w:val="single" w:sz="4" w:space="0" w:color="auto"/>
            </w:tcBorders>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A80E57" w:rsidRDefault="00435298">
            <w:pPr>
              <w:spacing w:after="0"/>
              <w:rPr>
                <w:rFonts w:ascii="Times New Roman" w:hAnsi="Times New Roman"/>
                <w:b/>
                <w:noProof/>
                <w:sz w:val="20"/>
                <w:szCs w:val="20"/>
              </w:rPr>
            </w:pPr>
            <w:r>
              <w:rPr>
                <w:rFonts w:ascii="Times New Roman" w:hAnsi="Times New Roman"/>
                <w:b/>
                <w:noProof/>
                <w:sz w:val="20"/>
              </w:rPr>
              <w:t>Progrès dans la mise en place d’une union de la sécurité réelle et effective</w:t>
            </w:r>
          </w:p>
        </w:tc>
        <w:tc>
          <w:tcPr>
            <w:tcW w:w="3565" w:type="pct"/>
            <w:tcBorders>
              <w:bottom w:val="single" w:sz="4" w:space="0" w:color="auto"/>
            </w:tcBorders>
          </w:tcPr>
          <w:p w:rsidR="00A80E57" w:rsidRDefault="00435298">
            <w:pPr>
              <w:spacing w:after="0"/>
              <w:jc w:val="both"/>
              <w:rPr>
                <w:rFonts w:ascii="Times New Roman" w:eastAsia="Times New Roman" w:hAnsi="Times New Roman"/>
                <w:b/>
                <w:noProof/>
                <w:color w:val="000000"/>
                <w:sz w:val="20"/>
                <w:szCs w:val="20"/>
              </w:rPr>
            </w:pPr>
            <w:r>
              <w:rPr>
                <w:rFonts w:ascii="Times New Roman" w:hAnsi="Times New Roman"/>
                <w:b/>
                <w:noProof/>
                <w:sz w:val="20"/>
              </w:rPr>
              <w:t>Mise en œuvre du programme relatif à l’union de la sécurité et du plan d’action destiné à renforcer la lutte contre le financement du t</w:t>
            </w:r>
            <w:r>
              <w:rPr>
                <w:rFonts w:ascii="Times New Roman" w:hAnsi="Times New Roman"/>
                <w:b/>
                <w:noProof/>
                <w:sz w:val="20"/>
              </w:rPr>
              <w:t xml:space="preserve">errorisme, au moyen de </w:t>
            </w:r>
            <w:r>
              <w:rPr>
                <w:rFonts w:ascii="Times New Roman" w:hAnsi="Times New Roman"/>
                <w:b/>
                <w:noProof/>
                <w:color w:val="000000"/>
                <w:sz w:val="20"/>
              </w:rPr>
              <w:t>propositions visant à harmoniser les infractions de blanchiment et les sanctions correspondantes</w:t>
            </w:r>
            <w:r>
              <w:rPr>
                <w:noProof/>
              </w:rPr>
              <w:t xml:space="preserve"> </w:t>
            </w:r>
            <w:r>
              <w:rPr>
                <w:rFonts w:ascii="Times New Roman" w:hAnsi="Times New Roman"/>
                <w:noProof/>
                <w:color w:val="000000"/>
                <w:sz w:val="20"/>
              </w:rPr>
              <w:t>(initiative législative; article 83 du TFUE; T4/2016)</w:t>
            </w:r>
            <w:r>
              <w:rPr>
                <w:rFonts w:ascii="Times New Roman" w:hAnsi="Times New Roman"/>
                <w:b/>
                <w:noProof/>
                <w:color w:val="000000"/>
                <w:sz w:val="20"/>
              </w:rPr>
              <w:t>, à renforcer la reconnaissance mutuelle des décisions de gel et de confiscation d’</w:t>
            </w:r>
            <w:r>
              <w:rPr>
                <w:rFonts w:ascii="Times New Roman" w:hAnsi="Times New Roman"/>
                <w:b/>
                <w:noProof/>
                <w:color w:val="000000"/>
                <w:sz w:val="20"/>
              </w:rPr>
              <w:t>avoirs d’origine criminelle</w:t>
            </w:r>
            <w:r>
              <w:rPr>
                <w:rFonts w:ascii="Times New Roman" w:hAnsi="Times New Roman"/>
                <w:noProof/>
                <w:color w:val="000000"/>
                <w:sz w:val="20"/>
              </w:rPr>
              <w:t xml:space="preserve"> (initiative législative, incluant une analyse d’impact; article 82 du TFUE; T4/2016) </w:t>
            </w:r>
            <w:r>
              <w:rPr>
                <w:rFonts w:ascii="Times New Roman" w:hAnsi="Times New Roman"/>
                <w:b/>
                <w:noProof/>
                <w:color w:val="000000"/>
                <w:sz w:val="20"/>
              </w:rPr>
              <w:t>et à lutter contre les mouvements d’argent liquide illicites</w:t>
            </w:r>
            <w:r>
              <w:rPr>
                <w:rFonts w:ascii="Times New Roman" w:hAnsi="Times New Roman"/>
                <w:noProof/>
                <w:color w:val="000000"/>
                <w:sz w:val="20"/>
              </w:rPr>
              <w:t xml:space="preserve"> (initiative législative, incluant une analyse d’impact; articles 33 et 114 du TFUE</w:t>
            </w:r>
            <w:r>
              <w:rPr>
                <w:rFonts w:ascii="Times New Roman" w:hAnsi="Times New Roman"/>
                <w:noProof/>
                <w:color w:val="000000"/>
                <w:sz w:val="20"/>
              </w:rPr>
              <w:t xml:space="preserve">; T4/2016) </w:t>
            </w:r>
            <w:r>
              <w:rPr>
                <w:rFonts w:ascii="Times New Roman" w:hAnsi="Times New Roman"/>
                <w:b/>
                <w:noProof/>
                <w:color w:val="000000"/>
                <w:sz w:val="20"/>
              </w:rPr>
              <w:t>ainsi que contre le commerce illicite de biens culturels</w:t>
            </w:r>
            <w:r>
              <w:rPr>
                <w:rFonts w:ascii="Times New Roman" w:hAnsi="Times New Roman"/>
                <w:noProof/>
                <w:color w:val="000000"/>
                <w:sz w:val="20"/>
              </w:rPr>
              <w:t xml:space="preserve"> (initiative législative, incluant une analyse d’impact; article 207 du TFUE; T4/2016)</w:t>
            </w:r>
            <w:r>
              <w:rPr>
                <w:rFonts w:ascii="Times New Roman" w:hAnsi="Times New Roman"/>
                <w:b/>
                <w:noProof/>
                <w:color w:val="000000"/>
                <w:sz w:val="20"/>
              </w:rPr>
              <w:t>. Cette initiative comprend également</w:t>
            </w:r>
            <w:r>
              <w:rPr>
                <w:rFonts w:ascii="Times New Roman" w:hAnsi="Times New Roman"/>
                <w:b/>
                <w:noProof/>
                <w:sz w:val="20"/>
              </w:rPr>
              <w:t xml:space="preserve"> une proposition de système européen d’information et d’autorisati</w:t>
            </w:r>
            <w:r>
              <w:rPr>
                <w:rFonts w:ascii="Times New Roman" w:hAnsi="Times New Roman"/>
                <w:b/>
                <w:noProof/>
                <w:sz w:val="20"/>
              </w:rPr>
              <w:t xml:space="preserve">on concernant les voyages (ETIAS) </w:t>
            </w:r>
            <w:r>
              <w:rPr>
                <w:rFonts w:ascii="Times New Roman" w:hAnsi="Times New Roman"/>
                <w:noProof/>
                <w:sz w:val="20"/>
              </w:rPr>
              <w:t xml:space="preserve">(initiative législative; </w:t>
            </w:r>
            <w:r>
              <w:rPr>
                <w:rFonts w:ascii="Times New Roman" w:hAnsi="Times New Roman"/>
                <w:noProof/>
                <w:color w:val="000000"/>
                <w:sz w:val="20"/>
              </w:rPr>
              <w:t xml:space="preserve">article 77, paragraphe 2, points b) et d), du TFUE; </w:t>
            </w:r>
            <w:r>
              <w:rPr>
                <w:rFonts w:ascii="Times New Roman" w:hAnsi="Times New Roman"/>
                <w:noProof/>
                <w:sz w:val="20"/>
              </w:rPr>
              <w:t>T4/2016)</w:t>
            </w:r>
            <w:r>
              <w:rPr>
                <w:rFonts w:ascii="Times New Roman" w:hAnsi="Times New Roman"/>
                <w:b/>
                <w:noProof/>
                <w:sz w:val="20"/>
              </w:rPr>
              <w:t xml:space="preserve">, ainsi que des mesures destinées à donner </w:t>
            </w:r>
            <w:r>
              <w:rPr>
                <w:rFonts w:ascii="Times New Roman" w:hAnsi="Times New Roman"/>
                <w:b/>
                <w:noProof/>
                <w:color w:val="000000"/>
                <w:sz w:val="20"/>
              </w:rPr>
              <w:t>suite aux travaux du groupe à haut niveau sur les systèmes d’information et l’interopérabilité</w:t>
            </w:r>
            <w:r>
              <w:rPr>
                <w:rFonts w:ascii="Times New Roman" w:hAnsi="Times New Roman"/>
                <w:b/>
                <w:noProof/>
                <w:color w:val="000000"/>
                <w:sz w:val="20"/>
              </w:rPr>
              <w:t>.</w:t>
            </w:r>
          </w:p>
        </w:tc>
      </w:tr>
      <w:tr w:rsidR="00A80E57">
        <w:trPr>
          <w:cantSplit/>
        </w:trPr>
        <w:tc>
          <w:tcPr>
            <w:tcW w:w="5000" w:type="pct"/>
            <w:gridSpan w:val="3"/>
            <w:shd w:val="clear" w:color="auto" w:fill="F2F2F2" w:themeFill="background1" w:themeFillShade="F2"/>
          </w:tcPr>
          <w:p w:rsidR="00A80E57" w:rsidRDefault="00435298">
            <w:pPr>
              <w:spacing w:before="60" w:after="60"/>
              <w:rPr>
                <w:rFonts w:ascii="Times New Roman" w:eastAsia="Times New Roman" w:hAnsi="Times New Roman"/>
                <w:noProof/>
                <w:color w:val="000000"/>
                <w:sz w:val="20"/>
                <w:szCs w:val="20"/>
              </w:rPr>
            </w:pPr>
            <w:r>
              <w:rPr>
                <w:rFonts w:ascii="Times New Roman" w:hAnsi="Times New Roman"/>
                <w:b/>
                <w:noProof/>
                <w:sz w:val="20"/>
              </w:rPr>
              <w:t>Vers une nouvelle politique migratoire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Mise en œuvre de l’agenda européen en matière de migration</w:t>
            </w:r>
          </w:p>
        </w:tc>
        <w:tc>
          <w:tcPr>
            <w:tcW w:w="3565" w:type="pct"/>
          </w:tcPr>
          <w:p w:rsidR="00A80E57" w:rsidRDefault="00435298">
            <w:pPr>
              <w:keepNext/>
              <w:tabs>
                <w:tab w:val="left" w:pos="284"/>
              </w:tabs>
              <w:spacing w:after="0"/>
              <w:jc w:val="both"/>
              <w:rPr>
                <w:rFonts w:ascii="Times New Roman" w:eastAsia="Times New Roman" w:hAnsi="Times New Roman"/>
                <w:b/>
                <w:noProof/>
                <w:color w:val="000000"/>
                <w:sz w:val="20"/>
                <w:szCs w:val="20"/>
              </w:rPr>
            </w:pPr>
            <w:r>
              <w:rPr>
                <w:rFonts w:ascii="Times New Roman" w:hAnsi="Times New Roman"/>
                <w:b/>
                <w:noProof/>
                <w:sz w:val="20"/>
              </w:rPr>
              <w:t xml:space="preserve">Examen à mi-parcours de la mise en œuvre de l’agenda européen en matière de migration, faisant la synthèse de différents axes d’action et dressant un </w:t>
            </w:r>
            <w:r>
              <w:rPr>
                <w:rFonts w:ascii="Times New Roman" w:hAnsi="Times New Roman"/>
                <w:b/>
                <w:noProof/>
                <w:sz w:val="20"/>
              </w:rPr>
              <w:t>état des lieux horizontal incluant la mise en œuvre du nouveau cadre de partenariat avec les pays tiers en matière de migration.</w:t>
            </w:r>
          </w:p>
        </w:tc>
      </w:tr>
      <w:tr w:rsidR="00A80E57">
        <w:trPr>
          <w:cantSplit/>
        </w:trPr>
        <w:tc>
          <w:tcPr>
            <w:tcW w:w="5000" w:type="pct"/>
            <w:gridSpan w:val="3"/>
            <w:shd w:val="clear" w:color="auto" w:fill="F2F2F2" w:themeFill="background1" w:themeFillShade="F2"/>
          </w:tcPr>
          <w:p w:rsidR="00A80E57" w:rsidRDefault="00435298">
            <w:pPr>
              <w:keepNext/>
              <w:spacing w:before="60" w:after="60"/>
              <w:rPr>
                <w:rFonts w:ascii="Times New Roman" w:eastAsia="Times New Roman" w:hAnsi="Times New Roman"/>
                <w:noProof/>
                <w:color w:val="000000"/>
                <w:sz w:val="20"/>
                <w:szCs w:val="20"/>
              </w:rPr>
            </w:pPr>
            <w:r>
              <w:rPr>
                <w:rFonts w:ascii="Times New Roman" w:hAnsi="Times New Roman"/>
                <w:b/>
                <w:noProof/>
                <w:sz w:val="20"/>
              </w:rPr>
              <w:t>Une Europe plus forte sur la scène internationale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Mise en œuvre du plan d’action européen de la défense</w:t>
            </w:r>
          </w:p>
        </w:tc>
        <w:tc>
          <w:tcPr>
            <w:tcW w:w="3565" w:type="pct"/>
          </w:tcPr>
          <w:p w:rsidR="00A80E57" w:rsidRDefault="00435298">
            <w:pPr>
              <w:spacing w:after="0"/>
              <w:jc w:val="both"/>
              <w:rPr>
                <w:rFonts w:ascii="Times New Roman" w:hAnsi="Times New Roman"/>
                <w:b/>
                <w:noProof/>
                <w:sz w:val="20"/>
                <w:szCs w:val="20"/>
                <w:highlight w:val="yellow"/>
              </w:rPr>
            </w:pPr>
            <w:r>
              <w:rPr>
                <w:rFonts w:ascii="Times New Roman" w:hAnsi="Times New Roman"/>
                <w:b/>
                <w:noProof/>
                <w:sz w:val="20"/>
              </w:rPr>
              <w:t xml:space="preserve">L’initiative </w:t>
            </w:r>
            <w:r>
              <w:rPr>
                <w:rFonts w:ascii="Times New Roman" w:hAnsi="Times New Roman"/>
                <w:b/>
                <w:noProof/>
                <w:sz w:val="20"/>
              </w:rPr>
              <w:t>comprend une proposition en vue d’un Fonds européen de la défense, ainsi que des mesures destinées à améliorer l’utilisation et l’efficacité des règles en matière de marchés publics</w:t>
            </w:r>
            <w:r>
              <w:rPr>
                <w:noProof/>
              </w:rPr>
              <w:t xml:space="preserve"> </w:t>
            </w:r>
            <w:r>
              <w:rPr>
                <w:rFonts w:ascii="Times New Roman" w:hAnsi="Times New Roman"/>
                <w:noProof/>
                <w:sz w:val="20"/>
              </w:rPr>
              <w:t>(initiative législative/non législative)</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 xml:space="preserve">Mise en œuvre de la stratégie </w:t>
            </w:r>
            <w:r>
              <w:rPr>
                <w:rFonts w:ascii="Times New Roman" w:hAnsi="Times New Roman"/>
                <w:b/>
                <w:noProof/>
                <w:sz w:val="20"/>
              </w:rPr>
              <w:t>globale de l’UE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L’initiative comprend notamment des mesures visant à favoriser la résilience étatique, économique, environnementale/climatique et sociétale dans les pays tiers, en particulier dans les pays voisins de l’UE et dans les régions environnantes</w:t>
            </w:r>
            <w:r>
              <w:rPr>
                <w:noProof/>
              </w:rPr>
              <w:t xml:space="preserve"> </w:t>
            </w:r>
            <w:r>
              <w:rPr>
                <w:rFonts w:ascii="Times New Roman" w:hAnsi="Times New Roman"/>
                <w:noProof/>
                <w:sz w:val="20"/>
              </w:rPr>
              <w:t>(initiative non législative)</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Stratégie de l’UE en faveur de la Syrie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La stratégie définira la manière dont l’UE peut contribuer à la reconstruction d’une nation syrienne pacifique et stable et d’une société civile pluraliste et tolérante en Syrie</w:t>
            </w:r>
            <w:r>
              <w:rPr>
                <w:noProof/>
              </w:rPr>
              <w:t xml:space="preserve"> </w:t>
            </w:r>
            <w:r>
              <w:rPr>
                <w:rFonts w:ascii="Times New Roman" w:hAnsi="Times New Roman"/>
                <w:noProof/>
                <w:sz w:val="20"/>
              </w:rPr>
              <w:t>(initi</w:t>
            </w:r>
            <w:r>
              <w:rPr>
                <w:rFonts w:ascii="Times New Roman" w:hAnsi="Times New Roman"/>
                <w:noProof/>
                <w:sz w:val="20"/>
              </w:rPr>
              <w:t>ative non législative; T1/2017)</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Partenariat Afrique-UE: un nouvel élan</w:t>
            </w:r>
          </w:p>
        </w:tc>
        <w:tc>
          <w:tcPr>
            <w:tcW w:w="3565" w:type="pct"/>
          </w:tcPr>
          <w:p w:rsidR="00A80E57" w:rsidRDefault="00435298">
            <w:pPr>
              <w:spacing w:after="0"/>
              <w:jc w:val="both"/>
              <w:rPr>
                <w:rFonts w:ascii="Times New Roman" w:hAnsi="Times New Roman"/>
                <w:b/>
                <w:noProof/>
                <w:sz w:val="20"/>
                <w:szCs w:val="20"/>
                <w:highlight w:val="yellow"/>
              </w:rPr>
            </w:pPr>
            <w:r>
              <w:rPr>
                <w:rFonts w:ascii="Times New Roman" w:hAnsi="Times New Roman"/>
                <w:b/>
                <w:noProof/>
                <w:color w:val="000000"/>
                <w:sz w:val="20"/>
              </w:rPr>
              <w:t>L’initiative définira les objectifs et les priorités stratégiques de l’UE dans le cadre de ses relations avec l’Afrique</w:t>
            </w:r>
            <w:r>
              <w:rPr>
                <w:noProof/>
              </w:rPr>
              <w:t xml:space="preserve"> </w:t>
            </w:r>
            <w:r>
              <w:rPr>
                <w:rFonts w:ascii="Times New Roman" w:hAnsi="Times New Roman"/>
                <w:noProof/>
                <w:color w:val="000000"/>
                <w:sz w:val="20"/>
              </w:rPr>
              <w:t>(initiative non législative; T2/2017)</w:t>
            </w:r>
            <w:r>
              <w:rPr>
                <w:rFonts w:ascii="Times New Roman" w:hAnsi="Times New Roman"/>
                <w:b/>
                <w:noProof/>
                <w:color w:val="000000"/>
                <w:sz w:val="20"/>
              </w:rPr>
              <w:t>.</w:t>
            </w:r>
          </w:p>
        </w:tc>
      </w:tr>
      <w:tr w:rsidR="00A80E57">
        <w:trPr>
          <w:cantSplit/>
        </w:trPr>
        <w:tc>
          <w:tcPr>
            <w:tcW w:w="5000" w:type="pct"/>
            <w:gridSpan w:val="3"/>
            <w:shd w:val="clear" w:color="auto" w:fill="F2F2F2" w:themeFill="background1" w:themeFillShade="F2"/>
          </w:tcPr>
          <w:p w:rsidR="00A80E57" w:rsidRDefault="00435298">
            <w:pPr>
              <w:spacing w:before="60" w:after="60"/>
              <w:rPr>
                <w:rFonts w:ascii="Times New Roman" w:hAnsi="Times New Roman"/>
                <w:noProof/>
                <w:sz w:val="20"/>
                <w:szCs w:val="20"/>
              </w:rPr>
            </w:pPr>
            <w:r>
              <w:rPr>
                <w:rFonts w:ascii="Times New Roman" w:hAnsi="Times New Roman"/>
                <w:b/>
                <w:noProof/>
                <w:sz w:val="20"/>
              </w:rPr>
              <w:t xml:space="preserve">Une Union du </w:t>
            </w:r>
            <w:r>
              <w:rPr>
                <w:rFonts w:ascii="Times New Roman" w:hAnsi="Times New Roman"/>
                <w:b/>
                <w:noProof/>
                <w:sz w:val="20"/>
              </w:rPr>
              <w:t>changement démocratique</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Modernisation des procédures de comitologie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Propositions visant à aligner les règles applicables au droit dérivé sur les dispositions actualisées du traité</w:t>
            </w:r>
            <w:r>
              <w:rPr>
                <w:noProof/>
              </w:rPr>
              <w:t xml:space="preserve"> </w:t>
            </w:r>
            <w:r>
              <w:rPr>
                <w:rFonts w:ascii="Times New Roman" w:hAnsi="Times New Roman"/>
                <w:noProof/>
                <w:sz w:val="20"/>
              </w:rPr>
              <w:t>(initiative législative; T1/2017)</w:t>
            </w:r>
            <w:r>
              <w:rPr>
                <w:rFonts w:ascii="Times New Roman" w:hAnsi="Times New Roman"/>
                <w:b/>
                <w:noProof/>
                <w:sz w:val="20"/>
              </w:rPr>
              <w:t xml:space="preserve"> et évaluation de la légitimité démocrati</w:t>
            </w:r>
            <w:r>
              <w:rPr>
                <w:rFonts w:ascii="Times New Roman" w:hAnsi="Times New Roman"/>
                <w:b/>
                <w:noProof/>
                <w:sz w:val="20"/>
              </w:rPr>
              <w:t>que des procédures existantes pour l’adoption des actes délégués et des actes d’exécution</w:t>
            </w:r>
            <w:r>
              <w:rPr>
                <w:rFonts w:ascii="Times New Roman" w:hAnsi="Times New Roman"/>
                <w:noProof/>
                <w:sz w:val="20"/>
              </w:rPr>
              <w:t xml:space="preserve"> (initiative non législative; T1/2017)</w:t>
            </w:r>
            <w:r>
              <w:rPr>
                <w:rFonts w:ascii="Times New Roman" w:hAnsi="Times New Roman"/>
                <w:b/>
                <w:noProof/>
                <w:sz w:val="20"/>
              </w:rPr>
              <w:t>.</w:t>
            </w:r>
          </w:p>
        </w:tc>
      </w:tr>
      <w:tr w:rsidR="00A80E57">
        <w:trPr>
          <w:cantSplit/>
        </w:trPr>
        <w:tc>
          <w:tcPr>
            <w:tcW w:w="181" w:type="pct"/>
            <w:shd w:val="clear" w:color="auto" w:fill="auto"/>
          </w:tcPr>
          <w:p w:rsidR="00A80E57" w:rsidRDefault="00A80E57">
            <w:pPr>
              <w:numPr>
                <w:ilvl w:val="0"/>
                <w:numId w:val="1"/>
              </w:numPr>
              <w:spacing w:after="0" w:line="240" w:lineRule="auto"/>
              <w:rPr>
                <w:rFonts w:ascii="Times New Roman" w:hAnsi="Times New Roman"/>
                <w:b/>
                <w:noProof/>
                <w:color w:val="000000"/>
                <w:sz w:val="20"/>
                <w:szCs w:val="20"/>
              </w:rPr>
            </w:pPr>
          </w:p>
        </w:tc>
        <w:tc>
          <w:tcPr>
            <w:tcW w:w="1254" w:type="pct"/>
          </w:tcPr>
          <w:p w:rsidR="00A80E57" w:rsidRDefault="00435298">
            <w:pPr>
              <w:spacing w:after="0"/>
              <w:rPr>
                <w:rFonts w:ascii="Times New Roman" w:hAnsi="Times New Roman"/>
                <w:b/>
                <w:noProof/>
                <w:sz w:val="20"/>
                <w:szCs w:val="20"/>
              </w:rPr>
            </w:pPr>
            <w:r>
              <w:rPr>
                <w:rFonts w:ascii="Times New Roman" w:hAnsi="Times New Roman"/>
                <w:b/>
                <w:noProof/>
                <w:sz w:val="20"/>
              </w:rPr>
              <w:t>Une approche plus stratégique en ce qui concerne le contrôle de l’application du droit de l’UE</w:t>
            </w:r>
          </w:p>
        </w:tc>
        <w:tc>
          <w:tcPr>
            <w:tcW w:w="3565" w:type="pct"/>
          </w:tcPr>
          <w:p w:rsidR="00A80E57" w:rsidRDefault="00435298">
            <w:pPr>
              <w:spacing w:after="0"/>
              <w:jc w:val="both"/>
              <w:rPr>
                <w:rFonts w:ascii="Times New Roman" w:hAnsi="Times New Roman"/>
                <w:b/>
                <w:noProof/>
                <w:sz w:val="20"/>
                <w:szCs w:val="20"/>
              </w:rPr>
            </w:pPr>
            <w:r>
              <w:rPr>
                <w:rFonts w:ascii="Times New Roman" w:hAnsi="Times New Roman"/>
                <w:b/>
                <w:noProof/>
                <w:sz w:val="20"/>
              </w:rPr>
              <w:t xml:space="preserve">Mesures visant à intensifier </w:t>
            </w:r>
            <w:r>
              <w:rPr>
                <w:rFonts w:ascii="Times New Roman" w:hAnsi="Times New Roman"/>
                <w:b/>
                <w:noProof/>
                <w:sz w:val="20"/>
              </w:rPr>
              <w:t>les efforts portant sur l’application, la mise en œuvre et le contrôle de l’application du droit de l’UE</w:t>
            </w:r>
            <w:r>
              <w:rPr>
                <w:noProof/>
              </w:rPr>
              <w:t xml:space="preserve"> </w:t>
            </w:r>
            <w:r>
              <w:rPr>
                <w:rFonts w:ascii="Times New Roman" w:hAnsi="Times New Roman"/>
                <w:noProof/>
                <w:sz w:val="20"/>
              </w:rPr>
              <w:t>(initiative non législative; T4/2016)</w:t>
            </w:r>
            <w:r>
              <w:rPr>
                <w:rFonts w:ascii="Times New Roman" w:hAnsi="Times New Roman"/>
                <w:b/>
                <w:noProof/>
                <w:sz w:val="20"/>
              </w:rPr>
              <w:t xml:space="preserve">, conformément aux priorités de la Commission; propositions concrètes destinées à assurer un meilleur contrôle de </w:t>
            </w:r>
            <w:r>
              <w:rPr>
                <w:rFonts w:ascii="Times New Roman" w:hAnsi="Times New Roman"/>
                <w:b/>
                <w:noProof/>
                <w:sz w:val="20"/>
              </w:rPr>
              <w:t>l’application des règles du marché unique</w:t>
            </w:r>
            <w:r>
              <w:rPr>
                <w:rFonts w:ascii="Times New Roman" w:hAnsi="Times New Roman"/>
                <w:noProof/>
                <w:sz w:val="20"/>
              </w:rPr>
              <w:t xml:space="preserve"> (voir point 6 ci-dessus) </w:t>
            </w:r>
            <w:r>
              <w:rPr>
                <w:rFonts w:ascii="Times New Roman" w:hAnsi="Times New Roman"/>
                <w:b/>
                <w:noProof/>
                <w:sz w:val="20"/>
              </w:rPr>
              <w:t>et initiatives REFIT en vue d’une mise en œuvre appropriée et d’un contrôle adéquat de l’application de la réglementation environnementale, y compris en matière d’assurance de la conformité</w:t>
            </w:r>
            <w:r>
              <w:rPr>
                <w:rFonts w:ascii="Times New Roman" w:hAnsi="Times New Roman"/>
                <w:b/>
                <w:noProof/>
                <w:sz w:val="20"/>
              </w:rPr>
              <w:t xml:space="preserve"> environnementale</w:t>
            </w:r>
            <w:r>
              <w:rPr>
                <w:rFonts w:ascii="Times New Roman" w:hAnsi="Times New Roman"/>
                <w:noProof/>
                <w:sz w:val="20"/>
              </w:rPr>
              <w:t xml:space="preserve"> (initiative non législative; T3/2017)</w:t>
            </w:r>
            <w:r>
              <w:rPr>
                <w:rFonts w:ascii="Times New Roman" w:hAnsi="Times New Roman"/>
                <w:b/>
                <w:noProof/>
                <w:sz w:val="20"/>
              </w:rPr>
              <w:t>, d’accès à la justice</w:t>
            </w:r>
            <w:r>
              <w:rPr>
                <w:rFonts w:ascii="Times New Roman" w:hAnsi="Times New Roman"/>
                <w:noProof/>
                <w:sz w:val="20"/>
              </w:rPr>
              <w:t xml:space="preserve"> (initiative non législative; T1/2017) </w:t>
            </w:r>
            <w:r>
              <w:rPr>
                <w:rFonts w:ascii="Times New Roman" w:hAnsi="Times New Roman"/>
                <w:b/>
                <w:noProof/>
                <w:sz w:val="20"/>
              </w:rPr>
              <w:t>et de suivi, de transparence et de notification</w:t>
            </w:r>
            <w:r>
              <w:rPr>
                <w:rFonts w:ascii="Times New Roman" w:hAnsi="Times New Roman"/>
                <w:noProof/>
                <w:sz w:val="20"/>
              </w:rPr>
              <w:t xml:space="preserve"> (initiative législative/non législative; T2/2017)</w:t>
            </w:r>
            <w:r>
              <w:rPr>
                <w:rFonts w:ascii="Times New Roman" w:hAnsi="Times New Roman"/>
                <w:b/>
                <w:noProof/>
                <w:sz w:val="20"/>
              </w:rPr>
              <w:t>.</w:t>
            </w:r>
          </w:p>
        </w:tc>
      </w:tr>
    </w:tbl>
    <w:p w:rsidR="00A80E57" w:rsidRDefault="00A80E57">
      <w:pPr>
        <w:spacing w:after="600"/>
        <w:jc w:val="center"/>
        <w:outlineLvl w:val="0"/>
        <w:rPr>
          <w:noProof/>
        </w:rPr>
      </w:pPr>
    </w:p>
    <w:sectPr w:rsidR="00A80E57">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57" w:rsidRDefault="00435298">
      <w:pPr>
        <w:spacing w:after="0" w:line="240" w:lineRule="auto"/>
      </w:pPr>
      <w:r>
        <w:separator/>
      </w:r>
    </w:p>
  </w:endnote>
  <w:endnote w:type="continuationSeparator" w:id="0">
    <w:p w:rsidR="00A80E57" w:rsidRDefault="00435298">
      <w:pPr>
        <w:spacing w:after="0" w:line="240" w:lineRule="auto"/>
      </w:pPr>
      <w:r>
        <w:continuationSeparator/>
      </w:r>
    </w:p>
  </w:endnote>
  <w:endnote w:type="continuationNotice" w:id="1">
    <w:p w:rsidR="00A80E57" w:rsidRDefault="00A80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43529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5073"/>
      <w:docPartObj>
        <w:docPartGallery w:val="Page Numbers (Bottom of Page)"/>
        <w:docPartUnique/>
      </w:docPartObj>
    </w:sdtPr>
    <w:sdtEndPr>
      <w:rPr>
        <w:noProof/>
      </w:rPr>
    </w:sdtEndPr>
    <w:sdtContent>
      <w:p w:rsidR="00A80E57" w:rsidRDefault="0043529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A80E57" w:rsidRDefault="00A80E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57" w:rsidRDefault="00435298">
      <w:pPr>
        <w:spacing w:after="0" w:line="240" w:lineRule="auto"/>
      </w:pPr>
      <w:r>
        <w:separator/>
      </w:r>
    </w:p>
  </w:footnote>
  <w:footnote w:type="continuationSeparator" w:id="0">
    <w:p w:rsidR="00A80E57" w:rsidRDefault="00435298">
      <w:pPr>
        <w:spacing w:after="0" w:line="240" w:lineRule="auto"/>
      </w:pPr>
      <w:r>
        <w:continuationSeparator/>
      </w:r>
    </w:p>
  </w:footnote>
  <w:footnote w:type="continuationNotice" w:id="1">
    <w:p w:rsidR="00A80E57" w:rsidRDefault="00A80E57">
      <w:pPr>
        <w:spacing w:after="0" w:line="240" w:lineRule="auto"/>
      </w:pPr>
    </w:p>
  </w:footnote>
  <w:footnote w:id="2">
    <w:p w:rsidR="00A80E57" w:rsidRDefault="00435298">
      <w:pPr>
        <w:pStyle w:val="FootnoteText"/>
      </w:pPr>
      <w:r>
        <w:rPr>
          <w:rStyle w:val="FootnoteReference"/>
        </w:rPr>
        <w:footnoteRef/>
      </w:r>
      <w:r>
        <w:t xml:space="preserve"> Dans la présente annexe, la Commission fournit de plus amples informations, pour autant qu’elles soient disponibles, sur les initiatives prévues dans son programme de travail, conformément à l’accord interinstitutionnel «Mieux légiférer». Les informat</w:t>
      </w:r>
      <w:r>
        <w:t>ions figurant entre parenthèses sous la description de chaque initiative sont fournies à titre indicatif uniquement et sont susceptibles de changer au cours du processus préparatoire, compte tenu notamment du résultat de l’analyse d’impact éventuelle.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57" w:rsidRDefault="00A80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EF9038A5C8D472B8251A602583116E3"/>
    <w:docVar w:name="LW_CROSSREFERENCE" w:val="{SWD(2016) 400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ogramme de travail de la Commission pour 2017_x000b_Répondre aux attentes - Pour une Europe qui protège, donne les moyens d'agir et défend"/>
    <w:docVar w:name="LW_PART_NBR" w:val="1"/>
    <w:docVar w:name="LW_PART_NBR_TOTAL" w:val="1"/>
    <w:docVar w:name="LW_REF.INST.NEW" w:val="COM"/>
    <w:docVar w:name="LW_REF.INST.NEW_ADOPTED" w:val="final"/>
    <w:docVar w:name="LW_REF.INST.NEW_TEXT" w:val="(2016) 71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w:rsids>
    <w:rsidRoot w:val="00A80E57"/>
    <w:rsid w:val="00435298"/>
    <w:rsid w:val="00A80E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ED14-3F33-4882-B8A6-4D943BA4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2214</Words>
  <Characters>12381</Characters>
  <Application>Microsoft Office Word</Application>
  <DocSecurity>0</DocSecurity>
  <Lines>206</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Stefanie Heilemann</cp:lastModifiedBy>
  <cp:revision>13</cp:revision>
  <cp:lastPrinted>2016-10-25T09:59:00Z</cp:lastPrinted>
  <dcterms:created xsi:type="dcterms:W3CDTF">2016-10-25T06:07:00Z</dcterms:created>
  <dcterms:modified xsi:type="dcterms:W3CDTF">2016-10-25T09:59:00Z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