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17" w:rsidRDefault="00A23E86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E59FD1B85B245688FFEF0BBE2D127A6" style="width:450.6pt;height:461.8pt">
            <v:imagedata r:id="rId9" o:title=""/>
          </v:shape>
        </w:pict>
      </w:r>
      <w:bookmarkEnd w:id="1"/>
    </w:p>
    <w:bookmarkEnd w:id="0"/>
    <w:p w:rsidR="008C4317" w:rsidRDefault="008C4317">
      <w:pPr>
        <w:rPr>
          <w:noProof/>
        </w:rPr>
        <w:sectPr w:rsidR="008C43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8C4317" w:rsidRDefault="00A23E86">
      <w:pPr>
        <w:spacing w:after="48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noProof/>
          <w:sz w:val="28"/>
          <w:u w:val="single"/>
        </w:rPr>
        <w:lastRenderedPageBreak/>
        <w:t>Annexe II: initiatives REFIT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4382"/>
        <w:gridCol w:w="9541"/>
      </w:tblGrid>
      <w:tr w:rsidR="008C4317">
        <w:trPr>
          <w:cantSplit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C4317" w:rsidRDefault="00A23E86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Nº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C4317" w:rsidRDefault="00A23E86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Intitulé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C4317" w:rsidRDefault="00A23E86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Description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 nouvel élan pour l’emploi, la croissance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et l’investissement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 w:rsidR="008C4317"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Déchets d’équipements électriques et électroniques (DEEE) 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Acte d’exécution relatif à un format et une fréquence standard en matière de déclarations</w:t>
            </w:r>
            <w:r>
              <w:rPr>
                <w:rFonts w:ascii="Times New Roman" w:hAnsi="Times New Roman"/>
                <w:noProof/>
                <w:sz w:val="20"/>
              </w:rPr>
              <w:t xml:space="preserve"> (directive 2012/19/UE; article 16, paragraphe 3; T4/2017).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Suivi d’un avis de la </w:t>
            </w:r>
            <w:r>
              <w:rPr>
                <w:rFonts w:ascii="Times New Roman" w:hAnsi="Times New Roman"/>
                <w:b/>
                <w:noProof/>
                <w:sz w:val="20"/>
              </w:rPr>
              <w:t>plateforme REFIT.</w:t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3F3F3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Un marché unique numérique connecté 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Agence européenne chargée de la sécurité des réseaux et de l’information (ENISA)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du règlement (UE) n° 526/2013 («règlement ENISA») définissant le mandat, les objectifs et les missions de l’Agence européenne chargée de la sécurité des réseaux et de l’information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T4/2017)</w:t>
            </w:r>
            <w:r>
              <w:rPr>
                <w:noProof/>
              </w:rPr>
              <w:t>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Règlement sur les noms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de domaines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du règlement (CE) n° 733/2002 portant création du domaine de premier niveau (TLD) «.eu» et du règlement (CE) n° 874/2004 établissant les règles de politique d'intérêt général relatives à la mise en œuvre et aux fonctions du domaine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de premier niveau .eu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article 173 du TFUE; T3/2017).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Au cours des dix dernières années, le marché TLD a subi de profondes transformations qui supposeront à la fois des défis et des possibilités stratégiques pour le domaine d</w:t>
            </w:r>
            <w:r>
              <w:rPr>
                <w:rFonts w:ascii="Times New Roman" w:hAnsi="Times New Roman"/>
                <w:b/>
                <w:noProof/>
                <w:sz w:val="20"/>
              </w:rPr>
              <w:t>e premier niveau .eu.</w:t>
            </w:r>
          </w:p>
          <w:p w:rsidR="008C4317" w:rsidRDefault="008C4317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3F3F3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Une Union plus résiliente sur le plan de l’énergie, dotée d’une politique visionnaire en matière de changement climatique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Transport combiné</w:t>
            </w:r>
          </w:p>
          <w:p w:rsidR="008C4317" w:rsidRDefault="008C4317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de la directive 92/106/CEE relative à l'établissement de règles communes pour certains transports combinés de marchandises entre États membres visant à améliorer l’efficacité et l’efficience et à encourager davantage l'intermodalité des transports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dans l’UE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 Cette révision fait suite à une évaluation réalisée en 2016.</w:t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3F3F3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 marché intérieur plus approfondi et plus équitable, doté d’une base industrielle renforcée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Règlement général d'exemption par catégorie </w:t>
            </w:r>
            <w:r>
              <w:rPr>
                <w:rFonts w:ascii="Times New Roman" w:hAnsi="Times New Roman"/>
                <w:b/>
                <w:noProof/>
                <w:sz w:val="20"/>
              </w:rPr>
              <w:t>(RGEC) 2015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du règlement (UE) n° 651/2014 de la Commission introduisant des dispositions d’exonération en faveur des ports et des aéroports dans le règlement de la Commission déclarant certaines catégories d'aides compatibles avec le marché intér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ieur en application des articles 107 et 108 du traité </w:t>
            </w:r>
            <w:r>
              <w:rPr>
                <w:rFonts w:ascii="Times New Roman" w:hAnsi="Times New Roman"/>
                <w:noProof/>
                <w:sz w:val="20"/>
              </w:rPr>
              <w:t>[règlement (UE) 2015/1589; T1/2017]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Régime général d’accise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de la directive 2008/118/CE en vue d’harmoniser la législation en matière de douanes et d'accise et d'en garantir la cohérence</w:t>
            </w:r>
            <w:r>
              <w:rPr>
                <w:rFonts w:ascii="Times New Roman" w:hAnsi="Times New Roman"/>
                <w:noProof/>
                <w:sz w:val="20"/>
              </w:rPr>
              <w:t>,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de renforcer la sécurité juridique et de garantir l’application uniforme de la législation de l’UE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article 113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des structures des droits d'accise applicables à l’alcool et aux boissons </w:t>
            </w:r>
            <w:r>
              <w:rPr>
                <w:rFonts w:ascii="Times New Roman" w:hAnsi="Times New Roman"/>
                <w:b/>
                <w:noProof/>
                <w:sz w:val="20"/>
              </w:rPr>
              <w:t>alcooliques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</w:r>
          </w:p>
        </w:tc>
        <w:tc>
          <w:tcPr>
            <w:tcW w:w="3335" w:type="pct"/>
          </w:tcPr>
          <w:p w:rsidR="008C4317" w:rsidRDefault="00A23E86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de la directive 92/83/CEE du Conseil concernant les structures des droits d'accises sur l'alcool et les boissons alcooliques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article 113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Formation, qualification, permis dans le dom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aine du transport routier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br/>
            </w: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jc w:val="both"/>
              <w:rPr>
                <w:rFonts w:ascii="Tahoma" w:hAnsi="Tahoma" w:cs="Tahoma"/>
                <w:b/>
                <w:noProof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de la directive 2003/59/CE relative à la qualification initiale et à la formation continue des conducteurs de certains véhicules affectés aux transports de marchandises ou de voyageurs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</w:t>
            </w:r>
            <w:r>
              <w:rPr>
                <w:rFonts w:ascii="Times New Roman" w:hAnsi="Times New Roman"/>
                <w:noProof/>
                <w:sz w:val="20"/>
              </w:rPr>
              <w:t>icle 91 du TFUE;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18"/>
              </w:rPr>
              <w:t>T4/2016)</w:t>
            </w:r>
            <w:r>
              <w:rPr>
                <w:rFonts w:ascii="Times New Roman" w:hAnsi="Times New Roman"/>
                <w:b/>
                <w:noProof/>
                <w:sz w:val="20"/>
              </w:rPr>
              <w:t>. Suivi d'une évaluation réalisée en juillet 2016.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Un meilleur fonctionnement du marché pour le transport par autobus et autocar </w:t>
            </w:r>
          </w:p>
          <w:p w:rsidR="008C4317" w:rsidRDefault="008C431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du règlement (CE) n° 1073/2009 établissant des règles communes pour l’accès au marché international des services de transport par autocars et autobus, et modifiant le règlement (CE) n° 561/2006 afin d’améliorer la concurrence sur les marchés natio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naux des autocars, de garantir un accès non discriminatoire aux terminaux et autres infrastructures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article 91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 Cette révision fait suite à une évaluation réalisée en 2016.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Accès au marché du transport de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l'UE de marchandises par route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du règlement (CE) n° 1072/2009 et du règlement (CE) n° 1071/2009 afin de faciliter la mise en œuvre de conditions de concurrence équitables, de les simplifier et de les renforcer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</w:t>
            </w:r>
            <w:r>
              <w:rPr>
                <w:rFonts w:ascii="Times New Roman" w:hAnsi="Times New Roman"/>
                <w:noProof/>
                <w:sz w:val="20"/>
              </w:rPr>
              <w:t>icle 91 du TFUE; T2/2017).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Cette révision fait suite à une évaluation réalisée en 2016.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Renforcement de la législation sociale dans le domaine du transport routier  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du règlement (CE) n° 561/2006, de la directive 2002/15/CE et de la directive 2006/22/CE afin de garantir des conditions de concurrence réellement équitables dans le secteur du transport routier ainsi que des conditions de travail appropriées </w:t>
            </w:r>
            <w:r>
              <w:rPr>
                <w:rFonts w:ascii="Times New Roman" w:hAnsi="Times New Roman"/>
                <w:noProof/>
                <w:sz w:val="20"/>
              </w:rPr>
              <w:t>(incl</w:t>
            </w:r>
            <w:r>
              <w:rPr>
                <w:rFonts w:ascii="Times New Roman" w:hAnsi="Times New Roman"/>
                <w:noProof/>
                <w:sz w:val="20"/>
              </w:rPr>
              <w:t>uant une analyse d'impact; T2/2017).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Cette révision fait suite à une évaluation réalisée en 2016.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Code des petites embarcations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Proposition de recommandation du Conseil visant à faciliter et à simplifier la construction et le commerce transfrontalier de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petits navires à passagers ainsi que leur immatriculation </w:t>
            </w:r>
            <w:r>
              <w:rPr>
                <w:rFonts w:ascii="Times New Roman" w:hAnsi="Times New Roman"/>
                <w:noProof/>
                <w:sz w:val="20"/>
              </w:rPr>
              <w:t>(article 100, paragraphe 2,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  <w:r>
              <w:rPr>
                <w:noProof/>
                <w:color w:val="1F497D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Suivi du bilan de qualité REFIT sur la législation de l'UE relative à la sécurité des navires à passagers.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Location de véhicules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de la directive 2006/1/CE relative à l'utilisation de véhicules loués sans chauffeur dans le transport de marchandises par route afin de tirer le meilleur parti de l’affectation des ressources, d'augmenter la flexibilité dans l’organisation des op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érations de transport de fret et, partant, la productivité des entreprises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article 91 du TFUE; T2/2017).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Cette révision fait suite à une évaluation réalisée en 2016.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</w:tcPr>
          <w:p w:rsidR="008C4317" w:rsidRDefault="00A23E86"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Sécurité des infrastructures routières et des tunnels</w:t>
            </w:r>
          </w:p>
          <w:p w:rsidR="008C4317" w:rsidRDefault="008C4317">
            <w:pP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35" w:type="pct"/>
            <w:shd w:val="clear" w:color="auto" w:fill="auto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de la directive 2008/96/CE concernant la gestion de la sécurité des infrastructures routières et de la directive 2004/54/CE concernant les exigences de sécurité minimales applicables aux tunnels du réseau routier transeuropéen, afin d'améliorer la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sécurité routière, les pratiques de gestion de la sécurité des infrastructures des tunnels sur les axes routiers du RTE</w:t>
            </w:r>
            <w:r>
              <w:rPr>
                <w:noProof/>
              </w:rPr>
              <w:noBreakHyphen/>
            </w:r>
            <w:r>
              <w:rPr>
                <w:rFonts w:ascii="Times New Roman" w:hAnsi="Times New Roman"/>
                <w:b/>
                <w:noProof/>
                <w:sz w:val="20"/>
              </w:rPr>
              <w:t>T, de permettre la mise en œuvre de conditions de concurrence équitables en matière de gestion de la sécurité et de réduire la charge a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dministrative. Suivi de deux évaluations réalisées en 2015 </w:t>
            </w:r>
            <w:r>
              <w:rPr>
                <w:rFonts w:ascii="Times New Roman" w:hAnsi="Times New Roman"/>
                <w:noProof/>
                <w:sz w:val="20"/>
              </w:rPr>
              <w:t>(incluant une analyse d'impact; article 91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2F2F2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Une Union économique et monétaire plus approfondie et plus équitable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Paiements transfrontaliers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législative du règlement </w:t>
            </w:r>
            <w:r>
              <w:rPr>
                <w:rFonts w:ascii="Times New Roman" w:hAnsi="Times New Roman"/>
                <w:b/>
                <w:noProof/>
                <w:sz w:val="20"/>
              </w:rPr>
              <w:t>(CE) n° 924/2009 concernant les paiements transfrontaliers, afin d’étendre son champ d’application à toutes les devises autres que l’euro, d'apporter des améliorations au niveau de leur signalement et de réduire les commissions liées aux transactions trans</w:t>
            </w:r>
            <w:r>
              <w:rPr>
                <w:rFonts w:ascii="Times New Roman" w:hAnsi="Times New Roman"/>
                <w:b/>
                <w:noProof/>
                <w:sz w:val="20"/>
              </w:rPr>
              <w:t>frontalières, notamment en ce qui concerne les transactions à destination et en provenance des États membres n'appartenant pas à la zone euro</w:t>
            </w:r>
            <w:r>
              <w:rPr>
                <w:rFonts w:ascii="Times New Roman" w:hAnsi="Times New Roman"/>
                <w:noProof/>
                <w:sz w:val="20"/>
              </w:rPr>
              <w:t xml:space="preserve"> (article 114 du TFUE; T4/2017)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3F3F3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 Espace de justice et de droits fondamentaux basé sur la confiance mutuelle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 w:rsidR="008C4317"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Système d'information Schengen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bottom w:val="single" w:sz="4" w:space="0" w:color="auto"/>
            </w:tcBorders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du règlement (CE) n° 1987/2006 et de la décision 2007/533/JAI du Conseil sur l'établissement, le fonctionnement et l'utilisation du système d'information Schengen de deuxième génération (SIS II)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[article 77, paragr</w:t>
            </w:r>
            <w:r>
              <w:rPr>
                <w:rFonts w:ascii="Times New Roman" w:hAnsi="Times New Roman"/>
                <w:noProof/>
                <w:sz w:val="20"/>
              </w:rPr>
              <w:t>aphe 2, points b) et d), article 82 et article 87 du TFUE; T4/2016].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Cette initiative constitue un suivi de l’évaluation de la mise en œuvre du SIS II, conformément aux bases juridiques [règlement (CE) n° 1987/2006, décision 2007/533/JAI du Conseil; suivi </w:t>
            </w:r>
            <w:r>
              <w:rPr>
                <w:rFonts w:ascii="Times New Roman" w:hAnsi="Times New Roman"/>
                <w:b/>
                <w:noProof/>
                <w:sz w:val="20"/>
              </w:rPr>
              <w:t>d'une évaluation de 2016].</w:t>
            </w:r>
          </w:p>
        </w:tc>
      </w:tr>
      <w:tr w:rsidR="008C4317">
        <w:trPr>
          <w:cantSplit/>
        </w:trPr>
        <w:tc>
          <w:tcPr>
            <w:tcW w:w="133" w:type="pct"/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Droit des consommateurs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335" w:type="pct"/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de la directive 93/13/CEE du Conseil concernant les clauses abusives dans les contrats conclus avec les consommateurs, de la directive 98/6/CE relative à la protection des consommateurs en </w:t>
            </w:r>
            <w:r>
              <w:rPr>
                <w:rFonts w:ascii="Times New Roman" w:hAnsi="Times New Roman"/>
                <w:b/>
                <w:noProof/>
                <w:sz w:val="20"/>
              </w:rPr>
              <w:t>matière d'indication des prix des produits offerts aux consommateurs, de la directive 1999/44/CE sur certains aspects de la vente et des garanties des biens de consommation, de la directive 2005/29/CE relative aux pratiques commerciales déloyales des entre</w:t>
            </w:r>
            <w:r>
              <w:rPr>
                <w:rFonts w:ascii="Times New Roman" w:hAnsi="Times New Roman"/>
                <w:b/>
                <w:noProof/>
                <w:sz w:val="20"/>
              </w:rPr>
              <w:t>prises vis-à-vis des consommateurs dans le marché intérieur, de la directive 2006/114/CE en matière de publicité trompeuse et de publicité comparative, de la directive 2009/22/CE relative aux actions en cessation en matière de protection des intérêts des c</w:t>
            </w:r>
            <w:r>
              <w:rPr>
                <w:rFonts w:ascii="Times New Roman" w:hAnsi="Times New Roman"/>
                <w:b/>
                <w:noProof/>
                <w:sz w:val="20"/>
              </w:rPr>
              <w:t>onsommateurs et de la directive 2011/83/UE relative aux droits des consommateurs</w:t>
            </w:r>
            <w:r>
              <w:rPr>
                <w:rFonts w:ascii="Times New Roman" w:hAnsi="Times New Roman"/>
                <w:noProof/>
                <w:sz w:val="20"/>
              </w:rPr>
              <w:t xml:space="preserve"> (incluant une analyse d'impact; T4/2017). </w:t>
            </w:r>
            <w:r>
              <w:rPr>
                <w:rFonts w:ascii="Times New Roman" w:hAnsi="Times New Roman"/>
                <w:b/>
                <w:noProof/>
                <w:sz w:val="20"/>
              </w:rPr>
              <w:t>La révision fait suite à un bilan de qualité et à une évaluation.</w:t>
            </w:r>
          </w:p>
        </w:tc>
      </w:tr>
      <w:tr w:rsidR="008C4317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8C4317" w:rsidRDefault="00A23E86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Vers une nouvelle politique migratoire</w:t>
            </w:r>
          </w:p>
        </w:tc>
      </w:tr>
      <w:tr w:rsidR="008C4317"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8C4317" w:rsidRDefault="008C43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</w:tcPr>
          <w:p w:rsidR="008C4317" w:rsidRDefault="00A23E86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Système d'information sur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les visas</w:t>
            </w:r>
          </w:p>
          <w:p w:rsidR="008C4317" w:rsidRDefault="008C4317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35" w:type="pct"/>
            <w:tcBorders>
              <w:bottom w:val="single" w:sz="4" w:space="0" w:color="auto"/>
            </w:tcBorders>
          </w:tcPr>
          <w:p w:rsidR="008C4317" w:rsidRDefault="00A23E86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Proposition visant à modifier le règlement (CE) n° 767/2008 concernant le système d'information sur les visas (VIS) et l'échange de données entre les États membres sur les visas de court séjour et le règlement (CE) n° 810/2009 établissant un </w:t>
            </w:r>
            <w:r>
              <w:rPr>
                <w:rFonts w:ascii="Times New Roman" w:hAnsi="Times New Roman"/>
                <w:b/>
                <w:noProof/>
                <w:sz w:val="20"/>
              </w:rPr>
              <w:t>code communautaire des visas (code des visas)</w:t>
            </w:r>
            <w:r>
              <w:rPr>
                <w:rFonts w:ascii="Times New Roman" w:hAnsi="Times New Roman"/>
                <w:noProof/>
                <w:sz w:val="20"/>
              </w:rPr>
              <w:t xml:space="preserve"> [incluant une analyse d'impact; article 77, paragraphe 2, points a) et b), et article 87 du TFUE]</w:t>
            </w:r>
            <w:r>
              <w:rPr>
                <w:rFonts w:ascii="Times New Roman" w:hAnsi="Times New Roman"/>
                <w:b/>
                <w:noProof/>
                <w:sz w:val="20"/>
              </w:rPr>
              <w:t>. Suivi d'une évaluation de 2016.</w:t>
            </w:r>
          </w:p>
        </w:tc>
      </w:tr>
    </w:tbl>
    <w:p w:rsidR="008C4317" w:rsidRDefault="008C4317">
      <w:pPr>
        <w:spacing w:after="600"/>
        <w:outlineLvl w:val="0"/>
        <w:rPr>
          <w:noProof/>
        </w:rPr>
      </w:pPr>
    </w:p>
    <w:sectPr w:rsidR="008C43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17" w:rsidRDefault="00A23E86">
      <w:pPr>
        <w:spacing w:after="0" w:line="240" w:lineRule="auto"/>
      </w:pPr>
      <w:r>
        <w:separator/>
      </w:r>
    </w:p>
  </w:endnote>
  <w:endnote w:type="continuationSeparator" w:id="0">
    <w:p w:rsidR="008C4317" w:rsidRDefault="00A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A23E8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A23E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C4317" w:rsidRDefault="008C431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17" w:rsidRDefault="00A23E86">
      <w:pPr>
        <w:spacing w:after="0" w:line="240" w:lineRule="auto"/>
      </w:pPr>
      <w:r>
        <w:separator/>
      </w:r>
    </w:p>
  </w:footnote>
  <w:footnote w:type="continuationSeparator" w:id="0">
    <w:p w:rsidR="008C4317" w:rsidRDefault="00A23E86">
      <w:pPr>
        <w:spacing w:after="0" w:line="240" w:lineRule="auto"/>
      </w:pPr>
      <w:r>
        <w:continuationSeparator/>
      </w:r>
    </w:p>
  </w:footnote>
  <w:footnote w:id="1">
    <w:p w:rsidR="008C4317" w:rsidRDefault="00A23E86">
      <w:pPr>
        <w:pStyle w:val="FootnoteText"/>
      </w:pPr>
      <w:r>
        <w:rPr>
          <w:rStyle w:val="FootnoteReference"/>
        </w:rPr>
        <w:footnoteRef/>
      </w:r>
      <w:r>
        <w:t xml:space="preserve"> La présente annexe dresse la liste de</w:t>
      </w:r>
      <w:r>
        <w:t>s initiatives législatives relevant du programme REFIT, dont l’adoption est prévue en 2017. Elle complète les éléments accompagnant les nouvelles initiatives figurant dans l’annexe I.</w:t>
      </w:r>
    </w:p>
  </w:footnote>
  <w:footnote w:id="2">
    <w:p w:rsidR="008C4317" w:rsidRDefault="00A23E8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Dans la présente annexe, la Commission fournit de plus amples informat</w:t>
      </w:r>
      <w:r>
        <w:t>ions, pour autant qu’elles soient disponibles, sur les initiatives prévues dans son programme de travail, conformément à l’accord interinstitutionnel «Mieux légiférer». Les informations figurant entre parenthèses sous la description de chaque initiative so</w:t>
      </w:r>
      <w:r>
        <w:t>nt fournies à titre indicatif uniquement et sont susceptibles de changer au cours du processus préparatoire, compte tenu notamment du résultat de l’analyse d’impact éventuelle.</w:t>
      </w:r>
    </w:p>
    <w:p w:rsidR="008C4317" w:rsidRDefault="008C4317">
      <w:pPr>
        <w:pStyle w:val="FootnoteText"/>
        <w:jc w:val="both"/>
      </w:pPr>
    </w:p>
    <w:p w:rsidR="008C4317" w:rsidRDefault="008C431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17" w:rsidRDefault="008C4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3E59FD1B85B245688FFEF0BBE2D127A6"/>
    <w:docVar w:name="LW_CROSSREFERENCE" w:val="{SWD(2016) 400 final}"/>
    <w:docVar w:name="LW_DocType" w:val="NORMAL"/>
    <w:docVar w:name="LW_EMISSION" w:val="25.10.2016"/>
    <w:docVar w:name="LW_EMISSION_ISODATE" w:val="2016-10-25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_x000b_Programme de travail de la Commission pour 2017_x000b__x000b_Répondre aux attentes - Pour une Europe qui protège, donne les moyens d'agir et défend"/>
    <w:docVar w:name="LW_PART_NBR" w:val="1"/>
    <w:docVar w:name="LW_PART_NBR_TOTAL" w:val="1"/>
    <w:docVar w:name="LW_REF.INST.NEW" w:val="COM"/>
    <w:docVar w:name="LW_REF.INST.NEW_ADOPTED" w:val="final"/>
    <w:docVar w:name="LW_REF.INST.NEW_TEXT" w:val="(2016) 71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w:rsids>
    <w:rsidRoot w:val="008C4317"/>
    <w:rsid w:val="008C4317"/>
    <w:rsid w:val="00A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BF73-5A9C-46DB-8BD2-1937FDE6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1337</Words>
  <Characters>7478</Characters>
  <Application>Microsoft Office Word</Application>
  <DocSecurity>0</DocSecurity>
  <Lines>124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Stefanie Heilemann</cp:lastModifiedBy>
  <cp:revision>12</cp:revision>
  <cp:lastPrinted>2016-10-25T09:58:00Z</cp:lastPrinted>
  <dcterms:created xsi:type="dcterms:W3CDTF">2016-10-25T06:08:00Z</dcterms:created>
  <dcterms:modified xsi:type="dcterms:W3CDTF">2016-10-25T09:58:00Z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