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2A" w:rsidRDefault="003E6D50">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34FE7A48B434F12825F9FDA026EF942" style="width:450.25pt;height:434.15pt">
            <v:imagedata r:id="rId9" o:title=""/>
          </v:shape>
        </w:pict>
      </w:r>
      <w:bookmarkEnd w:id="1"/>
    </w:p>
    <w:bookmarkEnd w:id="0"/>
    <w:p w:rsidR="004D4F2A" w:rsidRDefault="004D4F2A">
      <w:pPr>
        <w:rPr>
          <w:noProof/>
        </w:rPr>
        <w:sectPr w:rsidR="004D4F2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4D4F2A" w:rsidRDefault="003E6D50">
      <w:pPr>
        <w:spacing w:after="480"/>
        <w:jc w:val="center"/>
        <w:outlineLvl w:val="0"/>
        <w:rPr>
          <w:rFonts w:ascii="Times New Roman" w:hAnsi="Times New Roman"/>
          <w:b/>
          <w:noProof/>
          <w:sz w:val="28"/>
          <w:szCs w:val="28"/>
          <w:u w:val="single"/>
        </w:rPr>
      </w:pPr>
      <w:r>
        <w:rPr>
          <w:rFonts w:ascii="Times New Roman" w:hAnsi="Times New Roman"/>
          <w:b/>
          <w:noProof/>
          <w:sz w:val="28"/>
          <w:u w:val="single"/>
        </w:rPr>
        <w:lastRenderedPageBreak/>
        <w:t>Annexe IV: Retraits</w:t>
      </w:r>
      <w:r>
        <w:rPr>
          <w:rStyle w:val="FootnoteReference"/>
          <w:rFonts w:ascii="Times New Roman" w:hAnsi="Times New Roman"/>
          <w:b/>
          <w:noProof/>
          <w:sz w:val="28"/>
          <w:u w:val="single"/>
        </w:rPr>
        <w:footnoteReference w:id="1"/>
      </w:r>
    </w:p>
    <w:tbl>
      <w:tblPr>
        <w:tblStyle w:val="TableGrid"/>
        <w:tblW w:w="4981" w:type="pct"/>
        <w:tblLayout w:type="fixed"/>
        <w:tblCellMar>
          <w:top w:w="28" w:type="dxa"/>
          <w:left w:w="85" w:type="dxa"/>
          <w:bottom w:w="28" w:type="dxa"/>
          <w:right w:w="85" w:type="dxa"/>
        </w:tblCellMar>
        <w:tblLook w:val="04A0" w:firstRow="1" w:lastRow="0" w:firstColumn="1" w:lastColumn="0" w:noHBand="0" w:noVBand="1"/>
      </w:tblPr>
      <w:tblGrid>
        <w:gridCol w:w="525"/>
        <w:gridCol w:w="2412"/>
        <w:gridCol w:w="6546"/>
        <w:gridCol w:w="4637"/>
      </w:tblGrid>
      <w:tr w:rsidR="004D4F2A">
        <w:trPr>
          <w:cantSplit/>
          <w:trHeight w:val="564"/>
          <w:tblHeader/>
        </w:trPr>
        <w:tc>
          <w:tcPr>
            <w:tcW w:w="186" w:type="pct"/>
            <w:tcBorders>
              <w:bottom w:val="single" w:sz="4" w:space="0" w:color="auto"/>
            </w:tcBorders>
            <w:shd w:val="clear" w:color="auto" w:fill="99CCFF"/>
            <w:vAlign w:val="center"/>
          </w:tcPr>
          <w:p w:rsidR="004D4F2A" w:rsidRDefault="003E6D50">
            <w:pPr>
              <w:jc w:val="center"/>
              <w:rPr>
                <w:rFonts w:ascii="Times New Roman" w:eastAsia="Times New Roman" w:hAnsi="Times New Roman"/>
                <w:b/>
                <w:noProof/>
              </w:rPr>
            </w:pPr>
            <w:r>
              <w:rPr>
                <w:rFonts w:ascii="Times New Roman" w:hAnsi="Times New Roman"/>
                <w:b/>
                <w:noProof/>
              </w:rPr>
              <w:t>N</w:t>
            </w:r>
            <w:r>
              <w:rPr>
                <w:rFonts w:ascii="Times New Roman" w:hAnsi="Times New Roman"/>
                <w:noProof/>
                <w:vertAlign w:val="superscript"/>
              </w:rPr>
              <w:t>º</w:t>
            </w:r>
          </w:p>
        </w:tc>
        <w:tc>
          <w:tcPr>
            <w:tcW w:w="854" w:type="pct"/>
            <w:tcBorders>
              <w:bottom w:val="single" w:sz="4" w:space="0" w:color="auto"/>
            </w:tcBorders>
            <w:shd w:val="clear" w:color="auto" w:fill="99CCFF"/>
            <w:vAlign w:val="center"/>
          </w:tcPr>
          <w:p w:rsidR="004D4F2A" w:rsidRDefault="003E6D50">
            <w:pPr>
              <w:jc w:val="center"/>
              <w:rPr>
                <w:rFonts w:ascii="Times New Roman" w:eastAsia="Times New Roman" w:hAnsi="Times New Roman"/>
                <w:b/>
                <w:noProof/>
              </w:rPr>
            </w:pPr>
            <w:r>
              <w:rPr>
                <w:rFonts w:ascii="Times New Roman" w:hAnsi="Times New Roman"/>
                <w:b/>
                <w:noProof/>
              </w:rPr>
              <w:t>Référence COM/interinstitutionnelle</w:t>
            </w:r>
          </w:p>
        </w:tc>
        <w:tc>
          <w:tcPr>
            <w:tcW w:w="2318" w:type="pct"/>
            <w:tcBorders>
              <w:bottom w:val="single" w:sz="4" w:space="0" w:color="auto"/>
            </w:tcBorders>
            <w:shd w:val="clear" w:color="auto" w:fill="99CCFF"/>
            <w:vAlign w:val="center"/>
          </w:tcPr>
          <w:p w:rsidR="004D4F2A" w:rsidRDefault="003E6D50">
            <w:pPr>
              <w:jc w:val="center"/>
              <w:rPr>
                <w:rFonts w:ascii="Times New Roman" w:eastAsia="Times New Roman" w:hAnsi="Times New Roman"/>
                <w:bCs/>
                <w:noProof/>
              </w:rPr>
            </w:pPr>
            <w:r>
              <w:rPr>
                <w:rFonts w:ascii="Times New Roman" w:hAnsi="Times New Roman"/>
                <w:b/>
                <w:noProof/>
              </w:rPr>
              <w:t>Intitulé</w:t>
            </w:r>
          </w:p>
        </w:tc>
        <w:tc>
          <w:tcPr>
            <w:tcW w:w="1643" w:type="pct"/>
            <w:tcBorders>
              <w:bottom w:val="single" w:sz="4" w:space="0" w:color="auto"/>
            </w:tcBorders>
            <w:shd w:val="clear" w:color="auto" w:fill="99CCFF"/>
            <w:vAlign w:val="center"/>
          </w:tcPr>
          <w:p w:rsidR="004D4F2A" w:rsidRDefault="003E6D50">
            <w:pPr>
              <w:jc w:val="center"/>
              <w:rPr>
                <w:rFonts w:ascii="Times New Roman" w:eastAsia="Times New Roman" w:hAnsi="Times New Roman"/>
                <w:noProof/>
              </w:rPr>
            </w:pPr>
            <w:r>
              <w:rPr>
                <w:rFonts w:ascii="Times New Roman" w:hAnsi="Times New Roman"/>
                <w:b/>
                <w:noProof/>
              </w:rPr>
              <w:t>Motifs du retrait</w:t>
            </w: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noProof/>
              </w:rPr>
            </w:pPr>
            <w:r>
              <w:rPr>
                <w:rFonts w:ascii="Times New Roman" w:hAnsi="Times New Roman"/>
                <w:b/>
                <w:noProof/>
              </w:rPr>
              <w:t>Agriculture</w:t>
            </w:r>
            <w:r>
              <w:rPr>
                <w:rFonts w:ascii="Times New Roman" w:hAnsi="Times New Roman"/>
                <w:b/>
                <w:noProof/>
              </w:rPr>
              <w:t xml:space="preserve"> et développement rural</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eastAsia="Times New Roman" w:hAnsi="Times New Roman"/>
                <w:noProof/>
              </w:rPr>
            </w:pPr>
            <w:r>
              <w:rPr>
                <w:rFonts w:ascii="Times New Roman" w:hAnsi="Times New Roman"/>
                <w:noProof/>
              </w:rPr>
              <w:t>COM/2016/0159</w:t>
            </w:r>
          </w:p>
          <w:p w:rsidR="004D4F2A" w:rsidRDefault="003E6D50">
            <w:pPr>
              <w:jc w:val="both"/>
              <w:rPr>
                <w:rFonts w:ascii="Times New Roman" w:eastAsia="Times New Roman" w:hAnsi="Times New Roman"/>
                <w:noProof/>
              </w:rPr>
            </w:pPr>
            <w:r>
              <w:rPr>
                <w:rFonts w:ascii="Times New Roman" w:hAnsi="Times New Roman"/>
                <w:noProof/>
              </w:rPr>
              <w:t>2016/0086/COD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RÈGLEMENT DU PARLEMENT EUROPÉEN ET DU CONSEIL fixant le taux d’ajustement prévu par le règlement (UE) nº 1306/2013 pour les paiements directs en ce qui concerne l’année civile 2016</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cette </w:t>
            </w:r>
            <w:r>
              <w:rPr>
                <w:rFonts w:ascii="Times New Roman" w:hAnsi="Times New Roman"/>
                <w:noProof/>
              </w:rPr>
              <w:t>question a fait l’objet du règlement d’exécution (UE) 2016/1153 du 14 juillet 2016.</w:t>
            </w:r>
          </w:p>
          <w:p w:rsidR="004D4F2A" w:rsidRDefault="004D4F2A">
            <w:pPr>
              <w:jc w:val="both"/>
              <w:rPr>
                <w:rFonts w:ascii="Times New Roman" w:eastAsia="Times New Roman" w:hAnsi="Times New Roman"/>
                <w:noProof/>
              </w:rPr>
            </w:pP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noProof/>
              </w:rPr>
            </w:pPr>
            <w:r>
              <w:rPr>
                <w:rFonts w:ascii="Times New Roman" w:hAnsi="Times New Roman"/>
                <w:b/>
                <w:noProof/>
              </w:rPr>
              <w:t>Action pour le climat et énergie</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w:t>
            </w:r>
            <w:r>
              <w:rPr>
                <w:rFonts w:ascii="Times New Roman" w:hAnsi="Times New Roman"/>
                <w:noProof/>
              </w:rPr>
              <w:t>2014</w:t>
            </w:r>
            <w:r>
              <w:rPr>
                <w:rFonts w:ascii="Times New Roman" w:hAnsi="Times New Roman"/>
                <w:noProof/>
                <w:color w:val="000000"/>
              </w:rPr>
              <w:t>/0566</w:t>
            </w:r>
          </w:p>
          <w:p w:rsidR="004D4F2A" w:rsidRDefault="003E6D50">
            <w:pPr>
              <w:jc w:val="both"/>
              <w:rPr>
                <w:rFonts w:ascii="Times New Roman" w:hAnsi="Times New Roman"/>
                <w:i/>
                <w:iCs/>
                <w:noProof/>
                <w:color w:val="000000"/>
              </w:rPr>
            </w:pPr>
            <w:r>
              <w:rPr>
                <w:rFonts w:ascii="Times New Roman" w:hAnsi="Times New Roman"/>
                <w:noProof/>
              </w:rPr>
              <w:t>2014/0262/NLE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 xml:space="preserve">Proposition de décision du Conseil adressant à la Commission des directives en vue de la négociation des </w:t>
            </w:r>
            <w:r>
              <w:rPr>
                <w:rFonts w:ascii="Times New Roman" w:hAnsi="Times New Roman"/>
                <w:noProof/>
              </w:rPr>
              <w:t>modifications de la convention sur la sûreté nucléaire (CSN) dans le cadre d’une conférence diplomatique</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proposition obsolète car les modifications ont été intégrées dans la Convention de Vienne sur la sûreté nucléaire</w:t>
            </w: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noProof/>
              </w:rPr>
            </w:pPr>
            <w:r>
              <w:rPr>
                <w:rFonts w:ascii="Times New Roman" w:hAnsi="Times New Roman"/>
                <w:b/>
                <w:noProof/>
              </w:rPr>
              <w:t>Affaires économiques et fi</w:t>
            </w:r>
            <w:r>
              <w:rPr>
                <w:rFonts w:ascii="Times New Roman" w:hAnsi="Times New Roman"/>
                <w:b/>
                <w:noProof/>
              </w:rPr>
              <w:t>nancières, fiscalité et douanes</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eastAsia="Times New Roman" w:hAnsi="Times New Roman"/>
                <w:bCs/>
                <w:noProof/>
              </w:rPr>
            </w:pPr>
            <w:r>
              <w:rPr>
                <w:rFonts w:ascii="Times New Roman" w:hAnsi="Times New Roman"/>
                <w:noProof/>
              </w:rPr>
              <w:t>COM/2011/0121</w:t>
            </w:r>
          </w:p>
          <w:p w:rsidR="004D4F2A" w:rsidRDefault="003E6D50">
            <w:pPr>
              <w:jc w:val="both"/>
              <w:rPr>
                <w:rFonts w:ascii="Times New Roman" w:eastAsia="Times New Roman" w:hAnsi="Times New Roman"/>
                <w:bCs/>
                <w:noProof/>
              </w:rPr>
            </w:pPr>
            <w:r>
              <w:rPr>
                <w:rFonts w:ascii="Times New Roman" w:hAnsi="Times New Roman"/>
                <w:noProof/>
              </w:rPr>
              <w:t>2011/0058/CNS</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DIRECTIVE DU CONSEIL concernant une assiette commune consolidée pour l’impôt sur les sociétés (ACCIS)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Dans le prolongement de son plan d’action sur la fiscalité des entreprises, </w:t>
            </w:r>
            <w:r>
              <w:rPr>
                <w:rFonts w:ascii="Times New Roman" w:hAnsi="Times New Roman"/>
                <w:noProof/>
              </w:rPr>
              <w:t>adopté en juin 2015, la Commission est en train de relancer l’assiette commune consolidée pour l’impôt des sociétés (ACCIS) selon une nouvelle approche par étapes. Une proposition législative pour la création d’une assiette fiscale commune obligatoire a ét</w:t>
            </w:r>
            <w:r>
              <w:rPr>
                <w:rFonts w:ascii="Times New Roman" w:hAnsi="Times New Roman"/>
                <w:noProof/>
              </w:rPr>
              <w:t>é adoptée le 25 octobre 2016. Conformément à ce qui a été annoncé dans le programme de travail de la Commission pour 2016, la proposition existante a été retirée en parallèle.</w:t>
            </w:r>
          </w:p>
        </w:tc>
      </w:tr>
      <w:tr w:rsidR="004D4F2A">
        <w:trPr>
          <w:cantSplit/>
        </w:trPr>
        <w:tc>
          <w:tcPr>
            <w:tcW w:w="5000" w:type="pct"/>
            <w:gridSpan w:val="4"/>
            <w:shd w:val="clear" w:color="auto" w:fill="F2F2F2" w:themeFill="background1" w:themeFillShade="F2"/>
            <w:vAlign w:val="center"/>
          </w:tcPr>
          <w:p w:rsidR="004D4F2A" w:rsidRDefault="003E6D50">
            <w:pPr>
              <w:keepNext/>
              <w:spacing w:before="60" w:after="60"/>
              <w:ind w:right="-170"/>
              <w:rPr>
                <w:rFonts w:ascii="Times New Roman" w:hAnsi="Times New Roman"/>
                <w:b/>
                <w:noProof/>
              </w:rPr>
            </w:pPr>
            <w:r>
              <w:rPr>
                <w:rFonts w:ascii="Times New Roman" w:hAnsi="Times New Roman"/>
                <w:b/>
                <w:noProof/>
              </w:rPr>
              <w:lastRenderedPageBreak/>
              <w:t>Affaires étrangères et politique de sécurité</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COM/2005/0397</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DÉC</w:t>
            </w:r>
            <w:r>
              <w:rPr>
                <w:rFonts w:ascii="Times New Roman" w:hAnsi="Times New Roman"/>
                <w:noProof/>
              </w:rPr>
              <w:t>ISION DU CONSEIL relative à la position de la Communauté dans le comité mixte pour la mise en œuvre de l’article 66 de l’accord d’association euro-méditerranéen intérimaire relatif aux échanges commerciaux et à la coopération entre la Communauté européenne</w:t>
            </w:r>
            <w:r>
              <w:rPr>
                <w:rFonts w:ascii="Times New Roman" w:hAnsi="Times New Roman"/>
                <w:noProof/>
              </w:rPr>
              <w:t>, d’une part, et l’Organisation de libération de la Palestine (OLP), agissant pour le compte de l’Autorité palestinienne de la Cisjordanie et de la bande de Gaza, d’autre part</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le dernier document pertinent en date est la décision du comité mixte </w:t>
            </w:r>
            <w:r>
              <w:rPr>
                <w:rFonts w:ascii="Times New Roman" w:hAnsi="Times New Roman"/>
                <w:noProof/>
              </w:rPr>
              <w:t>UE-OLP portant création de six sous-comités (JO L 187 du 17.7.2012, p. 64-72).</w:t>
            </w:r>
            <w:r>
              <w:rPr>
                <w:rFonts w:ascii="Times New Roman" w:eastAsia="Times New Roman" w:hAnsi="Times New Roman"/>
                <w:noProof/>
              </w:rPr>
              <w:br/>
            </w:r>
          </w:p>
          <w:p w:rsidR="004D4F2A" w:rsidRDefault="004D4F2A">
            <w:pPr>
              <w:jc w:val="both"/>
              <w:rPr>
                <w:rFonts w:ascii="Times New Roman" w:eastAsia="Times New Roman" w:hAnsi="Times New Roman"/>
                <w:noProof/>
              </w:rPr>
            </w:pP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JOIN/2015/0035</w:t>
            </w:r>
          </w:p>
          <w:p w:rsidR="004D4F2A" w:rsidRDefault="003E6D50">
            <w:pPr>
              <w:jc w:val="both"/>
              <w:rPr>
                <w:rFonts w:ascii="Times New Roman" w:hAnsi="Times New Roman"/>
                <w:noProof/>
                <w:color w:val="000000"/>
              </w:rPr>
            </w:pPr>
            <w:r>
              <w:rPr>
                <w:rFonts w:ascii="Times New Roman" w:hAnsi="Times New Roman"/>
                <w:noProof/>
                <w:color w:val="000000"/>
              </w:rPr>
              <w:t>2015/0303/NLE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 xml:space="preserve">Proposition conjointe de DÉCISION DU CONSEIL relative à la signature, au nom de l’Union européenne, de l’accord de coopération en matière de </w:t>
            </w:r>
            <w:r>
              <w:rPr>
                <w:rFonts w:ascii="Times New Roman" w:hAnsi="Times New Roman"/>
                <w:noProof/>
              </w:rPr>
              <w:t>partenariat et de développement entre l’Union européenne et la République islamique d’Afghanistan</w:t>
            </w:r>
          </w:p>
          <w:p w:rsidR="004D4F2A" w:rsidRDefault="004D4F2A">
            <w:pPr>
              <w:jc w:val="both"/>
              <w:rPr>
                <w:rFonts w:ascii="Times New Roman" w:eastAsia="Times New Roman" w:hAnsi="Times New Roman"/>
                <w:bCs/>
                <w:noProof/>
              </w:rPr>
            </w:pP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Remplacée par une proposition de décision conjointe, portant aussi sur l’application provisoire de l’accord </w:t>
            </w:r>
            <w:r>
              <w:rPr>
                <w:noProof/>
              </w:rPr>
              <w:t>(</w:t>
            </w:r>
            <w:r>
              <w:rPr>
                <w:rFonts w:ascii="Times New Roman" w:hAnsi="Times New Roman"/>
                <w:noProof/>
              </w:rPr>
              <w:t xml:space="preserve">JOIN (2016)45). </w:t>
            </w: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noProof/>
              </w:rPr>
            </w:pPr>
            <w:r>
              <w:rPr>
                <w:rFonts w:ascii="Times New Roman" w:hAnsi="Times New Roman"/>
                <w:b/>
                <w:noProof/>
              </w:rPr>
              <w:t>Santé et sécurité alimentaire</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COM/2014/0004</w:t>
            </w:r>
          </w:p>
          <w:p w:rsidR="004D4F2A" w:rsidRDefault="003E6D50">
            <w:pPr>
              <w:jc w:val="both"/>
              <w:rPr>
                <w:rFonts w:ascii="Times New Roman" w:hAnsi="Times New Roman"/>
                <w:iCs/>
                <w:noProof/>
                <w:color w:val="000000"/>
              </w:rPr>
            </w:pPr>
            <w:r>
              <w:rPr>
                <w:rFonts w:ascii="Times New Roman" w:hAnsi="Times New Roman"/>
                <w:noProof/>
                <w:color w:val="000000"/>
              </w:rPr>
              <w:t>2014/0033/COD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DIRECTIVE DU PARLEMENT EUROPÉEN ET DU CONSEIL portant modification des directives 89/608/CEE, 90/425/CEE et 91/496/CEE en ce qui concerne les références à la législation zootechnique</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le contenu de la p</w:t>
            </w:r>
            <w:r>
              <w:rPr>
                <w:rFonts w:ascii="Times New Roman" w:hAnsi="Times New Roman"/>
                <w:noProof/>
              </w:rPr>
              <w:t>roposition a été repris par le règlement (UE) 2016/1012 du Parlement européen et du Conseil relatif aux conditions zootechniques et généalogiques applicables à l’élevage, aux échanges et à l’entrée dans l’Union de reproducteurs de race pure, de reproducteu</w:t>
            </w:r>
            <w:r>
              <w:rPr>
                <w:rFonts w:ascii="Times New Roman" w:hAnsi="Times New Roman"/>
                <w:noProof/>
              </w:rPr>
              <w:t>rs porcins hybrides et de leurs produits germinaux (JO L 171 du 29.6.2016, p. 66-143).</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COM/2007/0872</w:t>
            </w:r>
          </w:p>
          <w:p w:rsidR="004D4F2A" w:rsidRDefault="003E6D50">
            <w:pPr>
              <w:jc w:val="both"/>
              <w:rPr>
                <w:rFonts w:ascii="Times New Roman" w:hAnsi="Times New Roman"/>
                <w:iCs/>
                <w:noProof/>
                <w:color w:val="000000"/>
              </w:rPr>
            </w:pPr>
            <w:r>
              <w:rPr>
                <w:rFonts w:ascii="Times New Roman" w:hAnsi="Times New Roman"/>
                <w:noProof/>
                <w:color w:val="000000"/>
              </w:rPr>
              <w:t>2008/0002/COD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RÈGLEMENT DU PARLEMENT EUROPÉEN ET DU CONSEIL concernant les nouveaux aliments et modifiant le règlement (CE) nº XXX/XXXX [p</w:t>
            </w:r>
            <w:r>
              <w:rPr>
                <w:rFonts w:ascii="Times New Roman" w:hAnsi="Times New Roman"/>
                <w:noProof/>
              </w:rPr>
              <w:t>rocédure uniforme]</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échec de la conciliation en 2011.</w:t>
            </w: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bCs/>
                <w:noProof/>
              </w:rPr>
            </w:pPr>
            <w:r>
              <w:rPr>
                <w:rFonts w:ascii="Times New Roman" w:hAnsi="Times New Roman"/>
                <w:b/>
                <w:noProof/>
              </w:rPr>
              <w:t>Marché intérieur, industrie, entrepreneuriat et PME</w:t>
            </w:r>
          </w:p>
        </w:tc>
      </w:tr>
      <w:tr w:rsidR="004D4F2A">
        <w:trPr>
          <w:cantSplit/>
        </w:trPr>
        <w:tc>
          <w:tcPr>
            <w:tcW w:w="186" w:type="pct"/>
            <w:tcBorders>
              <w:bottom w:val="single" w:sz="4" w:space="0" w:color="auto"/>
            </w:tcBorders>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Borders>
              <w:bottom w:val="single" w:sz="4" w:space="0" w:color="auto"/>
            </w:tcBorders>
          </w:tcPr>
          <w:p w:rsidR="004D4F2A" w:rsidRDefault="003E6D50">
            <w:pPr>
              <w:jc w:val="both"/>
              <w:rPr>
                <w:rFonts w:ascii="Times New Roman" w:hAnsi="Times New Roman"/>
                <w:noProof/>
                <w:color w:val="000000"/>
              </w:rPr>
            </w:pPr>
            <w:r>
              <w:rPr>
                <w:rFonts w:ascii="Times New Roman" w:hAnsi="Times New Roman"/>
                <w:noProof/>
                <w:color w:val="000000"/>
              </w:rPr>
              <w:t>SEC(2010) 312 </w:t>
            </w:r>
          </w:p>
        </w:tc>
        <w:tc>
          <w:tcPr>
            <w:tcW w:w="2318" w:type="pct"/>
            <w:tcBorders>
              <w:bottom w:val="single" w:sz="4" w:space="0" w:color="auto"/>
            </w:tcBorders>
          </w:tcPr>
          <w:p w:rsidR="004D4F2A" w:rsidRDefault="003E6D50">
            <w:pPr>
              <w:jc w:val="both"/>
              <w:rPr>
                <w:rFonts w:ascii="Times New Roman" w:eastAsia="Times New Roman" w:hAnsi="Times New Roman"/>
                <w:bCs/>
                <w:noProof/>
              </w:rPr>
            </w:pPr>
            <w:r>
              <w:rPr>
                <w:rFonts w:ascii="Times New Roman" w:hAnsi="Times New Roman"/>
                <w:noProof/>
              </w:rPr>
              <w:t>Recommandation de la Commission européenne au Conseil visant à autoriser la Commission européenne à ouvrir des négociations</w:t>
            </w:r>
            <w:r>
              <w:rPr>
                <w:rFonts w:ascii="Times New Roman" w:hAnsi="Times New Roman"/>
                <w:noProof/>
              </w:rPr>
              <w:t xml:space="preserve"> avec des pays non membres de l’Union européenne en vue de conclure des accords sur l’installation de stations au sol Galileo</w:t>
            </w:r>
          </w:p>
        </w:tc>
        <w:tc>
          <w:tcPr>
            <w:tcW w:w="1643" w:type="pct"/>
            <w:tcBorders>
              <w:bottom w:val="single" w:sz="4" w:space="0" w:color="auto"/>
            </w:tcBorders>
          </w:tcPr>
          <w:p w:rsidR="004D4F2A" w:rsidRDefault="003E6D50">
            <w:pPr>
              <w:jc w:val="both"/>
              <w:rPr>
                <w:rFonts w:ascii="Times New Roman" w:eastAsia="Times New Roman" w:hAnsi="Times New Roman"/>
                <w:noProof/>
              </w:rPr>
            </w:pPr>
            <w:r>
              <w:rPr>
                <w:rFonts w:ascii="Times New Roman" w:hAnsi="Times New Roman"/>
                <w:noProof/>
              </w:rPr>
              <w:t>Cette recommandation datant de 2010 n’a pas été acceptée par le Conseil car il a été choisi de suivre une autre voie: plutôt que d</w:t>
            </w:r>
            <w:r>
              <w:rPr>
                <w:rFonts w:ascii="Times New Roman" w:hAnsi="Times New Roman"/>
                <w:noProof/>
              </w:rPr>
              <w:t>’engager des négociations sur l’installation de stations Galileo dans des pays tiers, ce qui était l’objectif initial de la proposition, les États membres ont opté pour leur installation sur le territoire d’États membres de l’UE.</w:t>
            </w:r>
          </w:p>
        </w:tc>
      </w:tr>
      <w:tr w:rsidR="004D4F2A">
        <w:trPr>
          <w:cantSplit/>
        </w:trPr>
        <w:tc>
          <w:tcPr>
            <w:tcW w:w="5000" w:type="pct"/>
            <w:gridSpan w:val="4"/>
            <w:shd w:val="clear" w:color="auto" w:fill="F2F2F2" w:themeFill="background1" w:themeFillShade="F2"/>
            <w:vAlign w:val="center"/>
          </w:tcPr>
          <w:p w:rsidR="004D4F2A" w:rsidRDefault="003E6D50">
            <w:pPr>
              <w:spacing w:before="60" w:after="60"/>
              <w:ind w:right="-170"/>
              <w:rPr>
                <w:rFonts w:ascii="Times New Roman" w:hAnsi="Times New Roman"/>
                <w:b/>
                <w:noProof/>
              </w:rPr>
            </w:pPr>
            <w:r>
              <w:rPr>
                <w:rFonts w:ascii="Times New Roman" w:hAnsi="Times New Roman"/>
                <w:b/>
                <w:noProof/>
              </w:rPr>
              <w:t>Justice, consommateurs et</w:t>
            </w:r>
            <w:r>
              <w:rPr>
                <w:rFonts w:ascii="Times New Roman" w:hAnsi="Times New Roman"/>
                <w:b/>
                <w:noProof/>
              </w:rPr>
              <w:t xml:space="preserve"> égalité des genres</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COM/2011/0126</w:t>
            </w:r>
          </w:p>
          <w:p w:rsidR="004D4F2A" w:rsidRDefault="003E6D50">
            <w:pPr>
              <w:jc w:val="both"/>
              <w:rPr>
                <w:rFonts w:ascii="Times New Roman" w:hAnsi="Times New Roman"/>
                <w:iCs/>
                <w:noProof/>
                <w:color w:val="000000"/>
              </w:rPr>
            </w:pPr>
            <w:r>
              <w:rPr>
                <w:rFonts w:ascii="Times New Roman" w:hAnsi="Times New Roman"/>
                <w:noProof/>
                <w:color w:val="000000"/>
              </w:rPr>
              <w:t>2011/0059/CNS</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RÈGLEMENT DU CONSEIL relatif à la compétence, la loi applicable, la reconnaissance et l’exécution des décisions en matière de régimes matrimoniaux</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cette proposition a été remplacée </w:t>
            </w:r>
            <w:r>
              <w:rPr>
                <w:rFonts w:ascii="Times New Roman" w:hAnsi="Times New Roman"/>
                <w:noProof/>
              </w:rPr>
              <w:t>par une proposition soumise selon la procédure de coopération renforcée (COM(2016) 108)</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COM/2011/0127</w:t>
            </w:r>
          </w:p>
          <w:p w:rsidR="004D4F2A" w:rsidRDefault="003E6D50">
            <w:pPr>
              <w:jc w:val="both"/>
              <w:rPr>
                <w:rFonts w:ascii="Times New Roman" w:hAnsi="Times New Roman"/>
                <w:i/>
                <w:iCs/>
                <w:noProof/>
                <w:color w:val="000000"/>
              </w:rPr>
            </w:pPr>
            <w:r>
              <w:rPr>
                <w:rFonts w:ascii="Times New Roman" w:hAnsi="Times New Roman"/>
                <w:noProof/>
                <w:color w:val="000000"/>
              </w:rPr>
              <w:t>2011/0060/CNS</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 xml:space="preserve">Proposition de RÈGLEMENT DU CONSEIL relatif à la compétence, la loi applicable, la reconnaissance et l’exécution des décisions en matière </w:t>
            </w:r>
            <w:r>
              <w:rPr>
                <w:rFonts w:ascii="Times New Roman" w:hAnsi="Times New Roman"/>
                <w:noProof/>
              </w:rPr>
              <w:t>d’effets patrimoniaux des partenariats enregistrés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cette proposition a été remplacée par des propositions soumises selon la procédure de coopération renforcée (COM(2016) 107/108)</w:t>
            </w:r>
          </w:p>
        </w:tc>
      </w:tr>
      <w:tr w:rsidR="004D4F2A">
        <w:trPr>
          <w:cantSplit/>
        </w:trPr>
        <w:tc>
          <w:tcPr>
            <w:tcW w:w="5000" w:type="pct"/>
            <w:gridSpan w:val="4"/>
            <w:shd w:val="clear" w:color="auto" w:fill="F2F2F2" w:themeFill="background1" w:themeFillShade="F2"/>
            <w:vAlign w:val="center"/>
          </w:tcPr>
          <w:p w:rsidR="004D4F2A" w:rsidRDefault="003E6D50">
            <w:pPr>
              <w:keepNext/>
              <w:spacing w:before="60" w:after="60"/>
              <w:ind w:right="-170"/>
              <w:rPr>
                <w:rFonts w:ascii="Times New Roman" w:hAnsi="Times New Roman"/>
                <w:b/>
                <w:noProof/>
              </w:rPr>
            </w:pPr>
            <w:r>
              <w:rPr>
                <w:rFonts w:ascii="Times New Roman" w:hAnsi="Times New Roman"/>
                <w:b/>
                <w:noProof/>
              </w:rPr>
              <w:t>Migration, affaires intérieures et citoyenneté</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eastAsia="Times New Roman" w:hAnsi="Times New Roman"/>
                <w:noProof/>
              </w:rPr>
            </w:pPr>
            <w:r>
              <w:rPr>
                <w:rFonts w:ascii="Times New Roman" w:hAnsi="Times New Roman"/>
                <w:noProof/>
              </w:rPr>
              <w:t>COM/2013/0097</w:t>
            </w:r>
          </w:p>
          <w:p w:rsidR="004D4F2A" w:rsidRDefault="003E6D50">
            <w:pPr>
              <w:jc w:val="both"/>
              <w:rPr>
                <w:rFonts w:ascii="Times New Roman" w:eastAsia="Times New Roman" w:hAnsi="Times New Roman"/>
                <w:noProof/>
              </w:rPr>
            </w:pPr>
            <w:r>
              <w:rPr>
                <w:rFonts w:ascii="Times New Roman" w:hAnsi="Times New Roman"/>
                <w:noProof/>
              </w:rPr>
              <w:t>2013/0059/COD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RÈGLEMENT DU PARLEMENT EUROPÉEN ET DU CONSEIL portant création d’un programme d’enregistrement des voyageurs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La proposition apparaissait déjà dans la liste des retraits ou des modifications de propositions en attente, figurant </w:t>
            </w:r>
            <w:r>
              <w:rPr>
                <w:rFonts w:ascii="Times New Roman" w:hAnsi="Times New Roman"/>
                <w:noProof/>
              </w:rPr>
              <w:t>dans Programme de travail de la Commission pour 2016. Comme annoncé dans la proposition de règlement du Parlement européen et du Conseil portant création d’un système d’entrée/sortie (EES), COM(2016) 194 final, lors de l’adoption de celle-ci, la Commission</w:t>
            </w:r>
            <w:r>
              <w:rPr>
                <w:rFonts w:ascii="Times New Roman" w:hAnsi="Times New Roman"/>
                <w:noProof/>
              </w:rPr>
              <w:t xml:space="preserve"> a retiré la proposition relative à un règlement portant création d’un programme d’enregistrement des voyageurs (cf. document PV(2016) 2172 final). </w:t>
            </w:r>
            <w:r>
              <w:rPr>
                <w:rFonts w:ascii="Times New Roman" w:eastAsia="Times New Roman" w:hAnsi="Times New Roman"/>
                <w:noProof/>
              </w:rPr>
              <w:br/>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COM/2013/0619</w:t>
            </w:r>
          </w:p>
          <w:p w:rsidR="004D4F2A" w:rsidRDefault="003E6D50">
            <w:pPr>
              <w:jc w:val="both"/>
              <w:rPr>
                <w:rFonts w:ascii="Times New Roman" w:hAnsi="Times New Roman"/>
                <w:noProof/>
                <w:color w:val="000000"/>
              </w:rPr>
            </w:pPr>
            <w:r>
              <w:rPr>
                <w:rFonts w:ascii="Times New Roman" w:hAnsi="Times New Roman"/>
                <w:noProof/>
                <w:color w:val="000000"/>
              </w:rPr>
              <w:t>2013/0305/COD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RÈGLEMENT DU PARLEMENT EUROPÉEN ET DU CONSEIL sur les nouvell</w:t>
            </w:r>
            <w:r>
              <w:rPr>
                <w:rFonts w:ascii="Times New Roman" w:hAnsi="Times New Roman"/>
                <w:noProof/>
              </w:rPr>
              <w:t>es substances psychoactives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certains éléments de cette proposition ont été repris dans la nouvelle proposition de règlement du Parlement européen et du Conseil modifiant le règlement (CE) nº 1920/2006 en ce qui concerne l’échange d’informations, </w:t>
            </w:r>
            <w:r>
              <w:rPr>
                <w:rFonts w:ascii="Times New Roman" w:hAnsi="Times New Roman"/>
                <w:noProof/>
              </w:rPr>
              <w:t>le système d’alerte rapide et la procédure d’évaluation des risques pour les nouvelles substances psychoactives [COM(2016) 547)]; d’autres éléments sont visés par la proposition de directive du Parlement européen et du Conseil modifiant la décision-cadre 2</w:t>
            </w:r>
            <w:r>
              <w:rPr>
                <w:rFonts w:ascii="Times New Roman" w:hAnsi="Times New Roman"/>
                <w:noProof/>
              </w:rPr>
              <w:t>004/757/JAI du Conseil du 25 octobre 2004 concernant l’établissement des dispositions minimales relatives aux éléments constitutifs des infractions pénales et des sanctions applicables dans le domaine du trafic de drogue, en ce qui concerne la définition d</w:t>
            </w:r>
            <w:r>
              <w:rPr>
                <w:rFonts w:ascii="Times New Roman" w:hAnsi="Times New Roman"/>
                <w:noProof/>
              </w:rPr>
              <w:t xml:space="preserve">u terme «drogue» [COM(2013) 618)] </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COM/2009/0703</w:t>
            </w:r>
          </w:p>
          <w:p w:rsidR="004D4F2A" w:rsidRDefault="003E6D50">
            <w:pPr>
              <w:jc w:val="both"/>
              <w:rPr>
                <w:rFonts w:ascii="Times New Roman" w:hAnsi="Times New Roman"/>
                <w:noProof/>
                <w:color w:val="000000"/>
              </w:rPr>
            </w:pPr>
            <w:r>
              <w:rPr>
                <w:rFonts w:ascii="Times New Roman" w:hAnsi="Times New Roman"/>
                <w:noProof/>
                <w:color w:val="000000"/>
              </w:rPr>
              <w:t>2009/0190/NLE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décision du Conseil relative à la conclusion de l’accord entre l’Union européenne et les États-Unis d’Amérique sur le traitement et le transfert de données de messagerie financ</w:t>
            </w:r>
            <w:r>
              <w:rPr>
                <w:rFonts w:ascii="Times New Roman" w:hAnsi="Times New Roman"/>
                <w:noProof/>
              </w:rPr>
              <w:t>ière de l’Union européenne aux États-Unis aux fins du programme de surveillance du financement du terrorisme</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la décision du Conseil du 13 juillet 2010 relative à la conclusion de l’accord entre l’Union européenne et les États-Unis d’Amérique sur </w:t>
            </w:r>
            <w:r>
              <w:rPr>
                <w:rFonts w:ascii="Times New Roman" w:hAnsi="Times New Roman"/>
                <w:noProof/>
              </w:rPr>
              <w:t>le traitement et le transfert de données de messagerie financière de l’Union européenne aux États-Unis aux fins du programme de surveillance du financement du terrorisme a été adoptée sur la base d’une autre proposition [COM(2010) 316]. Cette proposition a</w:t>
            </w:r>
            <w:r>
              <w:rPr>
                <w:rFonts w:ascii="Times New Roman" w:hAnsi="Times New Roman"/>
                <w:noProof/>
              </w:rPr>
              <w:t>ntérieure peut donc être retirée.</w:t>
            </w:r>
          </w:p>
        </w:tc>
      </w:tr>
      <w:tr w:rsidR="004D4F2A">
        <w:trPr>
          <w:cantSplit/>
        </w:trPr>
        <w:tc>
          <w:tcPr>
            <w:tcW w:w="5000" w:type="pct"/>
            <w:gridSpan w:val="4"/>
            <w:shd w:val="clear" w:color="auto" w:fill="F2F2F2" w:themeFill="background1" w:themeFillShade="F2"/>
            <w:vAlign w:val="center"/>
          </w:tcPr>
          <w:p w:rsidR="004D4F2A" w:rsidRDefault="003E6D50">
            <w:pPr>
              <w:keepNext/>
              <w:spacing w:before="120" w:after="120"/>
              <w:ind w:right="-170"/>
              <w:rPr>
                <w:rFonts w:ascii="Times New Roman" w:hAnsi="Times New Roman"/>
                <w:b/>
                <w:noProof/>
              </w:rPr>
            </w:pPr>
            <w:r>
              <w:rPr>
                <w:rFonts w:ascii="Times New Roman" w:hAnsi="Times New Roman"/>
                <w:b/>
                <w:noProof/>
              </w:rPr>
              <w:t>Commerce</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COM/2015/0390</w:t>
            </w:r>
          </w:p>
          <w:p w:rsidR="004D4F2A" w:rsidRDefault="003E6D50">
            <w:pPr>
              <w:jc w:val="both"/>
              <w:rPr>
                <w:rFonts w:ascii="Times New Roman" w:hAnsi="Times New Roman"/>
                <w:iCs/>
                <w:noProof/>
                <w:color w:val="000000"/>
              </w:rPr>
            </w:pPr>
            <w:r>
              <w:rPr>
                <w:rFonts w:ascii="Times New Roman" w:hAnsi="Times New Roman"/>
                <w:noProof/>
                <w:color w:val="000000"/>
              </w:rPr>
              <w:t>2015/0170/NLE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 xml:space="preserve">Proposition de décision du Conseil relative à la position à adopter au nom l’Union européenne au sein du comité d’association dans sa configuration «Commerce» institué par l’accord </w:t>
            </w:r>
            <w:r>
              <w:rPr>
                <w:rFonts w:ascii="Times New Roman" w:hAnsi="Times New Roman"/>
                <w:noProof/>
              </w:rPr>
              <w:t>d’association entre l’Union européenne et la Communauté européenne de l’énergie atomique et leurs États membres, d’une part, et la République de Moldavie, d’autre part</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cette proposition a été remplacée par la proposition COM(2016) 649. </w:t>
            </w:r>
          </w:p>
        </w:tc>
      </w:tr>
      <w:tr w:rsidR="004D4F2A">
        <w:trPr>
          <w:cantSplit/>
        </w:trPr>
        <w:tc>
          <w:tcPr>
            <w:tcW w:w="5000" w:type="pct"/>
            <w:gridSpan w:val="4"/>
            <w:shd w:val="clear" w:color="auto" w:fill="F2F2F2" w:themeFill="background1" w:themeFillShade="F2"/>
            <w:vAlign w:val="center"/>
          </w:tcPr>
          <w:p w:rsidR="004D4F2A" w:rsidRDefault="003E6D50">
            <w:pPr>
              <w:spacing w:before="120" w:after="120"/>
              <w:ind w:right="-170"/>
              <w:rPr>
                <w:rFonts w:ascii="Times New Roman" w:hAnsi="Times New Roman"/>
                <w:b/>
                <w:noProof/>
              </w:rPr>
            </w:pPr>
            <w:r>
              <w:rPr>
                <w:rFonts w:ascii="Times New Roman" w:hAnsi="Times New Roman"/>
                <w:b/>
                <w:noProof/>
              </w:rPr>
              <w:t>Transports</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COM/2010/0263</w:t>
            </w:r>
          </w:p>
          <w:p w:rsidR="004D4F2A" w:rsidRDefault="003E6D50">
            <w:pPr>
              <w:jc w:val="both"/>
              <w:rPr>
                <w:rFonts w:ascii="Times New Roman" w:hAnsi="Times New Roman"/>
                <w:iCs/>
                <w:noProof/>
                <w:color w:val="000000"/>
              </w:rPr>
            </w:pPr>
            <w:r>
              <w:rPr>
                <w:rFonts w:ascii="Times New Roman" w:hAnsi="Times New Roman"/>
                <w:noProof/>
                <w:color w:val="000000"/>
              </w:rPr>
              <w:t>2010/0141/NLE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décision du Conseil relative à la signature et à l’application provisoire de l’accord entre l’Union européenne et la République du Pérou sur certains aspects des services aériens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w:t>
            </w:r>
            <w:r>
              <w:rPr>
                <w:rFonts w:ascii="Times New Roman" w:hAnsi="Times New Roman"/>
                <w:noProof/>
                <w:color w:val="FF0000"/>
              </w:rPr>
              <w:t xml:space="preserve"> </w:t>
            </w:r>
            <w:r>
              <w:rPr>
                <w:rFonts w:ascii="Times New Roman" w:hAnsi="Times New Roman"/>
                <w:noProof/>
              </w:rPr>
              <w:t xml:space="preserve">à la suite de la renégociation de l’accord, cette proposition a été remplacée par la proposition COM(2013) 423. </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COM/2010/0264</w:t>
            </w:r>
          </w:p>
          <w:p w:rsidR="004D4F2A" w:rsidRDefault="003E6D50">
            <w:pPr>
              <w:jc w:val="both"/>
              <w:rPr>
                <w:rFonts w:ascii="Times New Roman" w:hAnsi="Times New Roman"/>
                <w:noProof/>
                <w:color w:val="000000"/>
              </w:rPr>
            </w:pPr>
            <w:r>
              <w:rPr>
                <w:rFonts w:ascii="Times New Roman" w:hAnsi="Times New Roman"/>
                <w:noProof/>
                <w:color w:val="000000"/>
              </w:rPr>
              <w:t>2010/0142/NLE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décision du Conseil relative à la conclusion de l’accord entre l’Union européenne et la République</w:t>
            </w:r>
            <w:r>
              <w:rPr>
                <w:rFonts w:ascii="Times New Roman" w:hAnsi="Times New Roman"/>
                <w:noProof/>
              </w:rPr>
              <w:t xml:space="preserve"> du Pérou sur certains aspects des services aériens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 xml:space="preserve">Obsolète: à la suite de la renégociation de l’accord, cette proposition a été remplacée par la proposition COM(2013) 424. </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COM/2010/0803</w:t>
            </w:r>
          </w:p>
          <w:p w:rsidR="004D4F2A" w:rsidRDefault="003E6D50">
            <w:pPr>
              <w:tabs>
                <w:tab w:val="center" w:pos="911"/>
              </w:tabs>
              <w:jc w:val="both"/>
              <w:rPr>
                <w:rFonts w:ascii="Times New Roman" w:hAnsi="Times New Roman"/>
                <w:noProof/>
                <w:color w:val="000000"/>
              </w:rPr>
            </w:pPr>
            <w:r>
              <w:rPr>
                <w:rFonts w:ascii="Times New Roman" w:hAnsi="Times New Roman"/>
                <w:noProof/>
                <w:color w:val="000000"/>
              </w:rPr>
              <w:t>2010/0388/NLE</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décision du Conseil relative à la co</w:t>
            </w:r>
            <w:r>
              <w:rPr>
                <w:rFonts w:ascii="Times New Roman" w:hAnsi="Times New Roman"/>
                <w:noProof/>
              </w:rPr>
              <w:t>nclusion de l’accord entre l’Union européenne et le Royaume d’Arabie saoudite sur certains aspects des services aériens</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le 15 juin 2014, le Royaume d’Arabie saoudite a informé la Commission qu’il n’avait pas l’intention de signer l’accord. La pro</w:t>
            </w:r>
            <w:r>
              <w:rPr>
                <w:rFonts w:ascii="Times New Roman" w:hAnsi="Times New Roman"/>
                <w:noProof/>
              </w:rPr>
              <w:t>position peut donc être retirée.</w:t>
            </w:r>
          </w:p>
        </w:tc>
      </w:tr>
      <w:tr w:rsidR="004D4F2A">
        <w:trPr>
          <w:cantSplit/>
        </w:trPr>
        <w:tc>
          <w:tcPr>
            <w:tcW w:w="5000" w:type="pct"/>
            <w:gridSpan w:val="4"/>
            <w:shd w:val="clear" w:color="auto" w:fill="F2F2F2" w:themeFill="background1" w:themeFillShade="F2"/>
            <w:vAlign w:val="center"/>
          </w:tcPr>
          <w:p w:rsidR="004D4F2A" w:rsidRDefault="003E6D50">
            <w:pPr>
              <w:keepNext/>
              <w:spacing w:before="120" w:after="120"/>
              <w:ind w:right="-170"/>
              <w:rPr>
                <w:rFonts w:ascii="Times New Roman" w:hAnsi="Times New Roman"/>
                <w:b/>
                <w:noProof/>
              </w:rPr>
            </w:pPr>
            <w:r>
              <w:rPr>
                <w:rFonts w:ascii="Times New Roman" w:hAnsi="Times New Roman"/>
                <w:b/>
                <w:noProof/>
              </w:rPr>
              <w:t>Codifications</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COM/2011/0120</w:t>
            </w:r>
          </w:p>
          <w:p w:rsidR="004D4F2A" w:rsidRDefault="003E6D50">
            <w:pPr>
              <w:jc w:val="both"/>
              <w:rPr>
                <w:rFonts w:ascii="Times New Roman" w:hAnsi="Times New Roman"/>
                <w:noProof/>
                <w:color w:val="000000"/>
              </w:rPr>
            </w:pPr>
            <w:r>
              <w:rPr>
                <w:rFonts w:ascii="Times New Roman" w:hAnsi="Times New Roman"/>
                <w:noProof/>
                <w:color w:val="000000"/>
              </w:rPr>
              <w:t>2011/0053/COD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Proposition de directive du Parlement européen et du Conseil relative aux pneumatiques des véhicules à moteur et de leurs remorques ainsi qu’à leur montage (texte codifié)</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étant donné qu’elle contient une référence à une disposition obsolète relative à la «comitologie».</w:t>
            </w:r>
          </w:p>
        </w:tc>
      </w:tr>
      <w:tr w:rsidR="004D4F2A">
        <w:trPr>
          <w:cantSplit/>
        </w:trPr>
        <w:tc>
          <w:tcPr>
            <w:tcW w:w="186" w:type="pct"/>
          </w:tcPr>
          <w:p w:rsidR="004D4F2A" w:rsidRDefault="004D4F2A">
            <w:pPr>
              <w:pStyle w:val="ListParagraph"/>
              <w:numPr>
                <w:ilvl w:val="0"/>
                <w:numId w:val="5"/>
              </w:numPr>
              <w:ind w:left="284" w:right="-172" w:hanging="284"/>
              <w:contextualSpacing w:val="0"/>
              <w:rPr>
                <w:rFonts w:ascii="Times New Roman" w:hAnsi="Times New Roman"/>
                <w:noProof/>
              </w:rPr>
            </w:pPr>
          </w:p>
        </w:tc>
        <w:tc>
          <w:tcPr>
            <w:tcW w:w="854" w:type="pct"/>
          </w:tcPr>
          <w:p w:rsidR="004D4F2A" w:rsidRDefault="003E6D50">
            <w:pPr>
              <w:jc w:val="both"/>
              <w:rPr>
                <w:rFonts w:ascii="Times New Roman" w:hAnsi="Times New Roman"/>
                <w:noProof/>
                <w:color w:val="000000"/>
              </w:rPr>
            </w:pPr>
            <w:r>
              <w:rPr>
                <w:rFonts w:ascii="Times New Roman" w:hAnsi="Times New Roman"/>
                <w:noProof/>
                <w:color w:val="000000"/>
              </w:rPr>
              <w:t>COM/2015/0157</w:t>
            </w:r>
          </w:p>
          <w:p w:rsidR="004D4F2A" w:rsidRDefault="003E6D50">
            <w:pPr>
              <w:jc w:val="both"/>
              <w:rPr>
                <w:rFonts w:ascii="Times New Roman" w:hAnsi="Times New Roman"/>
                <w:noProof/>
                <w:color w:val="000000"/>
              </w:rPr>
            </w:pPr>
            <w:r>
              <w:rPr>
                <w:rFonts w:ascii="Times New Roman" w:hAnsi="Times New Roman"/>
                <w:noProof/>
                <w:color w:val="000000"/>
              </w:rPr>
              <w:t>2015/0082/COD</w:t>
            </w:r>
          </w:p>
        </w:tc>
        <w:tc>
          <w:tcPr>
            <w:tcW w:w="2318" w:type="pct"/>
          </w:tcPr>
          <w:p w:rsidR="004D4F2A" w:rsidRDefault="003E6D50">
            <w:pPr>
              <w:jc w:val="both"/>
              <w:rPr>
                <w:rFonts w:ascii="Times New Roman" w:eastAsia="Times New Roman" w:hAnsi="Times New Roman"/>
                <w:bCs/>
                <w:noProof/>
              </w:rPr>
            </w:pPr>
            <w:r>
              <w:rPr>
                <w:rFonts w:ascii="Times New Roman" w:hAnsi="Times New Roman"/>
                <w:noProof/>
              </w:rPr>
              <w:t xml:space="preserve">Proposition de règlement du Parlement européen et du Conseil sur le commerce de certains produits sidérurgiques entre </w:t>
            </w:r>
            <w:r>
              <w:rPr>
                <w:rFonts w:ascii="Times New Roman" w:hAnsi="Times New Roman"/>
                <w:noProof/>
              </w:rPr>
              <w:t>l’Union européenne et la République du Kazakhstan (texte codifié)</w:t>
            </w:r>
          </w:p>
        </w:tc>
        <w:tc>
          <w:tcPr>
            <w:tcW w:w="1643" w:type="pct"/>
          </w:tcPr>
          <w:p w:rsidR="004D4F2A" w:rsidRDefault="003E6D50">
            <w:pPr>
              <w:jc w:val="both"/>
              <w:rPr>
                <w:rFonts w:ascii="Times New Roman" w:eastAsia="Times New Roman" w:hAnsi="Times New Roman"/>
                <w:noProof/>
              </w:rPr>
            </w:pPr>
            <w:r>
              <w:rPr>
                <w:rFonts w:ascii="Times New Roman" w:hAnsi="Times New Roman"/>
                <w:noProof/>
              </w:rPr>
              <w:t>Obsolète: l’acte dont la codification était proposée a expiré (avis d’expiration publié au JO C 425 du 18.12.2015).</w:t>
            </w:r>
          </w:p>
        </w:tc>
      </w:tr>
    </w:tbl>
    <w:p w:rsidR="004D4F2A" w:rsidRDefault="004D4F2A">
      <w:pPr>
        <w:spacing w:after="480"/>
        <w:jc w:val="center"/>
        <w:outlineLvl w:val="0"/>
        <w:rPr>
          <w:noProof/>
        </w:rPr>
      </w:pPr>
    </w:p>
    <w:sectPr w:rsidR="004D4F2A">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2A" w:rsidRDefault="003E6D50">
      <w:pPr>
        <w:spacing w:after="0" w:line="240" w:lineRule="auto"/>
      </w:pPr>
      <w:r>
        <w:separator/>
      </w:r>
    </w:p>
  </w:endnote>
  <w:endnote w:type="continuationSeparator" w:id="0">
    <w:p w:rsidR="004D4F2A" w:rsidRDefault="003E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3E6D50">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6158"/>
      <w:docPartObj>
        <w:docPartGallery w:val="Page Numbers (Bottom of Page)"/>
        <w:docPartUnique/>
      </w:docPartObj>
    </w:sdtPr>
    <w:sdtEndPr>
      <w:rPr>
        <w:noProof/>
      </w:rPr>
    </w:sdtEndPr>
    <w:sdtContent>
      <w:p w:rsidR="004D4F2A" w:rsidRDefault="003E6D5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D4F2A" w:rsidRDefault="004D4F2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2A" w:rsidRDefault="003E6D50">
      <w:pPr>
        <w:spacing w:after="0" w:line="240" w:lineRule="auto"/>
      </w:pPr>
      <w:r>
        <w:separator/>
      </w:r>
    </w:p>
  </w:footnote>
  <w:footnote w:type="continuationSeparator" w:id="0">
    <w:p w:rsidR="004D4F2A" w:rsidRDefault="003E6D50">
      <w:pPr>
        <w:spacing w:after="0" w:line="240" w:lineRule="auto"/>
      </w:pPr>
      <w:r>
        <w:continuationSeparator/>
      </w:r>
    </w:p>
  </w:footnote>
  <w:footnote w:id="1">
    <w:p w:rsidR="004D4F2A" w:rsidRDefault="003E6D50">
      <w:pPr>
        <w:pStyle w:val="FootnoteText"/>
        <w:rPr>
          <w:bCs/>
        </w:rPr>
      </w:pPr>
      <w:r>
        <w:rPr>
          <w:rStyle w:val="FootnoteReference"/>
        </w:rPr>
        <w:footnoteRef/>
      </w:r>
      <w:r>
        <w:t xml:space="preserve"> Cette liste comprend les propositions législatives pendantes que la Commission a l'intention de retirer dans un délai de six mois (d'ici au mois d'avril 2017). Elle comprend également deux propositions déjà retirées (cf. n</w:t>
      </w:r>
      <w:r>
        <w:rPr>
          <w:vertAlign w:val="superscript"/>
        </w:rPr>
        <w:t>os</w:t>
      </w:r>
      <w:r>
        <w:t xml:space="preserve"> 3 et 11), figurant déjà dans l</w:t>
      </w:r>
      <w:r>
        <w:t>e programme de travail de la Commission pour 2016 et reprises ici par souci de transparence.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A" w:rsidRDefault="004D4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A2"/>
    <w:multiLevelType w:val="hybridMultilevel"/>
    <w:tmpl w:val="DC52E51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7E45813"/>
    <w:multiLevelType w:val="hybridMultilevel"/>
    <w:tmpl w:val="2C16C1E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F74B90"/>
    <w:multiLevelType w:val="hybridMultilevel"/>
    <w:tmpl w:val="B9768E9E"/>
    <w:lvl w:ilvl="0" w:tplc="BCD0181C">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DE0F67"/>
    <w:multiLevelType w:val="hybridMultilevel"/>
    <w:tmpl w:val="17DA559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à la"/>
    <w:docVar w:name="LW_ANNEX_NBR_FIRST" w:val="4"/>
    <w:docVar w:name="LW_ANNEX_NBR_LAST" w:val="4"/>
    <w:docVar w:name="LW_CONFIDENCE" w:val=" "/>
    <w:docVar w:name="LW_CONST_RESTREINT_UE" w:val="RESTREINT UE"/>
    <w:docVar w:name="LW_CORRIGENDUM" w:val="&lt;UNUSED&gt;"/>
    <w:docVar w:name="LW_COVERPAGE_GUID" w:val="534FE7A48B434F12825F9FDA026EF942"/>
    <w:docVar w:name="LW_CROSSREFERENCE" w:val="{SWD(2016) 400 final}"/>
    <w:docVar w:name="LW_DocType" w:val="NORMAL"/>
    <w:docVar w:name="LW_EMISSION" w:val="25.10.2016"/>
    <w:docVar w:name="LW_EMISSION_ISODATE" w:val="2016-10-25"/>
    <w:docVar w:name="LW_EMISSION_LOCATION" w:val="STR"/>
    <w:docVar w:name="LW_EMISSION_PREFIX" w:val="Strasbourg, le "/>
    <w:docVar w:name="LW_EMISSION_SUFFIX" w:val=" "/>
    <w:docVar w:name="LW_ID_DOCTYPE_NONLW" w:val="CP-039"/>
    <w:docVar w:name="LW_LANGUE" w:val="FR"/>
    <w:docVar w:name="LW_MARKING" w:val="&lt;UNUSED&gt;"/>
    <w:docVar w:name="LW_NOM.INST" w:val="COMMISSION EUROPÉENNE"/>
    <w:docVar w:name="LW_NOM.INST_JOINTDOC" w:val="&lt;EMPTY&gt;"/>
    <w:docVar w:name="LW_OBJETACTEPRINCIPAL.CP" w:val="Programme de travail de la Commission pour 2017_x000b_Répondre aux attentes - Pour une Europe qui protège, donne les moyens d'agir et défend"/>
    <w:docVar w:name="LW_PART_NBR" w:val="1"/>
    <w:docVar w:name="LW_PART_NBR_TOTAL" w:val="1"/>
    <w:docVar w:name="LW_REF.INST.NEW" w:val="COM"/>
    <w:docVar w:name="LW_REF.INST.NEW_ADOPTED" w:val="final"/>
    <w:docVar w:name="LW_REF.INST.NEW_TEXT" w:val="(2016) 710"/>
    <w:docVar w:name="LW_REF.INTERNE" w:val="&lt;UNUSED&gt;"/>
    <w:docVar w:name="LW_SUPERTITRE" w:val="&lt;UNUSED&gt;"/>
    <w:docVar w:name="LW_TITRE.OBJ.CP" w:val="&lt;UNUSED&gt;"/>
    <w:docVar w:name="LW_TYPE.DOC.CP" w:val="ANNEXE_x000b_"/>
    <w:docVar w:name="LW_TYPEACTEPRINCIPAL.CP" w:val="COMMUNICATION DE LA COMMISSION AU PARLEMENT EUROPÉEN, AU CONSEIL, AU COMITÉ ÉCONOMIQUE ET SOCIAL EUROPÉEN ET AU COMITÉ DES RÉGIONS"/>
  </w:docVars>
  <w:rsids>
    <w:rsidRoot w:val="004D4F2A"/>
    <w:rsid w:val="003E6D50"/>
    <w:rsid w:val="004D4F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fr-FR"/>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fr-FR"/>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8CC7-EE0D-48C3-90AF-5D835AFF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1435</Words>
  <Characters>8027</Characters>
  <Application>Microsoft Office Word</Application>
  <DocSecurity>0</DocSecurity>
  <Lines>133</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David (SG)</dc:creator>
  <cp:lastModifiedBy>Stefanie Heilemann</cp:lastModifiedBy>
  <cp:revision>14</cp:revision>
  <cp:lastPrinted>2016-10-25T09:57:00Z</cp:lastPrinted>
  <dcterms:created xsi:type="dcterms:W3CDTF">2016-10-25T06:09:00Z</dcterms:created>
  <dcterms:modified xsi:type="dcterms:W3CDTF">2016-10-25T09:58:00Z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4</vt:lpwstr>
  </property>
  <property fmtid="{D5CDD505-2E9C-101B-9397-08002B2CF9AE}" pid="3" name="Last annex">
    <vt:lpwstr>4</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