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FB" w:rsidRDefault="00FA18FE">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21DBB03AF147F3842A59CBDC089946" style="width:450.6pt;height:434.5pt">
            <v:imagedata r:id="rId9" o:title=""/>
          </v:shape>
        </w:pict>
      </w:r>
      <w:bookmarkEnd w:id="1"/>
    </w:p>
    <w:bookmarkEnd w:id="0"/>
    <w:p w:rsidR="005562FB" w:rsidRDefault="005562FB">
      <w:pPr>
        <w:rPr>
          <w:noProof/>
        </w:rPr>
        <w:sectPr w:rsidR="005562F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5562FB" w:rsidRDefault="00FA18FE">
      <w:pPr>
        <w:spacing w:after="480" w:line="240" w:lineRule="auto"/>
        <w:jc w:val="center"/>
        <w:outlineLvl w:val="0"/>
        <w:rPr>
          <w:rFonts w:ascii="Times New Roman" w:eastAsia="Times New Roman" w:hAnsi="Times New Roman"/>
          <w:noProof/>
          <w:sz w:val="20"/>
          <w:szCs w:val="20"/>
        </w:rPr>
      </w:pPr>
      <w:r>
        <w:rPr>
          <w:rFonts w:ascii="Times New Roman" w:hAnsi="Times New Roman"/>
          <w:b/>
          <w:noProof/>
          <w:sz w:val="28"/>
          <w:u w:val="single"/>
        </w:rPr>
        <w:lastRenderedPageBreak/>
        <w:t>Annexe V: Abrogations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01"/>
        <w:gridCol w:w="1273"/>
        <w:gridCol w:w="5824"/>
        <w:gridCol w:w="6803"/>
      </w:tblGrid>
      <w:tr w:rsidR="005562FB">
        <w:trPr>
          <w:cantSplit/>
          <w:trHeight w:val="471"/>
          <w:tblHeader/>
        </w:trPr>
        <w:tc>
          <w:tcPr>
            <w:tcW w:w="174" w:type="pct"/>
            <w:tcBorders>
              <w:bottom w:val="single" w:sz="4" w:space="0" w:color="auto"/>
            </w:tcBorders>
            <w:shd w:val="clear" w:color="auto" w:fill="99CCFF"/>
            <w:vAlign w:val="center"/>
          </w:tcPr>
          <w:p w:rsidR="005562FB" w:rsidRDefault="00FA18FE">
            <w:pPr>
              <w:tabs>
                <w:tab w:val="left" w:pos="176"/>
              </w:tabs>
              <w:spacing w:after="0"/>
              <w:ind w:left="142" w:hanging="108"/>
              <w:jc w:val="center"/>
              <w:rPr>
                <w:rFonts w:ascii="Times New Roman" w:hAnsi="Times New Roman"/>
                <w:b/>
                <w:noProof/>
                <w:sz w:val="20"/>
                <w:szCs w:val="20"/>
              </w:rPr>
            </w:pPr>
            <w:r>
              <w:rPr>
                <w:rFonts w:ascii="Times New Roman" w:hAnsi="Times New Roman"/>
                <w:b/>
                <w:noProof/>
                <w:sz w:val="20"/>
              </w:rPr>
              <w:t>Nº</w:t>
            </w:r>
          </w:p>
        </w:tc>
        <w:tc>
          <w:tcPr>
            <w:tcW w:w="442" w:type="pct"/>
            <w:tcBorders>
              <w:bottom w:val="single" w:sz="4" w:space="0" w:color="auto"/>
            </w:tcBorders>
            <w:shd w:val="clear" w:color="auto" w:fill="99CCFF"/>
            <w:vAlign w:val="center"/>
          </w:tcPr>
          <w:p w:rsidR="005562FB" w:rsidRDefault="00FA18FE">
            <w:pPr>
              <w:spacing w:after="0"/>
              <w:jc w:val="center"/>
              <w:rPr>
                <w:rFonts w:ascii="Times New Roman" w:hAnsi="Times New Roman"/>
                <w:b/>
                <w:noProof/>
                <w:sz w:val="20"/>
                <w:szCs w:val="20"/>
              </w:rPr>
            </w:pPr>
            <w:r>
              <w:rPr>
                <w:rFonts w:ascii="Times New Roman" w:hAnsi="Times New Roman"/>
                <w:b/>
                <w:noProof/>
                <w:sz w:val="20"/>
              </w:rPr>
              <w:t>Domaine d’action</w:t>
            </w:r>
          </w:p>
        </w:tc>
        <w:tc>
          <w:tcPr>
            <w:tcW w:w="2022" w:type="pct"/>
            <w:tcBorders>
              <w:bottom w:val="single" w:sz="4" w:space="0" w:color="auto"/>
            </w:tcBorders>
            <w:shd w:val="clear" w:color="auto" w:fill="99CCFF"/>
            <w:vAlign w:val="center"/>
          </w:tcPr>
          <w:p w:rsidR="005562FB" w:rsidRDefault="00FA18FE">
            <w:pPr>
              <w:spacing w:after="0"/>
              <w:jc w:val="center"/>
              <w:rPr>
                <w:rFonts w:ascii="Times New Roman" w:hAnsi="Times New Roman"/>
                <w:b/>
                <w:noProof/>
                <w:sz w:val="20"/>
                <w:szCs w:val="20"/>
              </w:rPr>
            </w:pPr>
            <w:r>
              <w:rPr>
                <w:rFonts w:ascii="Times New Roman" w:hAnsi="Times New Roman"/>
                <w:b/>
                <w:noProof/>
                <w:sz w:val="20"/>
              </w:rPr>
              <w:t>Intitulé</w:t>
            </w:r>
          </w:p>
        </w:tc>
        <w:tc>
          <w:tcPr>
            <w:tcW w:w="2362" w:type="pct"/>
            <w:tcBorders>
              <w:bottom w:val="single" w:sz="4" w:space="0" w:color="auto"/>
            </w:tcBorders>
            <w:shd w:val="clear" w:color="auto" w:fill="99CCFF"/>
            <w:vAlign w:val="center"/>
          </w:tcPr>
          <w:p w:rsidR="005562FB" w:rsidRDefault="00FA18FE">
            <w:pPr>
              <w:spacing w:after="0"/>
              <w:jc w:val="center"/>
              <w:rPr>
                <w:rFonts w:ascii="Times New Roman" w:hAnsi="Times New Roman"/>
                <w:b/>
                <w:noProof/>
                <w:sz w:val="20"/>
                <w:szCs w:val="20"/>
              </w:rPr>
            </w:pPr>
            <w:r>
              <w:rPr>
                <w:rFonts w:ascii="Times New Roman" w:hAnsi="Times New Roman"/>
                <w:b/>
                <w:noProof/>
                <w:sz w:val="20"/>
              </w:rPr>
              <w:t>Motifs de l’abrogation</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jc w:val="both"/>
              <w:rPr>
                <w:rFonts w:ascii="Times New Roman" w:eastAsia="Times New Roman" w:hAnsi="Times New Roman"/>
                <w:noProof/>
                <w:sz w:val="20"/>
                <w:szCs w:val="20"/>
              </w:rPr>
            </w:pPr>
            <w:r>
              <w:rPr>
                <w:rFonts w:ascii="Times New Roman" w:hAnsi="Times New Roman"/>
                <w:noProof/>
                <w:sz w:val="20"/>
              </w:rPr>
              <w:t>Agriculture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Mesure </w:t>
            </w:r>
            <w:r>
              <w:rPr>
                <w:rFonts w:ascii="Times New Roman" w:hAnsi="Times New Roman"/>
                <w:noProof/>
                <w:sz w:val="20"/>
              </w:rPr>
              <w:t>horizontale remplaçant un certain nombre de règlements obsolètes de la Commission dans le domaine des marchés agricoles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Cette mesure vise d’une part à adapter les règlements de la Commission antérieurs au traité de Lisbonne à l’organisation commune des mar</w:t>
            </w:r>
            <w:r>
              <w:rPr>
                <w:rFonts w:ascii="Times New Roman" w:hAnsi="Times New Roman"/>
                <w:noProof/>
                <w:sz w:val="20"/>
              </w:rPr>
              <w:t>chés dans le secteur des produits agricoles telle que prévue par le règlement (UE) nº 1308/2013 et d’autre part à simplifier autant que possible les règles existantes. En conséquence, un certain nombre de règlements de la Commission dans le domaine des mar</w:t>
            </w:r>
            <w:r>
              <w:rPr>
                <w:rFonts w:ascii="Times New Roman" w:hAnsi="Times New Roman"/>
                <w:noProof/>
                <w:sz w:val="20"/>
              </w:rPr>
              <w:t>chés agricoles seront abrogés et remplacés par de nouveaux actes délégués et d’exécution.</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rPr>
                <w:rFonts w:ascii="Times New Roman" w:eastAsia="Times New Roman" w:hAnsi="Times New Roman"/>
                <w:noProof/>
                <w:sz w:val="20"/>
                <w:szCs w:val="20"/>
              </w:rPr>
            </w:pPr>
            <w:r>
              <w:rPr>
                <w:rFonts w:ascii="Times New Roman" w:hAnsi="Times New Roman"/>
                <w:noProof/>
                <w:sz w:val="20"/>
              </w:rPr>
              <w:t>Emploi</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Décision d’exécution 2012/733/UE du 26 novembre 2016 portant application du règlement (UE) nº 492/2011 du Parlement européen et du Conseil en ce qui concerne</w:t>
            </w:r>
            <w:r>
              <w:rPr>
                <w:rFonts w:ascii="Times New Roman" w:hAnsi="Times New Roman"/>
                <w:noProof/>
                <w:sz w:val="20"/>
              </w:rPr>
              <w:t xml:space="preserve"> la compensation des offres et des demandes d’emploi et le rétablissement d’EURES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rPr>
                <w:rFonts w:ascii="Times New Roman" w:hAnsi="Times New Roman"/>
                <w:noProof/>
                <w:sz w:val="20"/>
                <w:szCs w:val="20"/>
              </w:rPr>
            </w:pPr>
            <w:r>
              <w:rPr>
                <w:rFonts w:ascii="Times New Roman" w:hAnsi="Times New Roman"/>
                <w:noProof/>
                <w:sz w:val="20"/>
              </w:rPr>
              <w:t>Remplacée par le règlement (UE) 2016/589, conformément au chapitre II du règlement (UE) nº492/2011</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jc w:val="both"/>
              <w:rPr>
                <w:rFonts w:ascii="Times New Roman" w:eastAsia="Times New Roman" w:hAnsi="Times New Roman"/>
                <w:noProof/>
                <w:sz w:val="20"/>
                <w:szCs w:val="20"/>
              </w:rPr>
            </w:pPr>
            <w:r>
              <w:rPr>
                <w:rFonts w:ascii="Times New Roman" w:hAnsi="Times New Roman"/>
                <w:noProof/>
                <w:sz w:val="20"/>
              </w:rPr>
              <w:t>Énergie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Règlement (UE) nº 256/2014 du Parlement européen et du Conseil du</w:t>
            </w:r>
            <w:r>
              <w:rPr>
                <w:rFonts w:ascii="Times New Roman" w:hAnsi="Times New Roman"/>
                <w:noProof/>
                <w:sz w:val="20"/>
              </w:rPr>
              <w:t xml:space="preserve"> 26 février 2014 concernant la communication à la Commission des projets d’investissement relatifs à des infrastructures énergétiques dans l’Union européenne, remplaçant le règlement (UE, Euratom) nº 617/2010 du Conseil et abrogeant le règlement (CE) nº 73</w:t>
            </w:r>
            <w:r>
              <w:rPr>
                <w:rFonts w:ascii="Times New Roman" w:hAnsi="Times New Roman"/>
                <w:noProof/>
                <w:sz w:val="20"/>
              </w:rPr>
              <w:t>6/96 du Conseil</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Le règlement n’apporte aucune valeur ajoutée et fait largement double emploi avec d’autres actes législatifs comme l’a montré le bilan de qualité portant sur les obligations de suivi, de planification et de déclaration dans le domaine de l’</w:t>
            </w:r>
            <w:r>
              <w:rPr>
                <w:rFonts w:ascii="Times New Roman" w:hAnsi="Times New Roman"/>
                <w:noProof/>
                <w:sz w:val="20"/>
              </w:rPr>
              <w:t>acquis de l’UE relatif à l’énergie. En outre, le règlement figurait déjà dans le tableau de bord REFIT comme étant susceptible d’être abrogé.</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Sécurité alimentaire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Décision (CEE) nº 92/176 de la Commission du 2 mars 1992 relative aux cartes géographiques </w:t>
            </w:r>
            <w:r>
              <w:rPr>
                <w:rFonts w:ascii="Times New Roman" w:hAnsi="Times New Roman"/>
                <w:noProof/>
                <w:sz w:val="20"/>
              </w:rPr>
              <w:t>à prévoir aux fins du réseau «ANIMO» (92/176/CEE)</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La décision a été remplacée depuis lors par le système informatique vétérinaire intégré (TRACES), un outil de gestion en ligne couvrant l’ensemble des exigences sanitaires concernant le commerce intra-UE et</w:t>
            </w:r>
            <w:r>
              <w:rPr>
                <w:rFonts w:ascii="Times New Roman" w:hAnsi="Times New Roman"/>
                <w:noProof/>
                <w:sz w:val="20"/>
              </w:rPr>
              <w:t xml:space="preserve"> l’importation d’animaux, de spermes et d’embryons, de denrées alimentaires, d’aliments pour animaux et de plantes.</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Sécurité alimentaire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Décision 2002/623/CE de la Commission du 24 juillet 2002 arrêtant les notes explicatives destinées à compléter l’anne</w:t>
            </w:r>
            <w:r>
              <w:rPr>
                <w:rFonts w:ascii="Times New Roman" w:hAnsi="Times New Roman"/>
                <w:noProof/>
                <w:sz w:val="20"/>
              </w:rPr>
              <w:t>xe II de la directive 2001/18/CE du Parlement européen et du Conseil relative à la dissémination volontaire d’organismes génétiquement modifiés dans l’environnement et abrogeant la directive 90/220/CEE du Conseil</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eastAsia="Times New Roman" w:hAnsi="Times New Roman"/>
                <w:noProof/>
                <w:sz w:val="20"/>
                <w:szCs w:val="20"/>
              </w:rPr>
            </w:pPr>
            <w:r>
              <w:rPr>
                <w:rFonts w:ascii="Times New Roman" w:hAnsi="Times New Roman"/>
                <w:noProof/>
                <w:sz w:val="20"/>
              </w:rPr>
              <w:t>La décision 2002/623/CE de la Commission fo</w:t>
            </w:r>
            <w:r>
              <w:rPr>
                <w:rFonts w:ascii="Times New Roman" w:hAnsi="Times New Roman"/>
                <w:noProof/>
                <w:sz w:val="20"/>
              </w:rPr>
              <w:t>urnit des orientations sur l’évaluation des risques environnementaux relatifs aux OGM visés à l’annexe II de la directive 2001/18/CE relative à la dissémination volontaire d’OGM dans l’environnement. En 2017, la Commission adoptera une nouvelle directive q</w:t>
            </w:r>
            <w:r>
              <w:rPr>
                <w:rFonts w:ascii="Times New Roman" w:hAnsi="Times New Roman"/>
                <w:noProof/>
                <w:sz w:val="20"/>
              </w:rPr>
              <w:t xml:space="preserve">ui intégrera dans l’annexe II de la directive 2001/15/CE les éléments essentiels des lignes directrices de l’EFSA de 2010 pour l’évaluation des risques environnementaux, comme le prévoit la directive (UE) 2015/412. En conséquence, la directive 2001/623/CE </w:t>
            </w:r>
            <w:r>
              <w:rPr>
                <w:rFonts w:ascii="Times New Roman" w:hAnsi="Times New Roman"/>
                <w:noProof/>
                <w:sz w:val="20"/>
              </w:rPr>
              <w:t>deviendra obsolète. Dans un souci de simplification pour les opérateurs et les autorités nationales, il convient d’abroger la décision 2002/623/CE parallèlement à l’adoption de la nouvelle directive.</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Sécurité alimentaire: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Décision 2005/463/CE de la </w:t>
            </w:r>
            <w:r>
              <w:rPr>
                <w:rFonts w:ascii="Times New Roman" w:hAnsi="Times New Roman"/>
                <w:noProof/>
                <w:sz w:val="20"/>
              </w:rPr>
              <w:t>Commission du 21 juin 2005 établissant un groupe en réseau pour l’échange et la coordination d’informations concernant la coexistence de cultures génétiquement modifiées, conventionnelles et biologiques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eastAsia="Times New Roman" w:hAnsi="Times New Roman"/>
                <w:noProof/>
                <w:sz w:val="20"/>
                <w:szCs w:val="20"/>
              </w:rPr>
            </w:pPr>
            <w:r>
              <w:rPr>
                <w:rFonts w:ascii="Times New Roman" w:hAnsi="Times New Roman"/>
                <w:noProof/>
                <w:sz w:val="20"/>
              </w:rPr>
              <w:t>Il est proposé de dissoudre ce groupe d’experts, eu é</w:t>
            </w:r>
            <w:r>
              <w:rPr>
                <w:rFonts w:ascii="Times New Roman" w:hAnsi="Times New Roman"/>
                <w:noProof/>
                <w:sz w:val="20"/>
              </w:rPr>
              <w:t>gard notamment aux règles horizontales révisées relatives à la création et au fonctionnement des groupes d’experts de la Commission, adoptées par celle-ci en mai 2016, et à l’inactivité de ce groupe d’experts au cours des 5 dernières années.</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rPr>
                <w:rFonts w:ascii="Times New Roman" w:eastAsia="Times New Roman" w:hAnsi="Times New Roman"/>
                <w:noProof/>
                <w:sz w:val="20"/>
                <w:szCs w:val="20"/>
              </w:rPr>
            </w:pPr>
            <w:r>
              <w:rPr>
                <w:rFonts w:ascii="Times New Roman" w:hAnsi="Times New Roman"/>
                <w:noProof/>
                <w:sz w:val="20"/>
              </w:rPr>
              <w:t>Marché intér</w:t>
            </w:r>
            <w:r>
              <w:rPr>
                <w:rFonts w:ascii="Times New Roman" w:hAnsi="Times New Roman"/>
                <w:noProof/>
                <w:sz w:val="20"/>
              </w:rPr>
              <w:t>ieur</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eastAsiaTheme="minorHAnsi" w:hAnsi="Times New Roman"/>
                <w:noProof/>
                <w:sz w:val="20"/>
                <w:szCs w:val="20"/>
              </w:rPr>
            </w:pPr>
            <w:r>
              <w:rPr>
                <w:rFonts w:ascii="Times New Roman" w:hAnsi="Times New Roman"/>
                <w:noProof/>
                <w:sz w:val="20"/>
              </w:rPr>
              <w:t>Directive 73/361/CEE du Conseil du 19 novembre 1973 concernant le rapprochement des dispositions législatives, réglementaires et administratives des États membres relatives à l’attestation et au marquage des câbles, chaînes et crochets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eastAsiaTheme="minorHAnsi" w:hAnsi="Times New Roman"/>
                <w:noProof/>
                <w:sz w:val="20"/>
                <w:szCs w:val="20"/>
              </w:rPr>
            </w:pPr>
            <w:r>
              <w:rPr>
                <w:rFonts w:ascii="Times New Roman" w:hAnsi="Times New Roman"/>
                <w:noProof/>
                <w:sz w:val="20"/>
              </w:rPr>
              <w:t>Dans sa forme a</w:t>
            </w:r>
            <w:r>
              <w:rPr>
                <w:rFonts w:ascii="Times New Roman" w:hAnsi="Times New Roman"/>
                <w:noProof/>
                <w:sz w:val="20"/>
              </w:rPr>
              <w:t>ctuelle, l’acte ne comporte plus aucune règle de fond applicable à ce jour, certaines de ses dispositions ayant été abrogées par la directive 91/368/CEE du Conseil modifiant la précédente directive 89/392/CEE relative aux machines et d’autres ayant été abr</w:t>
            </w:r>
            <w:r>
              <w:rPr>
                <w:rFonts w:ascii="Times New Roman" w:hAnsi="Times New Roman"/>
                <w:noProof/>
                <w:sz w:val="20"/>
              </w:rPr>
              <w:t>ogées ou remplacées par l’annexe III du règlement (CE) nº 807/2003 du Conseil. Les dispositions subsistantes sont obsolètes et les dispositions pertinentes en matière de sécurité ont été intégrées dans la directive 2014/33/UE concernant les ascenseurs.</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eastAsiaTheme="minorHAnsi" w:hAnsi="Times New Roman"/>
                <w:noProof/>
                <w:sz w:val="20"/>
                <w:szCs w:val="20"/>
              </w:rPr>
            </w:pPr>
            <w:r>
              <w:rPr>
                <w:rFonts w:ascii="Times New Roman" w:hAnsi="Times New Roman"/>
                <w:noProof/>
                <w:sz w:val="20"/>
              </w:rPr>
              <w:t>Marché intérieur</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Décision 2009/767/CE de la Commission du 16 octobre 2009 établissant des mesures destinées à faciliter l’exécution de procédures par voie électronique par l’intermédiaire des guichets uniques conformément à la directive 2006/123/CE du Parl</w:t>
            </w:r>
            <w:r>
              <w:rPr>
                <w:rFonts w:ascii="Times New Roman" w:hAnsi="Times New Roman"/>
                <w:noProof/>
                <w:sz w:val="20"/>
              </w:rPr>
              <w:t>ement européen et du Conseil relative aux services dans le marché intérieur</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eastAsiaTheme="minorHAnsi" w:hAnsi="Times New Roman"/>
                <w:noProof/>
                <w:sz w:val="20"/>
                <w:szCs w:val="20"/>
              </w:rPr>
            </w:pPr>
            <w:r>
              <w:rPr>
                <w:rFonts w:ascii="Times New Roman" w:hAnsi="Times New Roman"/>
                <w:noProof/>
                <w:sz w:val="20"/>
              </w:rPr>
              <w:t xml:space="preserve">Les obligations et les spécifications techniques énoncées dans la décision 2009/767/CE sont à présent couvertes par le règlement (UE) nº 910/2014 sur l’identification électronique </w:t>
            </w:r>
            <w:r>
              <w:rPr>
                <w:rFonts w:ascii="Times New Roman" w:hAnsi="Times New Roman"/>
                <w:noProof/>
                <w:sz w:val="20"/>
              </w:rPr>
              <w:t>et les services de confiance pour les transactions électroniques au sein du marché intérieur et abrogeant la directive 1999/93/CE et par les décisions d’exécution (UE) 2015/1505 et (UE) 2015/1506 de la Commission. La décision 2009/767/CE est donc devenue o</w:t>
            </w:r>
            <w:r>
              <w:rPr>
                <w:rFonts w:ascii="Times New Roman" w:hAnsi="Times New Roman"/>
                <w:noProof/>
                <w:sz w:val="20"/>
              </w:rPr>
              <w:t>bsolète.</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Marché intérieur</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Décision 2011/130/UE de la Commission du 25 février 2011 établissant des exigences minimales pour le traitement transfrontalier des documents signés électroniquement par les autorités compétentes conformément à la directive 2006</w:t>
            </w:r>
            <w:r>
              <w:rPr>
                <w:rFonts w:ascii="Times New Roman" w:hAnsi="Times New Roman"/>
                <w:noProof/>
                <w:sz w:val="20"/>
              </w:rPr>
              <w:t>/123/CE du Parlement européen et du Conseil relative aux services dans le marché intérieur.</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Les obligations et les spécifications techniques énoncées dans la décision 2011/130/UE sont à présent couvertes par le règlement (UE) nº 910/2014 du sur l’identific</w:t>
            </w:r>
            <w:r>
              <w:rPr>
                <w:rFonts w:ascii="Times New Roman" w:hAnsi="Times New Roman"/>
                <w:noProof/>
                <w:sz w:val="20"/>
              </w:rPr>
              <w:t>ation électronique et les services de confiance pour les transactions électroniques au sein du marché intérieur et abrogeant la directive 1999/93/CE et par les décisions d’exécution (UE) 2015/1505 et (UE) 2015/1506 de la Commission. La décision 2011/130/UE</w:t>
            </w:r>
            <w:r>
              <w:rPr>
                <w:rFonts w:ascii="Times New Roman" w:hAnsi="Times New Roman"/>
                <w:noProof/>
                <w:sz w:val="20"/>
              </w:rPr>
              <w:t xml:space="preserve"> est donc devenue obsolète.</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eastAsia="Times New Roman" w:hAnsi="Times New Roman"/>
                <w:noProof/>
                <w:sz w:val="20"/>
                <w:szCs w:val="20"/>
              </w:rPr>
            </w:pPr>
            <w:r>
              <w:rPr>
                <w:rFonts w:ascii="Times New Roman" w:hAnsi="Times New Roman"/>
                <w:noProof/>
                <w:sz w:val="20"/>
              </w:rPr>
              <w:t>Fiscalité et douane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Règlement (CEE) nº 3510/80 de la Commission du 23 décembre 1980 relatif à la définition de la notion de produits originaires pour l’application de préférences tarifaires accordées par la Communauté </w:t>
            </w:r>
            <w:r>
              <w:rPr>
                <w:rFonts w:ascii="Times New Roman" w:hAnsi="Times New Roman"/>
                <w:noProof/>
                <w:sz w:val="20"/>
              </w:rPr>
              <w:t>économique européenne à certains produits de pays en voie de développement</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Ce règlement de la Commission est devenu obsolète à la suite des réformes successives des règles d’origine préférentielles. Les règles d’origine préférentielles dans leur dernière v</w:t>
            </w:r>
            <w:r>
              <w:rPr>
                <w:rFonts w:ascii="Times New Roman" w:hAnsi="Times New Roman"/>
                <w:noProof/>
                <w:sz w:val="20"/>
              </w:rPr>
              <w:t xml:space="preserve">ersion actualisée figurent à présent dans le règlement (UE) nº 952/2013 (code des douanes de l’Union), le règlement délégué (UE) 2015/2446 et le règlement d’exécution (UE) 2015/2447 (ces deux derniers remplaçant les dispositions d’application du précédent </w:t>
            </w:r>
            <w:r>
              <w:rPr>
                <w:rFonts w:ascii="Times New Roman" w:hAnsi="Times New Roman"/>
                <w:noProof/>
                <w:sz w:val="20"/>
              </w:rPr>
              <w:t>code des douanes, datant de 1992).</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rPr>
                <w:rFonts w:ascii="Times New Roman" w:eastAsia="Times New Roman" w:hAnsi="Times New Roman"/>
                <w:noProof/>
                <w:sz w:val="20"/>
                <w:szCs w:val="20"/>
              </w:rPr>
            </w:pPr>
            <w:r>
              <w:rPr>
                <w:rFonts w:ascii="Times New Roman" w:hAnsi="Times New Roman"/>
                <w:noProof/>
                <w:sz w:val="20"/>
              </w:rPr>
              <w:t>Fiscalité et douane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Règlement (CE) nº 1147/2002 du Conseil du 25 juin 2002 portant suspension temporaire des droits autonomes du tarif douanier commun sur certaines marchandises importées sous le couvert de certificats </w:t>
            </w:r>
            <w:r>
              <w:rPr>
                <w:rFonts w:ascii="Times New Roman" w:hAnsi="Times New Roman"/>
                <w:noProof/>
                <w:sz w:val="20"/>
              </w:rPr>
              <w:t>d’aptitude au vol</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rPr>
                <w:rFonts w:ascii="Times New Roman" w:hAnsi="Times New Roman"/>
                <w:noProof/>
                <w:sz w:val="20"/>
                <w:szCs w:val="20"/>
              </w:rPr>
            </w:pPr>
            <w:r>
              <w:rPr>
                <w:rFonts w:ascii="Times New Roman" w:hAnsi="Times New Roman"/>
                <w:noProof/>
                <w:sz w:val="20"/>
              </w:rPr>
              <w:t xml:space="preserve">L’abrogation de ce règlement du Conseil sera proposée par la nouvelle proposition de règlement du Conseil portant suspension temporaire des droits autonomes du tarif douanier commun sur certaines marchandises importées sous le couvert de </w:t>
            </w:r>
            <w:r>
              <w:rPr>
                <w:rFonts w:ascii="Times New Roman" w:hAnsi="Times New Roman"/>
                <w:noProof/>
                <w:sz w:val="20"/>
              </w:rPr>
              <w:t>certificats d’autorisation de mise en service.</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jc w:val="both"/>
              <w:rPr>
                <w:rFonts w:ascii="Times New Roman" w:eastAsia="Times New Roman" w:hAnsi="Times New Roman"/>
                <w:noProof/>
                <w:sz w:val="20"/>
                <w:szCs w:val="20"/>
              </w:rPr>
            </w:pPr>
            <w:r>
              <w:rPr>
                <w:rFonts w:ascii="Times New Roman" w:hAnsi="Times New Roman"/>
                <w:noProof/>
                <w:sz w:val="20"/>
              </w:rPr>
              <w:t>Fiscalité et douane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Règlement (CE) nº 209/2005 de la Commission du 7 février 2005 fixant la liste des produits textiles pour lesquels aucune preuve de l’origine n’est exigée lors de leur mise en libre pratiq</w:t>
            </w:r>
            <w:r>
              <w:rPr>
                <w:rFonts w:ascii="Times New Roman" w:hAnsi="Times New Roman"/>
                <w:noProof/>
                <w:sz w:val="20"/>
              </w:rPr>
              <w:t>ue dans la Communauté</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Ce règlement de la Commission était un acte d’exécution du règlement (CE) nº 1541/98 du Conseil du 13 juillet 1998, lequel a été abrogé en 2011.</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jc w:val="both"/>
              <w:rPr>
                <w:rFonts w:ascii="Times New Roman" w:eastAsia="Times New Roman" w:hAnsi="Times New Roman"/>
                <w:noProof/>
                <w:sz w:val="20"/>
                <w:szCs w:val="20"/>
              </w:rPr>
            </w:pPr>
            <w:r>
              <w:rPr>
                <w:rFonts w:ascii="Times New Roman" w:hAnsi="Times New Roman"/>
                <w:noProof/>
                <w:sz w:val="20"/>
              </w:rPr>
              <w:t>Fiscalité et douane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Décision nº 70/2008/CE du Parlement européen et du Conseil du </w:t>
            </w:r>
            <w:r>
              <w:rPr>
                <w:rFonts w:ascii="Times New Roman" w:hAnsi="Times New Roman"/>
                <w:noProof/>
                <w:sz w:val="20"/>
              </w:rPr>
              <w:t>15 janvier 2008 relative à un environnement sans support papier pour la douane et le commerce</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L’évolution du droit douanier et le haut degré de détail et d’harmonisation avec lequel l’obligation légale d’utiliser des systèmes électroniques a été instaurée </w:t>
            </w:r>
            <w:r>
              <w:rPr>
                <w:rFonts w:ascii="Times New Roman" w:hAnsi="Times New Roman"/>
                <w:noProof/>
                <w:sz w:val="20"/>
              </w:rPr>
              <w:t>ont rendu superflue la décision de 2008 relative aux systèmes douaniers électroniques. Les dispositions principales de la décision sont à présent remplacées à l’exception de celles de l’article 4, paragraphes 4 à 7, concernant le guichet unique. La prépara</w:t>
            </w:r>
            <w:r>
              <w:rPr>
                <w:rFonts w:ascii="Times New Roman" w:hAnsi="Times New Roman"/>
                <w:noProof/>
                <w:sz w:val="20"/>
              </w:rPr>
              <w:t>tion d’une nouvelle base juridique pour le guichet unique est en cours et une proposition sera présentée parallèlement à celle visant à abroger la décision nº 70/2008/CE.</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line="240" w:lineRule="auto"/>
              <w:jc w:val="both"/>
              <w:rPr>
                <w:rFonts w:ascii="Times New Roman" w:eastAsia="Times New Roman" w:hAnsi="Times New Roman"/>
                <w:noProof/>
                <w:sz w:val="20"/>
                <w:szCs w:val="20"/>
              </w:rPr>
            </w:pPr>
            <w:r>
              <w:rPr>
                <w:rFonts w:ascii="Times New Roman" w:hAnsi="Times New Roman"/>
                <w:noProof/>
                <w:sz w:val="20"/>
              </w:rPr>
              <w:t>Fiscalité et douane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Décision d’exécution 2011/544/UE de la Commission du 16 </w:t>
            </w:r>
            <w:r>
              <w:rPr>
                <w:rFonts w:ascii="Times New Roman" w:hAnsi="Times New Roman"/>
                <w:noProof/>
                <w:sz w:val="20"/>
              </w:rPr>
              <w:t>septembre 2011 relative à l’établissement d’un marqueur commun pour le marquage fiscal du gazole et du pétrole lampant</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Cette décision d’exécution sera remplacée par une nouvelle à partir de 2017 et donc abrogée en même temps.</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Transports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Directive 89/629/</w:t>
            </w:r>
            <w:r>
              <w:rPr>
                <w:rFonts w:ascii="Times New Roman" w:hAnsi="Times New Roman"/>
                <w:noProof/>
                <w:sz w:val="20"/>
              </w:rPr>
              <w:t>CEE du Conseil du 4 décembre 1989 relative à la limitation des émissions sonores des avions à réaction subsoniques civils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highlight w:val="yellow"/>
              </w:rPr>
            </w:pPr>
            <w:r>
              <w:rPr>
                <w:rFonts w:ascii="Times New Roman" w:hAnsi="Times New Roman"/>
                <w:noProof/>
                <w:sz w:val="20"/>
              </w:rPr>
              <w:t>Cette directive est redondante depuis l’adoption et la transposition de la directive 2006/93/CE, qui adopte une approche plus exhausti</w:t>
            </w:r>
            <w:r>
              <w:rPr>
                <w:rFonts w:ascii="Times New Roman" w:hAnsi="Times New Roman"/>
                <w:noProof/>
                <w:sz w:val="20"/>
              </w:rPr>
              <w:t>ve et plus stricte. La directive 89/629/CEE permettait de poursuivre l’exploitation d’avions bruyants dès lors que ceux-ci étaient déjà inscrits sur les registres nationaux. En revanche, toute nouvelle immatriculation de tels avions bruyants était désormai</w:t>
            </w:r>
            <w:r>
              <w:rPr>
                <w:rFonts w:ascii="Times New Roman" w:hAnsi="Times New Roman"/>
                <w:noProof/>
                <w:sz w:val="20"/>
              </w:rPr>
              <w:t>s interdite (règle de non-adjonction). L’exploitation d’avions anciens et bruyants restait donc autorisée. La directive 2006/93/CEE a prévu l’élimination progressive de tous les avions bruyants, y compris ceux visés par la directive 89/629/CEE, qu’ils soie</w:t>
            </w:r>
            <w:r>
              <w:rPr>
                <w:rFonts w:ascii="Times New Roman" w:hAnsi="Times New Roman"/>
                <w:noProof/>
                <w:sz w:val="20"/>
              </w:rPr>
              <w:t>nt déjà immatriculés ou non, les avions ne répondant pas aux normes ne sont donc plus autorisés à voler dans l’espace aérien de l’UE et ont dû être radiés des registres nationaux.</w:t>
            </w:r>
          </w:p>
        </w:tc>
      </w:tr>
      <w:tr w:rsidR="005562FB">
        <w:trPr>
          <w:cantSplit/>
        </w:trPr>
        <w:tc>
          <w:tcPr>
            <w:tcW w:w="174" w:type="pct"/>
            <w:tcBorders>
              <w:top w:val="single" w:sz="4" w:space="0" w:color="auto"/>
              <w:left w:val="single" w:sz="4" w:space="0" w:color="auto"/>
              <w:bottom w:val="single" w:sz="4" w:space="0" w:color="auto"/>
              <w:right w:val="single" w:sz="4" w:space="0" w:color="auto"/>
            </w:tcBorders>
          </w:tcPr>
          <w:p w:rsidR="005562FB" w:rsidRDefault="005562FB">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562FB" w:rsidRDefault="00FA18FE">
            <w:pPr>
              <w:spacing w:after="0"/>
              <w:jc w:val="both"/>
              <w:rPr>
                <w:rFonts w:ascii="Times New Roman" w:hAnsi="Times New Roman"/>
                <w:noProof/>
                <w:sz w:val="20"/>
                <w:szCs w:val="20"/>
              </w:rPr>
            </w:pPr>
            <w:r>
              <w:rPr>
                <w:rFonts w:ascii="Times New Roman" w:hAnsi="Times New Roman"/>
                <w:noProof/>
                <w:sz w:val="20"/>
              </w:rPr>
              <w:t>Transports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 xml:space="preserve">Règlement (CEE) nº 3572/90 du Conseil du 4 décembre 1990 </w:t>
            </w:r>
            <w:r>
              <w:rPr>
                <w:rFonts w:ascii="Times New Roman" w:hAnsi="Times New Roman"/>
                <w:noProof/>
                <w:sz w:val="20"/>
              </w:rPr>
              <w:t>modifiant, en raison de l’unification allemande, certaines directives, décisions et règlements relatifs aux transports par route, par chemin de fer et par voie navigable</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562FB" w:rsidRDefault="00FA18FE">
            <w:pPr>
              <w:spacing w:after="0"/>
              <w:jc w:val="both"/>
              <w:rPr>
                <w:rFonts w:ascii="Times New Roman" w:hAnsi="Times New Roman"/>
                <w:noProof/>
                <w:sz w:val="20"/>
                <w:szCs w:val="20"/>
              </w:rPr>
            </w:pPr>
            <w:r>
              <w:rPr>
                <w:rFonts w:ascii="Times New Roman" w:hAnsi="Times New Roman"/>
                <w:noProof/>
                <w:sz w:val="20"/>
              </w:rPr>
              <w:t>Les actes législatifs modifiés par le règlement ont été abrogés ou sont en passe de l’</w:t>
            </w:r>
            <w:r>
              <w:rPr>
                <w:rFonts w:ascii="Times New Roman" w:hAnsi="Times New Roman"/>
                <w:noProof/>
                <w:sz w:val="20"/>
              </w:rPr>
              <w:t>être. Une fois ainsi devenu obsolète, le règlement devrait être abrogé à son tour.</w:t>
            </w:r>
          </w:p>
        </w:tc>
      </w:tr>
    </w:tbl>
    <w:p w:rsidR="005562FB" w:rsidRDefault="005562FB">
      <w:pPr>
        <w:spacing w:after="480"/>
        <w:outlineLvl w:val="0"/>
        <w:rPr>
          <w:noProof/>
        </w:rPr>
      </w:pPr>
    </w:p>
    <w:sectPr w:rsidR="005562FB">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417" w:bottom="28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FB" w:rsidRDefault="00FA18FE">
      <w:pPr>
        <w:spacing w:after="0" w:line="240" w:lineRule="auto"/>
      </w:pPr>
      <w:r>
        <w:separator/>
      </w:r>
    </w:p>
  </w:endnote>
  <w:endnote w:type="continuationSeparator" w:id="0">
    <w:p w:rsidR="005562FB" w:rsidRDefault="00FA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FA18F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FA18FE">
    <w:pPr>
      <w:pStyle w:val="Footer"/>
      <w:jc w:val="right"/>
    </w:pPr>
    <w:r>
      <w:fldChar w:fldCharType="begin"/>
    </w:r>
    <w:r>
      <w:instrText xml:space="preserve"> PAGE   \* MERGEFORMAT </w:instrText>
    </w:r>
    <w:r>
      <w:fldChar w:fldCharType="separate"/>
    </w:r>
    <w:r>
      <w:rPr>
        <w:noProof/>
      </w:rPr>
      <w:t>4</w:t>
    </w:r>
    <w:r>
      <w:rPr>
        <w:noProof/>
      </w:rPr>
      <w:fldChar w:fldCharType="end"/>
    </w:r>
  </w:p>
  <w:p w:rsidR="005562FB" w:rsidRDefault="005562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FB" w:rsidRDefault="00FA18FE">
      <w:pPr>
        <w:spacing w:after="0" w:line="240" w:lineRule="auto"/>
      </w:pPr>
      <w:r>
        <w:separator/>
      </w:r>
    </w:p>
  </w:footnote>
  <w:footnote w:type="continuationSeparator" w:id="0">
    <w:p w:rsidR="005562FB" w:rsidRDefault="00FA1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FB" w:rsidRDefault="00556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F74B90"/>
    <w:multiLevelType w:val="hybridMultilevel"/>
    <w:tmpl w:val="B9768E9E"/>
    <w:lvl w:ilvl="0" w:tplc="BCD0181C">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5"/>
    <w:docVar w:name="LW_ANNEX_NBR_LAST" w:val="5"/>
    <w:docVar w:name="LW_CONFIDENCE" w:val=" "/>
    <w:docVar w:name="LW_CONST_RESTREINT_UE" w:val="RESTREINT UE"/>
    <w:docVar w:name="LW_CORRIGENDUM" w:val="&lt;UNUSED&gt;"/>
    <w:docVar w:name="LW_COVERPAGE_GUID" w:val="6D21DBB03AF147F3842A59CBDC089946"/>
    <w:docVar w:name="LW_CROSSREFERENCE" w:val="{SWD(2016) 400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ogramme de travail de la Commission pour 2017_x000b_Répondre aux attentes - Pour une Europe qui protège, donne les moyens d'agir et défend"/>
    <w:docVar w:name="LW_PART_NBR" w:val="1"/>
    <w:docVar w:name="LW_PART_NBR_TOTAL" w:val="1"/>
    <w:docVar w:name="LW_REF.INST.NEW" w:val="COM"/>
    <w:docVar w:name="LW_REF.INST.NEW_ADOPTED" w:val="final"/>
    <w:docVar w:name="LW_REF.INST.NEW_TEXT" w:val="(2016) 71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w:rsids>
    <w:rsidRoot w:val="005562FB"/>
    <w:rsid w:val="005562FB"/>
    <w:rsid w:val="00FA1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FE70-D5BE-4586-AF86-2B65BD86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1576</Words>
  <Characters>8815</Characters>
  <Application>Microsoft Office Word</Application>
  <DocSecurity>0</DocSecurity>
  <Lines>146</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Stefanie Heilemann</cp:lastModifiedBy>
  <cp:revision>12</cp:revision>
  <cp:lastPrinted>2016-10-25T09:58:00Z</cp:lastPrinted>
  <dcterms:created xsi:type="dcterms:W3CDTF">2016-10-25T06:09:00Z</dcterms:created>
  <dcterms:modified xsi:type="dcterms:W3CDTF">2016-10-25T09:58:00Z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