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CFA83EC79A1414D832960D56B3D5E86"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noProof/>
          <w:szCs w:val="24"/>
        </w:rPr>
      </w:pPr>
      <w:bookmarkStart w:id="1" w:name="_GoBack"/>
      <w:bookmarkEnd w:id="1"/>
      <w:r>
        <w:rPr>
          <w:noProof/>
        </w:rPr>
        <w:lastRenderedPageBreak/>
        <w:t>Космическото пространство има важно значение за Европа.</w:t>
      </w:r>
    </w:p>
    <w:p>
      <w:pPr>
        <w:rPr>
          <w:noProof/>
          <w:szCs w:val="24"/>
        </w:rPr>
      </w:pPr>
      <w:r>
        <w:rPr>
          <w:noProof/>
        </w:rPr>
        <w:t>Европа — държавите членки, Европейската космическа агенция (ЕКА), Европейската организация за експлоатация на метеорологични спътници (EUMETSAT) и ЕС — постигна много успехи в космическото пространство с революционни технологии и проучвателни мисии, като например мисията „Розета“ на ЕКА, уникален капацитет за наблюдение на Земята и метеорологичните явления, като например METEOSAT, както и водещи световни търговски системи за далекосъобщения и изстрелване с групата „Ариана“ и „Вега“. На Европа днес се пада вторият по големина космически бюджет в света</w:t>
      </w:r>
      <w:r>
        <w:rPr>
          <w:rStyle w:val="FootnoteReference"/>
          <w:noProof/>
        </w:rPr>
        <w:footnoteReference w:id="2"/>
      </w:r>
      <w:r>
        <w:rPr>
          <w:noProof/>
        </w:rPr>
        <w:t xml:space="preserve"> с програми и съоръжения, които обхващат различни европейски държави. Между 2014 г. и 2020 г. ЕС самостоятелно ще инвестира над 12 млрд. EUR в космически дейности. Съюзът притежава космически системи на световно ниво като „Коперник“</w:t>
      </w:r>
      <w:r>
        <w:rPr>
          <w:rStyle w:val="FootnoteReference"/>
          <w:noProof/>
        </w:rPr>
        <w:footnoteReference w:id="3"/>
      </w:r>
      <w:r>
        <w:rPr>
          <w:noProof/>
        </w:rPr>
        <w:t xml:space="preserve"> за наблюдение на Земята, EGNOS</w:t>
      </w:r>
      <w:r>
        <w:rPr>
          <w:rStyle w:val="FootnoteReference"/>
          <w:noProof/>
        </w:rPr>
        <w:footnoteReference w:id="4"/>
      </w:r>
      <w:r>
        <w:rPr>
          <w:noProof/>
        </w:rPr>
        <w:t xml:space="preserve"> и „Галилео“</w:t>
      </w:r>
      <w:r>
        <w:rPr>
          <w:rStyle w:val="FootnoteReference"/>
          <w:noProof/>
        </w:rPr>
        <w:footnoteReference w:id="5"/>
      </w:r>
      <w:r>
        <w:rPr>
          <w:noProof/>
        </w:rPr>
        <w:t xml:space="preserve"> за спътникова навигация и географско позициониране. С 18 спътника в орбита понастоящем и над 30 планирани за следващите 10—15 години, ЕС е най-големият институционален клиент на услуги по изстрелване на спътници в Европа.</w:t>
      </w:r>
    </w:p>
    <w:p>
      <w:pPr>
        <w:rPr>
          <w:noProof/>
          <w:szCs w:val="24"/>
        </w:rPr>
      </w:pPr>
      <w:r>
        <w:rPr>
          <w:noProof/>
        </w:rPr>
        <w:t>Космическите технологии, данни и услуги се превърнаха в абсолютна необходимост в ежедневния живот на европейските граждани, когато използват мобилни телефони и навигационни системи за автомобилите, когато гледат спътникова телевизия или теглят пари. Спътниците осигуряват незабавно данни при настъпване на бедствия като земетресения, горски пожари или наводнения, което позволява на аварийните и спасителните екипи да координират по-добре своите усилия. Селското стопанство се възползва от подобреното ползване на земята. Транспортната и енергийната инфраструктура са по-безопасни и могат да бъдат използвани по-ефикасно благодарение на спътниковите технологии. Глобалните предизвикателства, дължащи се на нарастващото население, увеличеното търсене на ресурси и изменението на климата, изискват информация за нашата планета, която може да бъде осигурена по-лесно от решение, базирано на космическия сектор.</w:t>
      </w:r>
    </w:p>
    <w:p>
      <w:pPr>
        <w:rPr>
          <w:rFonts w:eastAsiaTheme="minorEastAsia"/>
          <w:noProof/>
          <w:szCs w:val="24"/>
        </w:rPr>
      </w:pPr>
      <w:r>
        <w:rPr>
          <w:noProof/>
        </w:rPr>
        <w:t>Космическите технологии, данни и услуги могат да спомагат за много политики на ЕС и ключови политически приоритети, включително конкурентоспособността на нашата икономика, миграцията, изменението на климата, цифровия единен пазар и устойчивото управление на природните ресурси. Космическото пространство е и от стратегическа важност за Европа. То затвърждава ролята на Европа като по-силен глобален фактор и е актив за нейната сигурност и отбрана. Космическата политика може да спомогне за повишаването на заетостта, растежа и инвестициите в Европа. Инвестициите в космическото пространство извеждат науката и научните изследвания на ново ниво. Европа разполага с космически сектор на световно ниво със силно развита промишленост за производство на спътници, която държи около 33 % от отворените световни пазари, и с динамичен сектор на услугите надолу по веригата с голям брой МСП. В европейската космическа икономика, включително производството и услугите, са заети над 230 000 специалисти, като през 2014 г. нейната стойност беше оценена на 46—54 млрд. EUR, което представлява около 21 % от стойността на световния космически сектор</w:t>
      </w:r>
      <w:r>
        <w:rPr>
          <w:rStyle w:val="FootnoteReference"/>
          <w:noProof/>
        </w:rPr>
        <w:footnoteReference w:id="6"/>
      </w:r>
      <w:r>
        <w:rPr>
          <w:noProof/>
        </w:rPr>
        <w:t xml:space="preserve">. </w:t>
      </w:r>
    </w:p>
    <w:p>
      <w:pPr>
        <w:rPr>
          <w:noProof/>
        </w:rPr>
      </w:pPr>
      <w:r>
        <w:rPr>
          <w:noProof/>
        </w:rPr>
        <w:t>Цялостната международна ситуация в космическия сектор се променя бързо: конкуренцията се увеличава; нови участници внасят предизвикателства и нови амбиции в космическото пространство; космическите дейности придобиват все по-изразен търговски характер с по-голямо участие на частния сектор; значителните технологични промени разрушават традиционните промишлени и бизнес модели в сектора, като намаляват разходите за достъп и използване на космическото пространство. Комбинацията от космически данни с цифрови технологии и други източници на данни разкриват много възможности</w:t>
      </w:r>
      <w:r>
        <w:rPr>
          <w:b/>
          <w:noProof/>
        </w:rPr>
        <w:t xml:space="preserve"> </w:t>
      </w:r>
      <w:r>
        <w:rPr>
          <w:noProof/>
        </w:rPr>
        <w:t>за бизнес за всички държави членки.</w:t>
      </w:r>
    </w:p>
    <w:p>
      <w:pPr>
        <w:rPr>
          <w:noProof/>
        </w:rPr>
      </w:pPr>
      <w:r>
        <w:rPr>
          <w:noProof/>
        </w:rPr>
        <w:t>Европа трябва да бъде единна, за да поддържа своята водеща позиция в космическото пространство, да увеличава своя дял на световните пазари, свързани с него, и да се възползва от изгодите и възможностите, които то разкрива. Поради това въз основа на член 189 от Договора (ДФЕС) Комисията предлага нова космическа стратегия за Европа, която е насочена към постигането на четири стратегически цели.</w:t>
      </w:r>
    </w:p>
    <w:p>
      <w:pPr>
        <w:pStyle w:val="Heading1"/>
        <w:spacing w:before="360"/>
        <w:rPr>
          <w:noProof/>
        </w:rPr>
      </w:pPr>
      <w:bookmarkStart w:id="2" w:name="_Toc459652859"/>
      <w:r>
        <w:rPr>
          <w:noProof/>
        </w:rPr>
        <w:t>Максимално увеличаване на ползите от космическото пространство за обществото и икономиката на ЕС</w:t>
      </w:r>
      <w:bookmarkEnd w:id="2"/>
    </w:p>
    <w:p>
      <w:pPr>
        <w:pStyle w:val="NumPar1"/>
        <w:numPr>
          <w:ilvl w:val="0"/>
          <w:numId w:val="0"/>
        </w:numPr>
        <w:rPr>
          <w:noProof/>
        </w:rPr>
      </w:pPr>
      <w:r>
        <w:rPr>
          <w:noProof/>
        </w:rPr>
        <w:t>Потенциалът на космическите решения все още не е напълно оползотворен, а това важи и за още по-големите възможности, разкривани от космическите данни. Космическият сектор трябва да бъде по-добре свързан с други политики и икономически области на равнището на ЕС и във всички държави членки. Потенциалът на космическите програми на ЕС „Коперник“, EGNOS и „Галилео“ трябва да бъде оползотворен по-добре. Целта на Комисията е да оптимизира ползите от космическото пространство за обществото, а в по-широк план — за икономиката на ЕС. Постигането на това означава повишаване на търсенето сред публичните и частните потребители, улесняване на достъпа до космически данни и на използването им, както и стимулиране на развитието и използването на иновативни приложения надолу по веригата. Това означава също така да се гарантират непрекъснатостта и развитието, ориентирано към потребителите, на космическите програми на ЕС.</w:t>
      </w:r>
    </w:p>
    <w:p>
      <w:pPr>
        <w:pStyle w:val="Heading2"/>
        <w:numPr>
          <w:ilvl w:val="1"/>
          <w:numId w:val="1"/>
        </w:numPr>
        <w:rPr>
          <w:noProof/>
          <w:szCs w:val="24"/>
        </w:rPr>
      </w:pPr>
      <w:bookmarkStart w:id="3" w:name="_Toc459652860"/>
      <w:r>
        <w:rPr>
          <w:noProof/>
        </w:rPr>
        <w:t>Насърчаване на използването на космически услуги и данни</w:t>
      </w:r>
    </w:p>
    <w:bookmarkEnd w:id="3"/>
    <w:p>
      <w:pPr>
        <w:pStyle w:val="p1"/>
        <w:spacing w:after="240"/>
        <w:jc w:val="both"/>
        <w:rPr>
          <w:rStyle w:val="s1"/>
          <w:rFonts w:ascii="Times New Roman" w:hAnsi="Times New Roman"/>
          <w:noProof/>
          <w:color w:val="auto"/>
          <w:sz w:val="24"/>
          <w:szCs w:val="24"/>
        </w:rPr>
      </w:pPr>
      <w:r>
        <w:rPr>
          <w:rStyle w:val="s1"/>
          <w:rFonts w:ascii="Times New Roman" w:hAnsi="Times New Roman"/>
          <w:noProof/>
          <w:color w:val="auto"/>
          <w:sz w:val="24"/>
        </w:rPr>
        <w:t>Данните и услугите, получавани от космически системи, включително спътникови снимки, информация за географско позициониране и спътникови комуникации, вече допринасят за редица публични политики и икономически сектори: от опазване на околната среда през безопасност на транспорта, прецизно земеделие, контрол на рибните запаси, наблюдение на морските пътища и откриване на нефтени разливи, до устройство на територията и регионално планиране. Потенциалните области на приложение са огромни и все още не са напълно проучени. Ето защо Комисията ще насърчава използването на космически услуги, данни и приложения в политиките на ЕС винаги, когато те осигуряват ефективни решения. Тя ще гарантира, че законодателството на ЕС осигурява подкрепа за тяхното навлизане и ще извършва редовен преглед, за да установява всякакви пречки и нови възможности, включително административно опростяване.</w:t>
      </w:r>
    </w:p>
    <w:p>
      <w:pPr>
        <w:pStyle w:val="p1"/>
        <w:spacing w:after="240"/>
        <w:jc w:val="both"/>
        <w:rPr>
          <w:rStyle w:val="s1"/>
          <w:rFonts w:ascii="Times New Roman" w:hAnsi="Times New Roman"/>
          <w:noProof/>
          <w:color w:val="auto"/>
          <w:sz w:val="24"/>
          <w:szCs w:val="24"/>
        </w:rPr>
      </w:pPr>
      <w:r>
        <w:rPr>
          <w:rStyle w:val="s1"/>
          <w:rFonts w:ascii="Times New Roman" w:hAnsi="Times New Roman"/>
          <w:noProof/>
          <w:color w:val="auto"/>
          <w:sz w:val="24"/>
        </w:rPr>
        <w:t>Комисията ще предприема конкретни мерки, включително регулаторни, когато това е обосновано и полезно</w:t>
      </w:r>
      <w:r>
        <w:rPr>
          <w:rStyle w:val="FootnoteReference"/>
          <w:rFonts w:ascii="Times New Roman" w:hAnsi="Times New Roman"/>
          <w:noProof/>
          <w:color w:val="auto"/>
          <w:sz w:val="24"/>
        </w:rPr>
        <w:footnoteReference w:id="7"/>
      </w:r>
      <w:r>
        <w:rPr>
          <w:rStyle w:val="s1"/>
          <w:rFonts w:ascii="Times New Roman" w:hAnsi="Times New Roman"/>
          <w:noProof/>
          <w:color w:val="auto"/>
          <w:sz w:val="24"/>
        </w:rPr>
        <w:t>, за да въведе „Галилео“ в определени пазари или определени области, като например мобилните телефони, европейската критична инфраструктура и въздухоплаването. Новите чипсетове и приемници, пускани на европейския пазар, следва да бъдат съвместими с „Галилео“ и EGNOS. За да подкрепи усилията на промишлеността, Комисията ще въведе доброволни схеми за етикетиране и сертифициране.</w:t>
      </w:r>
    </w:p>
    <w:p>
      <w:pPr>
        <w:pStyle w:val="p1"/>
        <w:spacing w:after="240"/>
        <w:jc w:val="both"/>
        <w:rPr>
          <w:rFonts w:ascii="Times New Roman" w:hAnsi="Times New Roman"/>
          <w:noProof/>
          <w:color w:val="auto"/>
          <w:sz w:val="24"/>
          <w:szCs w:val="24"/>
        </w:rPr>
      </w:pPr>
      <w:r>
        <w:rPr>
          <w:rStyle w:val="s1"/>
          <w:rFonts w:ascii="Times New Roman" w:hAnsi="Times New Roman"/>
          <w:noProof/>
          <w:color w:val="auto"/>
          <w:sz w:val="24"/>
        </w:rPr>
        <w:t xml:space="preserve">В по-дългосрочен план Комисията ще насърчава навлизането на космически решения чрез мерки за стандартизация и пътни карти, както и чрез включване на космическото пространство в бъдещи стратегии, отнасящи се например за автономните и свързаните автомобили, железниците и </w:t>
      </w:r>
      <w:r>
        <w:rPr>
          <w:rStyle w:val="tgc"/>
          <w:rFonts w:ascii="Times New Roman" w:hAnsi="Times New Roman"/>
          <w:noProof/>
          <w:color w:val="auto"/>
          <w:sz w:val="24"/>
        </w:rPr>
        <w:t>безпилотните летателни апарати (дронове)</w:t>
      </w:r>
      <w:r>
        <w:rPr>
          <w:rStyle w:val="s1"/>
          <w:rFonts w:ascii="Times New Roman" w:hAnsi="Times New Roman"/>
          <w:noProof/>
          <w:color w:val="auto"/>
          <w:sz w:val="24"/>
        </w:rPr>
        <w:t>.</w:t>
      </w:r>
      <w:r>
        <w:rPr>
          <w:rStyle w:val="apple-converted-space"/>
          <w:rFonts w:ascii="Times New Roman" w:hAnsi="Times New Roman"/>
          <w:noProof/>
          <w:color w:val="auto"/>
          <w:sz w:val="24"/>
        </w:rPr>
        <w:t xml:space="preserve"> </w:t>
      </w:r>
      <w:r>
        <w:rPr>
          <w:rStyle w:val="s1"/>
          <w:rFonts w:ascii="Times New Roman" w:hAnsi="Times New Roman"/>
          <w:noProof/>
          <w:color w:val="auto"/>
          <w:sz w:val="24"/>
        </w:rPr>
        <w:t>Комисията ще публикува европейски план за радио навигация с цел улесняване на въвеждането на приложения, базирани на глобалната навигационна спътникова система, в секторните политики.</w:t>
      </w:r>
    </w:p>
    <w:p>
      <w:pPr>
        <w:pStyle w:val="p1"/>
        <w:spacing w:after="240"/>
        <w:jc w:val="both"/>
        <w:rPr>
          <w:rFonts w:ascii="Times New Roman" w:hAnsi="Times New Roman"/>
          <w:noProof/>
          <w:color w:val="auto"/>
          <w:sz w:val="24"/>
          <w:szCs w:val="24"/>
        </w:rPr>
      </w:pPr>
      <w:r>
        <w:rPr>
          <w:rStyle w:val="s1"/>
          <w:rFonts w:ascii="Times New Roman" w:hAnsi="Times New Roman"/>
          <w:noProof/>
          <w:color w:val="auto"/>
          <w:sz w:val="24"/>
        </w:rPr>
        <w:t>Това начинание следва да бъде подпомогнато от съпътстващи мерки на национално и регионално равнище. Комисията съвместно с GSA</w:t>
      </w:r>
      <w:r>
        <w:rPr>
          <w:rStyle w:val="FootnoteReference"/>
          <w:rFonts w:ascii="Times New Roman" w:hAnsi="Times New Roman"/>
          <w:noProof/>
          <w:color w:val="auto"/>
          <w:sz w:val="24"/>
        </w:rPr>
        <w:footnoteReference w:id="8"/>
      </w:r>
      <w:r>
        <w:rPr>
          <w:rStyle w:val="s1"/>
          <w:rFonts w:ascii="Times New Roman" w:hAnsi="Times New Roman"/>
          <w:noProof/>
          <w:color w:val="auto"/>
          <w:sz w:val="24"/>
        </w:rPr>
        <w:t xml:space="preserve"> и други субекти ще организира кампании за повишаване на информираността, ще изгради поддържащи мрежи (например „щафетите“ по програма „Коперник“ и академия „Коперник“) и ще предоставя техническа</w:t>
      </w:r>
      <w:r>
        <w:rPr>
          <w:rStyle w:val="apple-converted-space"/>
          <w:rFonts w:ascii="Times New Roman" w:hAnsi="Times New Roman"/>
          <w:noProof/>
          <w:color w:val="auto"/>
          <w:sz w:val="24"/>
        </w:rPr>
        <w:t xml:space="preserve"> </w:t>
      </w:r>
      <w:r>
        <w:rPr>
          <w:rStyle w:val="s1"/>
          <w:rFonts w:ascii="Times New Roman" w:hAnsi="Times New Roman"/>
          <w:noProof/>
          <w:color w:val="auto"/>
          <w:sz w:val="24"/>
        </w:rPr>
        <w:t>помощ при използването на иновативни и трансгранични обществени поръчки за космически решения.</w:t>
      </w:r>
    </w:p>
    <w:p>
      <w:pPr>
        <w:pStyle w:val="p1"/>
        <w:spacing w:after="240"/>
        <w:jc w:val="both"/>
        <w:rPr>
          <w:rFonts w:ascii="Times New Roman" w:hAnsi="Times New Roman"/>
          <w:noProof/>
          <w:color w:val="auto"/>
          <w:sz w:val="24"/>
          <w:szCs w:val="24"/>
        </w:rPr>
      </w:pPr>
      <w:r>
        <w:rPr>
          <w:rStyle w:val="s1"/>
          <w:rFonts w:ascii="Times New Roman" w:hAnsi="Times New Roman"/>
          <w:noProof/>
          <w:color w:val="auto"/>
          <w:sz w:val="24"/>
        </w:rPr>
        <w:t>„Коперник“ е един от водещите доставчици на данни от наблюдението на Земята. Въпреки това поради технически пречки понастоящем потребителите не могат да използват в пълна степен данните и информацията, предоставяни от „Коперник“. Поради това Комисията ще подобри достъпа до космическите данни и използването им, като създаде възможност за тяхното взаимно обогатяване с данни от други източници, улеснявайки интегрирането с цифрови научноизследователски инфраструктури, при взаимно допълване с Европейската инициатива за компютърни услуги в облак. По-конкретно Комисията ще засили разпространението на данни от наблюдението на Земята, генерирани от „Коперник“. Тя ще стартира няколко базови платформени услуги, предлагащи достъп до допълнителни масиви от данни и онлайн капацитет за обработка, в които европейската промишленост ще поеме водеща роля. Тези мерки ще разкрият нови възможности за бизнес за европейската промишленост, включително МСП и стартиращи предприятия, и ще позволят на научноизследователските институции, публичните органи и дружествата да разработват космически решения и да се възползват от такива. Тъй като често се налага космическите данни да се използват заедно с некосмически данни, за да се оползотвори техният пълен потенциал за крайните потребители, Комисията ще отдели специално внимание на оперативната съвместимост на масивите от данни въз основа на Директивата за INSPIRE</w:t>
      </w:r>
      <w:r>
        <w:rPr>
          <w:rStyle w:val="FootnoteReference"/>
          <w:rFonts w:ascii="Times New Roman" w:hAnsi="Times New Roman"/>
          <w:noProof/>
          <w:color w:val="auto"/>
          <w:sz w:val="24"/>
        </w:rPr>
        <w:footnoteReference w:id="9"/>
      </w:r>
      <w:r>
        <w:rPr>
          <w:rStyle w:val="s1"/>
          <w:rFonts w:ascii="Times New Roman" w:hAnsi="Times New Roman"/>
          <w:noProof/>
          <w:color w:val="auto"/>
          <w:sz w:val="24"/>
        </w:rPr>
        <w:t xml:space="preserve"> и Европейската рамка за оперативна съвместимост.</w:t>
      </w:r>
    </w:p>
    <w:p>
      <w:pPr>
        <w:pStyle w:val="p1"/>
        <w:spacing w:after="240"/>
        <w:jc w:val="both"/>
        <w:rPr>
          <w:rFonts w:ascii="Times New Roman" w:hAnsi="Times New Roman"/>
          <w:noProof/>
          <w:color w:val="auto"/>
          <w:sz w:val="24"/>
          <w:szCs w:val="24"/>
        </w:rPr>
      </w:pPr>
      <w:r>
        <w:rPr>
          <w:rStyle w:val="s1"/>
          <w:rFonts w:ascii="Times New Roman" w:hAnsi="Times New Roman"/>
          <w:noProof/>
          <w:color w:val="auto"/>
          <w:sz w:val="24"/>
        </w:rPr>
        <w:t>Наличието на по-силни връзки с търговския сектор надолу по веригата е от съществено значение за разработването на приложения, съобразени с конкретните нужди, достигането до нови потребители и свързването на космическото пространство с други сектори. Поради това Комисията ще създаде рамкови условия за поощряване на тези връзки. Тя ще определи ясни граници между безплатните основни информационни услуги, базирани на „Коперник“, и търговските приложения надолу по веригата. Тя ще въведе също така „отраслов тест“ за проверка на способността на доставчиците надолу по веригата да предоставят надеждна услуга на достъпна цена.</w:t>
      </w:r>
    </w:p>
    <w:p>
      <w:pPr>
        <w:pStyle w:val="p1"/>
        <w:spacing w:after="240"/>
        <w:jc w:val="both"/>
        <w:rPr>
          <w:rFonts w:ascii="Times New Roman" w:hAnsi="Times New Roman"/>
          <w:noProof/>
          <w:color w:val="auto"/>
          <w:sz w:val="24"/>
          <w:szCs w:val="24"/>
        </w:rPr>
      </w:pPr>
      <w:r>
        <w:rPr>
          <w:rStyle w:val="s1"/>
          <w:rFonts w:ascii="Times New Roman" w:hAnsi="Times New Roman"/>
          <w:noProof/>
          <w:color w:val="auto"/>
          <w:sz w:val="24"/>
        </w:rPr>
        <w:t>Съобщенията Земя — Космос и спътниковите комуникации също могат да подобрят свързаността за цифровото общество и цифровата икономика на Европа. Спътниците могат да осигурят икономически ефективни решения по-специално за свързването на активи и хора в отдалечени райони и морски зони или като част от бъдещите мрежи от пето поколение (5G), когато за голям брой приложения и услуги, използващи космически данни, също ще е нужна непрекъсната свързаност. Комисията ще работи с държавите членки за подкрепа на дългосрочни рамки за сътрудничество, които насърчават съвместната работа чрез мрежи, базирани на спътникови и наземни технологии, и свързват съответните бизнес общности.</w:t>
      </w:r>
    </w:p>
    <w:tbl>
      <w:tblPr>
        <w:tblStyle w:val="TableGrid"/>
        <w:tblW w:w="0" w:type="auto"/>
        <w:tblLook w:val="04A0" w:firstRow="1" w:lastRow="0" w:firstColumn="1" w:lastColumn="0" w:noHBand="0" w:noVBand="1"/>
      </w:tblPr>
      <w:tblGrid>
        <w:gridCol w:w="9180"/>
      </w:tblGrid>
      <w:tr>
        <w:tc>
          <w:tcPr>
            <w:tcW w:w="9180" w:type="dxa"/>
            <w:shd w:val="pct10" w:color="auto" w:fill="auto"/>
          </w:tcPr>
          <w:p>
            <w:pPr>
              <w:pStyle w:val="Text2"/>
              <w:spacing w:after="120"/>
              <w:ind w:left="0"/>
              <w:rPr>
                <w:b/>
                <w:i/>
                <w:noProof/>
              </w:rPr>
            </w:pPr>
            <w:bookmarkStart w:id="4" w:name="_Toc459652863"/>
            <w:bookmarkStart w:id="5" w:name="_Toc459652864"/>
            <w:bookmarkEnd w:id="4"/>
            <w:bookmarkEnd w:id="5"/>
            <w:r>
              <w:rPr>
                <w:b/>
                <w:i/>
                <w:noProof/>
              </w:rPr>
              <w:t>Основни действия: Комисията:</w:t>
            </w:r>
          </w:p>
          <w:p>
            <w:pPr>
              <w:pStyle w:val="Text2"/>
              <w:numPr>
                <w:ilvl w:val="0"/>
                <w:numId w:val="12"/>
              </w:numPr>
              <w:spacing w:after="120"/>
              <w:ind w:left="360"/>
              <w:rPr>
                <w:i/>
                <w:noProof/>
              </w:rPr>
            </w:pPr>
            <w:r>
              <w:rPr>
                <w:i/>
                <w:noProof/>
              </w:rPr>
              <w:t>ще поддържа, когато това е обосновано и ползотворно, навлизането на решения, базирани на „Коперник“, EGNOS и „Галилео“, в политики на ЕС, включително в краткосрочен план, с мерки, въвеждащи използването на „Галилео“ за мобилни телефони и критична инфраструктура, използваща синхронизация по време;</w:t>
            </w:r>
          </w:p>
          <w:p>
            <w:pPr>
              <w:pStyle w:val="Text2"/>
              <w:numPr>
                <w:ilvl w:val="0"/>
                <w:numId w:val="12"/>
              </w:numPr>
              <w:spacing w:after="120"/>
              <w:ind w:left="360"/>
              <w:rPr>
                <w:i/>
                <w:noProof/>
              </w:rPr>
            </w:pPr>
            <w:r>
              <w:rPr>
                <w:i/>
                <w:noProof/>
              </w:rPr>
              <w:t>ще улеснява използването на данните и информацията, получени по програмата „Коперник“, като засили разпространението и създаде платформени услуги, подкрепяйки интерфейси с некосмически данни и услуги;</w:t>
            </w:r>
          </w:p>
          <w:p>
            <w:pPr>
              <w:pStyle w:val="Text2"/>
              <w:numPr>
                <w:ilvl w:val="0"/>
                <w:numId w:val="12"/>
              </w:numPr>
              <w:spacing w:after="120"/>
              <w:ind w:left="360"/>
              <w:rPr>
                <w:i/>
                <w:noProof/>
              </w:rPr>
            </w:pPr>
            <w:r>
              <w:rPr>
                <w:i/>
                <w:noProof/>
              </w:rPr>
              <w:t>ще стимулира развитието на космически приложения с по-голямо участие на нови субекти от различни сфери;</w:t>
            </w:r>
          </w:p>
          <w:p>
            <w:pPr>
              <w:pStyle w:val="Text2"/>
              <w:numPr>
                <w:ilvl w:val="0"/>
                <w:numId w:val="12"/>
              </w:numPr>
              <w:spacing w:after="120"/>
              <w:ind w:left="360"/>
              <w:rPr>
                <w:i/>
                <w:noProof/>
              </w:rPr>
            </w:pPr>
            <w:r>
              <w:rPr>
                <w:i/>
                <w:noProof/>
              </w:rPr>
              <w:t xml:space="preserve">заедно с държавите членки и промишлеността ще подкрепя ефикасното и обвързано с търсенето използване на спътникови комуникации, така че да поощрява повсеместна свързаност във всички държави членки. </w:t>
            </w:r>
          </w:p>
        </w:tc>
      </w:tr>
    </w:tbl>
    <w:p>
      <w:pPr>
        <w:pStyle w:val="Heading2"/>
        <w:rPr>
          <w:noProof/>
        </w:rPr>
      </w:pPr>
      <w:bookmarkStart w:id="6" w:name="_Toc459652866"/>
      <w:r>
        <w:rPr>
          <w:noProof/>
        </w:rPr>
        <w:t xml:space="preserve">По-нататъшно развитие </w:t>
      </w:r>
      <w:bookmarkEnd w:id="6"/>
      <w:r>
        <w:rPr>
          <w:noProof/>
        </w:rPr>
        <w:t>на космическите програми на ЕС и задоволяване на новите потребности на ползвателите</w:t>
      </w:r>
    </w:p>
    <w:p>
      <w:pPr>
        <w:pStyle w:val="Text1"/>
        <w:ind w:left="0"/>
        <w:rPr>
          <w:noProof/>
        </w:rPr>
      </w:pPr>
      <w:r>
        <w:rPr>
          <w:noProof/>
        </w:rPr>
        <w:t>Частният сектор ще използва космически решения и ще инвестира в тях само ако потребителите и предприятията са уверени, че предоставянето на услуги и данни от „Коперник“, EGNOS и „Галилео“ ще продължи и в бъдеще. Поради това Комисията потвърждава своя ангажимент към стабилността на космическите програми на ЕС и укрепването на конкурентните предимства на системите чрез функции като автентификация и голяма точност за „Галилео“. В условия на променяща се среда и бързо растящ пазар тези системи трябва да продължат да се развиват, за да гарантират предоставянето на най-съвременни услуги с по-голяма ефективност и устойчивост.</w:t>
      </w:r>
    </w:p>
    <w:p>
      <w:pPr>
        <w:pStyle w:val="Text1"/>
        <w:ind w:left="0"/>
        <w:rPr>
          <w:noProof/>
        </w:rPr>
      </w:pPr>
      <w:r>
        <w:rPr>
          <w:noProof/>
        </w:rPr>
        <w:t>Комисията ще завърши развитието на третото поколение на EGNOS, за да въведе подобрения и да обхване допълнителни сектори, като например морския. Това ще направи системата EGNOS по-привлекателна и ще спомогне тя да се превърне в ключова част от радионавигацията в Европа. Целта на Комисията е да затвърди второто поколение на „Галилео“ и „Коперник“ като важна референтна система на глобално равнище. Това ще изисква непрекъснато подобряване на сегашните услуги и инфраструктура.</w:t>
      </w:r>
    </w:p>
    <w:p>
      <w:pPr>
        <w:pStyle w:val="Text1"/>
        <w:ind w:left="0"/>
        <w:rPr>
          <w:noProof/>
        </w:rPr>
      </w:pPr>
      <w:r>
        <w:rPr>
          <w:noProof/>
        </w:rPr>
        <w:t>Ще бъдат разгледани допълнителни услуги, задоволяващи възникващи потребности в конкретни приоритетни области, включително: i) изменението на климата и устойчивото развитие, наблюдението на емисиите на CO</w:t>
      </w:r>
      <w:r>
        <w:rPr>
          <w:noProof/>
          <w:vertAlign w:val="subscript"/>
        </w:rPr>
        <w:t>2</w:t>
      </w:r>
      <w:r>
        <w:rPr>
          <w:noProof/>
        </w:rPr>
        <w:t xml:space="preserve"> и други парникови газове, земеползването и горското стопанство, и промените в Арктическия регион</w:t>
      </w:r>
      <w:r>
        <w:rPr>
          <w:rStyle w:val="FootnoteReference"/>
          <w:noProof/>
        </w:rPr>
        <w:footnoteReference w:id="10"/>
      </w:r>
      <w:r>
        <w:rPr>
          <w:noProof/>
        </w:rPr>
        <w:t xml:space="preserve"> — с „Коперник“; и ii) сигурността и отбраната, с цел да се подобри капацитетът на ЕС за реагиране на променящите се предизвикателства, свързани с граничния контрол и морското наблюдение чрез „Коперник“ и „Галилео“/EGNOS. При това разширяване ще бъдат взети предвид новите технологични достижения в сектора, необходимостта да се гарантира адекватно ниво на сигурност на инфраструктурата и услугите, наличието на различни източници на данни и дългосрочният капацитет на частния сектор да предлага подходящи решения.</w:t>
      </w:r>
    </w:p>
    <w:p>
      <w:pPr>
        <w:pStyle w:val="Text1"/>
        <w:ind w:left="0"/>
        <w:rPr>
          <w:noProof/>
        </w:rPr>
      </w:pPr>
      <w:r>
        <w:rPr>
          <w:noProof/>
        </w:rPr>
        <w:t>Комисията ще актуализира процесите за консултация с потребителите и ще създаде специални потребителски платформи, за да гарантира, че разработките се определят от потребностите на потребителите, включително по отношение на изискванията, свързани със сигурността. Там, където това може да е по-ефективно и би увеличило наличното финансиране, и като бъде взет надлежно предвид опитът от миналото, Комисията ще проучи алтернативни бизнес модели (публично-публични и публично-частни партньорства или покупката на услуги).</w:t>
      </w:r>
    </w:p>
    <w:tbl>
      <w:tblPr>
        <w:tblStyle w:val="TableGrid"/>
        <w:tblW w:w="0" w:type="auto"/>
        <w:tblLook w:val="04A0" w:firstRow="1" w:lastRow="0" w:firstColumn="1" w:lastColumn="0" w:noHBand="0" w:noVBand="1"/>
      </w:tblPr>
      <w:tblGrid>
        <w:gridCol w:w="9180"/>
      </w:tblGrid>
      <w:tr>
        <w:tc>
          <w:tcPr>
            <w:tcW w:w="9180" w:type="dxa"/>
            <w:shd w:val="pct10" w:color="auto" w:fill="auto"/>
          </w:tcPr>
          <w:p>
            <w:pPr>
              <w:pStyle w:val="Text1"/>
              <w:spacing w:after="120"/>
              <w:ind w:left="0"/>
              <w:rPr>
                <w:b/>
                <w:i/>
                <w:noProof/>
              </w:rPr>
            </w:pPr>
            <w:r>
              <w:rPr>
                <w:b/>
                <w:i/>
                <w:noProof/>
              </w:rPr>
              <w:t>Основни действия: Комисията:</w:t>
            </w:r>
          </w:p>
          <w:p>
            <w:pPr>
              <w:pStyle w:val="Text1"/>
              <w:numPr>
                <w:ilvl w:val="0"/>
                <w:numId w:val="14"/>
              </w:numPr>
              <w:spacing w:after="120"/>
              <w:rPr>
                <w:i/>
                <w:noProof/>
              </w:rPr>
            </w:pPr>
            <w:r>
              <w:rPr>
                <w:i/>
                <w:noProof/>
              </w:rPr>
              <w:t>ще запази ангажимента си за стабилността на космическите програми на ЕС и ще подготви нови поколения, ориентирани към потребителите, за да продължи да предоставя най-съвременни услуги. За тази цел Комисията ще проучи алтернативни бизнес модели и ще взема предвид технологичния напредък;</w:t>
            </w:r>
          </w:p>
          <w:p>
            <w:pPr>
              <w:pStyle w:val="Text1"/>
              <w:numPr>
                <w:ilvl w:val="0"/>
                <w:numId w:val="14"/>
              </w:numPr>
              <w:spacing w:after="120"/>
              <w:rPr>
                <w:i/>
                <w:noProof/>
              </w:rPr>
            </w:pPr>
            <w:r>
              <w:rPr>
                <w:i/>
                <w:noProof/>
              </w:rPr>
              <w:t>ще разгледа възникващите потребности, свързани по-специално с изменението на климата/устойчивото развитие и сигурността и отбраната.</w:t>
            </w:r>
          </w:p>
        </w:tc>
      </w:tr>
    </w:tbl>
    <w:p>
      <w:pPr>
        <w:pStyle w:val="Heading1"/>
        <w:spacing w:before="360"/>
        <w:ind w:left="482" w:hanging="482"/>
        <w:rPr>
          <w:noProof/>
        </w:rPr>
      </w:pPr>
      <w:r>
        <w:rPr>
          <w:noProof/>
        </w:rPr>
        <w:t>Поощряване на глобално конкурентоспособен и иновативен европейски космически сектор</w:t>
      </w:r>
    </w:p>
    <w:p>
      <w:pPr>
        <w:rPr>
          <w:noProof/>
        </w:rPr>
      </w:pPr>
      <w:r>
        <w:rPr>
          <w:noProof/>
        </w:rPr>
        <w:t>Европейската космическа промишленост се изправя пред засилена конкуренция в световен мащаб. Сигурността на доставките и способността на отрасъла да изнася своите продукти са повлияни от силната зависимост от неевропейски критични компоненти и технологии. Иновативни промишлени процеси предизвикват революция в сектора. Космическите дейности все повече се отварят за частни инвестиции в областта на спътниковите комуникации, наблюдението на Земята и дори ракетите — носители. Космическото пространство днес е част от глобалната верига за създаване на стойност, която привлича все повече дружества и предприемачи, т.нар. „Ново космическо пространство“, които разширяват традиционните граници на космическия сектор. Това разкрива нови възможности за разработване на иновативни продукти, услуги и процеси, които могат да бъдат от полза за промишлеността във всички държави членки, като създават нов капацитет и добавят стойност в космическия сектор и извън него.</w:t>
      </w:r>
    </w:p>
    <w:p>
      <w:pPr>
        <w:rPr>
          <w:noProof/>
        </w:rPr>
      </w:pPr>
      <w:r>
        <w:rPr>
          <w:noProof/>
        </w:rPr>
        <w:t>Европа трябва да запази и да затвърди още повече своя капацитет на световно ниво да изобретява, разработва, изстрелва, управлява и използва космически системи. За да гарантира това, Комисията ще подкрепя конкурентоспособността на цялата верига на доставки и субекти от промишлеността до научноизследователските организация. Тя ще поощрява и възникването на предприемаческа екосистема, която разкрива нови източници на финансиране, създава нови възможности за бизнес и гарантира, че това ще бъде от полза за всички предприятия във всички държави членки.</w:t>
      </w:r>
    </w:p>
    <w:p>
      <w:pPr>
        <w:pStyle w:val="Heading2"/>
        <w:rPr>
          <w:noProof/>
        </w:rPr>
      </w:pPr>
      <w:r>
        <w:rPr>
          <w:noProof/>
        </w:rPr>
        <w:t>Подпомагане на научните изследвания, иновациите и развитието на умения</w:t>
      </w:r>
    </w:p>
    <w:p>
      <w:pPr>
        <w:rPr>
          <w:noProof/>
        </w:rPr>
      </w:pPr>
      <w:r>
        <w:rPr>
          <w:noProof/>
        </w:rPr>
        <w:t>Дейностите на равнището на ЕС, свързани с космически научни изследвания, следва да бъдат насочени по балансиран начин към всички сегменти на веригата за създаване на стойност в космическата промишленост и да спомагат за трансфера на технологии/взаимното обогатяване с други, некосмически сектори. Те следва да улесняват достъпа до космически данни на програмите за научни изследвания и иновации, за да се създават условия за важни научноизследователски пробиви и достигане до голям брой пазарни сегменти.</w:t>
      </w:r>
    </w:p>
    <w:p>
      <w:pPr>
        <w:rPr>
          <w:noProof/>
        </w:rPr>
      </w:pPr>
      <w:r>
        <w:rPr>
          <w:noProof/>
        </w:rPr>
        <w:t>В контекста на научноизследователските програми на ЕС Комисията ще отдаде приоритет на действия срещу уязвимостта на европейската верига за доставки, като подпомага разработването на критични космически компоненти, системи и технологии, свързани с технологичната независимост. Тя ще подкрепя задоволяването на дългосрочните потребности от НИРД, включително революционни пробивни технологии, достъп на ниска цена или по алтернативен начин до космическото пространство и обслужване в орбита. Комисията ще подкрепя и разработването на нови промишлени процеси и производствени инструменти и ще подобрява подкрепата за технологична зрялост, включително дейности за демонстрация и валидиране в орбита, за да се съкрати срокът до пускането на пазара.</w:t>
      </w:r>
    </w:p>
    <w:p>
      <w:pPr>
        <w:rPr>
          <w:noProof/>
        </w:rPr>
      </w:pPr>
      <w:r>
        <w:rPr>
          <w:noProof/>
        </w:rPr>
        <w:t>Комисията ще се стреми да гарантира също така, че бъдещите научноизследователски дейности обединяват по-добре космическите научни изследвания с други области на политиката в отговор на глобални предизвикателства и предизвикателства пред обществото. Тя ще насърчава хоризонталните полезни взаимодействия и мултицисциплинарните подходи, които позволяват взаимното обогатяване на идеи и сливането/отделянето на космически и некосмически технологии. Това ще бъде направено в сътрудничество със съществуващите инициативи — като Европейските технологични платформи и съвместните технологични инициативи. По-тясното свързване на космическите научни изследвания с фундаменталните изследвания ще подпомогне използването на научните данни за космическото пространство от европейските космически научни и проучвателни мисии и развитието на научния инструментариум. Това ще поощрява и сътрудничеството между научните, инженерните и производствените екипи.</w:t>
      </w:r>
    </w:p>
    <w:p>
      <w:pPr>
        <w:rPr>
          <w:noProof/>
        </w:rPr>
      </w:pPr>
      <w:r>
        <w:rPr>
          <w:noProof/>
        </w:rPr>
        <w:t>Освен това Комисията ще организира редовен диалог със субекти от промишлеността и други участници в иновациите, включително научноизследователската общност и потребителите на приложения и услуги, с цел по-добро задоволяване на техните потребности, свързани с конкурентоспособността. Комисията ще улеснява използването на правата върху интелектуална собственост, притежавани от ЕС, включително патенти и авторско право, за да стимулира иновациите и икономическия растеж.</w:t>
      </w:r>
    </w:p>
    <w:p>
      <w:pPr>
        <w:rPr>
          <w:noProof/>
        </w:rPr>
      </w:pPr>
      <w:r>
        <w:rPr>
          <w:noProof/>
        </w:rPr>
        <w:t>С Европейските структурни и инвестиционни фондове Комисията ще подпомага научните изследвания и иновациите в държавите членки и регионите, които са определили космическото пространство като приоритет в своите стратегии за интелигентна специализация, и ще улеснява трансграничното сътрудничество между техните субекти в областта на научните изследвания и иновациите.</w:t>
      </w:r>
    </w:p>
    <w:p>
      <w:pPr>
        <w:rPr>
          <w:noProof/>
          <w:szCs w:val="24"/>
        </w:rPr>
      </w:pPr>
      <w:r>
        <w:rPr>
          <w:noProof/>
        </w:rPr>
        <w:t>Като част от Програмата на ЕС за нови умения Комисията ще създаде специален секторен алианс за уменията, свързани с наблюдението на космическото пространство и Земята, като събира ключови заинтересовани лица от промишлеността, научните изследвания, университетите и публичните органи, за да се заемат с изискванията за нови умения в сектора. Комисията ще поощрява по-тясното сътрудничество с Европейския институт за иновации и технологии и неговите общности на знание и иновации и ще засили дейностите и проектите за повишаване ролята на космическата наука в образованието и науката.</w:t>
      </w:r>
    </w:p>
    <w:tbl>
      <w:tblPr>
        <w:tblStyle w:val="TableGrid"/>
        <w:tblW w:w="0" w:type="auto"/>
        <w:tblLook w:val="04A0" w:firstRow="1" w:lastRow="0" w:firstColumn="1" w:lastColumn="0" w:noHBand="0" w:noVBand="1"/>
      </w:tblPr>
      <w:tblGrid>
        <w:gridCol w:w="9180"/>
      </w:tblGrid>
      <w:tr>
        <w:tc>
          <w:tcPr>
            <w:tcW w:w="9180" w:type="dxa"/>
            <w:shd w:val="pct10" w:color="auto" w:fill="auto"/>
          </w:tcPr>
          <w:p>
            <w:pPr>
              <w:pStyle w:val="Text1"/>
              <w:spacing w:after="120"/>
              <w:ind w:left="0"/>
              <w:rPr>
                <w:b/>
                <w:i/>
                <w:noProof/>
              </w:rPr>
            </w:pPr>
            <w:r>
              <w:rPr>
                <w:b/>
                <w:i/>
                <w:noProof/>
              </w:rPr>
              <w:t>Основни действия: Комисията:</w:t>
            </w:r>
          </w:p>
          <w:p>
            <w:pPr>
              <w:pStyle w:val="Text1"/>
              <w:numPr>
                <w:ilvl w:val="0"/>
                <w:numId w:val="15"/>
              </w:numPr>
              <w:spacing w:after="120"/>
              <w:rPr>
                <w:i/>
                <w:noProof/>
                <w:szCs w:val="24"/>
              </w:rPr>
            </w:pPr>
            <w:r>
              <w:rPr>
                <w:i/>
                <w:noProof/>
              </w:rPr>
              <w:t>ще увеличи усилията си за подпомагане на НИРД във връзка с космическото пространство в сътрудничество с държавите членки и ЕКА и ще преразгледа своя стратегически подход към повишаването на конкурентоспособността на европейския космически сектор;</w:t>
            </w:r>
          </w:p>
          <w:p>
            <w:pPr>
              <w:pStyle w:val="ListParagraph"/>
              <w:numPr>
                <w:ilvl w:val="0"/>
                <w:numId w:val="15"/>
              </w:numPr>
              <w:spacing w:after="120"/>
              <w:contextualSpacing w:val="0"/>
              <w:rPr>
                <w:i/>
                <w:noProof/>
              </w:rPr>
            </w:pPr>
            <w:r>
              <w:rPr>
                <w:rFonts w:ascii="Times New Roman" w:hAnsi="Times New Roman"/>
                <w:i/>
                <w:noProof/>
              </w:rPr>
              <w:t>ще засили използването на иновативни схеми за обществени поръчки, за да стимулира търсенето на иновации</w:t>
            </w:r>
            <w:r>
              <w:rPr>
                <w:rStyle w:val="FootnoteReference"/>
                <w:rFonts w:ascii="Times New Roman" w:hAnsi="Times New Roman"/>
                <w:i/>
                <w:noProof/>
              </w:rPr>
              <w:footnoteReference w:id="11"/>
            </w:r>
            <w:r>
              <w:rPr>
                <w:rFonts w:ascii="Times New Roman" w:hAnsi="Times New Roman"/>
                <w:i/>
                <w:noProof/>
              </w:rPr>
              <w:t xml:space="preserve"> и да проучи нови подходи за увеличаване на инвестициите на частния сектор и партньорствата с промишлеността</w:t>
            </w:r>
            <w:r>
              <w:rPr>
                <w:rStyle w:val="FootnoteReference"/>
                <w:rFonts w:ascii="Times New Roman" w:hAnsi="Times New Roman"/>
                <w:i/>
                <w:noProof/>
              </w:rPr>
              <w:footnoteReference w:id="12"/>
            </w:r>
            <w:r>
              <w:rPr>
                <w:rFonts w:ascii="Times New Roman" w:hAnsi="Times New Roman"/>
                <w:i/>
                <w:noProof/>
              </w:rPr>
              <w:t>;</w:t>
            </w:r>
          </w:p>
          <w:p>
            <w:pPr>
              <w:pStyle w:val="ListParagraph"/>
              <w:numPr>
                <w:ilvl w:val="0"/>
                <w:numId w:val="15"/>
              </w:numPr>
              <w:spacing w:after="120"/>
              <w:contextualSpacing w:val="0"/>
              <w:rPr>
                <w:i/>
                <w:noProof/>
              </w:rPr>
            </w:pPr>
            <w:r>
              <w:rPr>
                <w:rFonts w:ascii="Times New Roman" w:hAnsi="Times New Roman"/>
                <w:i/>
                <w:noProof/>
              </w:rPr>
              <w:t>заедно с държавите членки и ЕКА ще подкрепя използването на пътни карти за общи технологии</w:t>
            </w:r>
            <w:r>
              <w:rPr>
                <w:rStyle w:val="FootnoteReference"/>
                <w:rFonts w:ascii="Times New Roman" w:hAnsi="Times New Roman"/>
                <w:i/>
                <w:noProof/>
              </w:rPr>
              <w:footnoteReference w:id="13"/>
            </w:r>
            <w:r>
              <w:rPr>
                <w:rFonts w:ascii="Times New Roman" w:hAnsi="Times New Roman"/>
                <w:i/>
                <w:noProof/>
              </w:rPr>
              <w:t>, за да гарантира по-голямо взаимно допълване на проектите за НИРД;</w:t>
            </w:r>
          </w:p>
          <w:p>
            <w:pPr>
              <w:pStyle w:val="ListParagraph"/>
              <w:numPr>
                <w:ilvl w:val="0"/>
                <w:numId w:val="15"/>
              </w:numPr>
              <w:spacing w:after="120"/>
              <w:contextualSpacing w:val="0"/>
              <w:rPr>
                <w:i/>
                <w:noProof/>
              </w:rPr>
            </w:pPr>
            <w:r>
              <w:rPr>
                <w:rFonts w:ascii="Times New Roman" w:hAnsi="Times New Roman"/>
                <w:i/>
                <w:noProof/>
              </w:rPr>
              <w:t xml:space="preserve">ще включи наблюдението на космическото пространство и Земята в подробния план за действие за секторно сътрудничество във връзка с уменията, за да се отговори на новите изисквания за умения в сектора. </w:t>
            </w:r>
          </w:p>
        </w:tc>
      </w:tr>
    </w:tbl>
    <w:p>
      <w:pPr>
        <w:pStyle w:val="Heading2"/>
        <w:spacing w:before="240"/>
        <w:rPr>
          <w:noProof/>
        </w:rPr>
      </w:pPr>
      <w:r>
        <w:rPr>
          <w:noProof/>
        </w:rPr>
        <w:t>Поощряване на предприемачеството и на нови възможности за бизнес</w:t>
      </w:r>
    </w:p>
    <w:p>
      <w:pPr>
        <w:rPr>
          <w:noProof/>
        </w:rPr>
      </w:pPr>
      <w:r>
        <w:rPr>
          <w:noProof/>
        </w:rPr>
        <w:t>Необходими са спомагателни мерки и изграждане на капацитет във всички държави членки и на европейско равнище, за да се създаде подходяща екосистема и благоприятна регулаторна и бизнес среда, която да подтикне частния сектор към поемане на по-голям риск и да насърчи предприятията да разработват иновативни продукти и услуги.</w:t>
      </w:r>
    </w:p>
    <w:p>
      <w:pPr>
        <w:pStyle w:val="ListBullet"/>
        <w:numPr>
          <w:ilvl w:val="0"/>
          <w:numId w:val="0"/>
        </w:numPr>
        <w:contextualSpacing w:val="0"/>
        <w:rPr>
          <w:rFonts w:eastAsiaTheme="minorHAnsi"/>
          <w:noProof/>
        </w:rPr>
      </w:pPr>
      <w:r>
        <w:rPr>
          <w:noProof/>
        </w:rPr>
        <w:t>Комисията ще подпомага европейските предприемачи в космическия сектор при стартирането и разширяването им на единния пазар, като например проучи подхода „първи клиент“. Тя също така ще подкрепя достъпа до финансиране за космическото пространство в контекста на Плана за инвестиции за Европа и програмите за финансиране на Съюза</w:t>
      </w:r>
      <w:r>
        <w:rPr>
          <w:rStyle w:val="FootnoteReference"/>
          <w:noProof/>
        </w:rPr>
        <w:footnoteReference w:id="14"/>
      </w:r>
      <w:r>
        <w:rPr>
          <w:noProof/>
        </w:rPr>
        <w:t>. Инвестиционният план и по-специално Европейският фонд за стратегически инвестиции могат да играят важна роля за подкрепата на проекти за иновации и Комисията ще влезе в диалог с ЕИБ/Европейския инвестиционен фонд</w:t>
      </w:r>
      <w:r>
        <w:rPr>
          <w:rStyle w:val="FootnoteReference"/>
          <w:rFonts w:eastAsiaTheme="minorHAnsi"/>
          <w:noProof/>
        </w:rPr>
        <w:footnoteReference w:id="15"/>
      </w:r>
      <w:r>
        <w:rPr>
          <w:noProof/>
        </w:rPr>
        <w:t xml:space="preserve"> по тази тема. Тя също така ще проучи полезните взаимодействия с планирания фонд за инвестиции във фондове, когато става дума за стартиращи предприятия. Комисията ще насърчава и дейности за повишаване на информираността и популяризиране с цел осведомяване на космическия сектор и местните финансови посредници относно възможностите, предлагани от инициативите и програмите на ЕС. </w:t>
      </w:r>
    </w:p>
    <w:p>
      <w:pPr>
        <w:pStyle w:val="ListBullet"/>
        <w:numPr>
          <w:ilvl w:val="0"/>
          <w:numId w:val="0"/>
        </w:numPr>
        <w:contextualSpacing w:val="0"/>
        <w:rPr>
          <w:noProof/>
        </w:rPr>
      </w:pPr>
      <w:r>
        <w:rPr>
          <w:noProof/>
        </w:rPr>
        <w:t>Възникването на екосистема, която благоприятства бизнеса и иновациите, също ще бъде подпомагано на европейско, регионално и национално равнище чрез създаването на космически центрове, които свързват космическия, цифровия и потребителския сектор. Целта е космическото пространство да се отвори за нови участници и отрасли извън космическия сектор, включително иновативни предприемачи в областта на ИКТ, и потребителски сектори като енергетиката, транспорта и други. Това може да се основава на съществуващи инструменти в рамките на Комисията, бизнес инкубаторите на ЕКА и инициативи в държавите членки (например клъстери и ускорители за иновации). Комисията ще подпомага обмена на най-добри практики и общи спецификации и ще изгражда капацитет, който позволява на всички държави членки да извличат ползи от космическия сектор.</w:t>
      </w:r>
    </w:p>
    <w:p>
      <w:pPr>
        <w:pStyle w:val="ListBullet"/>
        <w:numPr>
          <w:ilvl w:val="0"/>
          <w:numId w:val="0"/>
        </w:numPr>
        <w:contextualSpacing w:val="0"/>
        <w:rPr>
          <w:noProof/>
        </w:rPr>
      </w:pPr>
      <w:r>
        <w:rPr>
          <w:noProof/>
        </w:rPr>
        <w:t>Комисията ще увеличи подкрепата си и за МСП, стартиращи предприятия и млади предприемачи посредством бизнес инкубатори и използването на награди и конкурси, като Masters на „Коперник“ и „Галилео“. Инициативите ще обхващат различните цикли от стопанското развитие (например ускорителите за космически технологии, предоставящи подпомагане на много ранен етап (предстартово финансиране) и подпомагащи нови идеи и тяхното развитие).</w:t>
      </w:r>
    </w:p>
    <w:tbl>
      <w:tblPr>
        <w:tblStyle w:val="TableGrid"/>
        <w:tblW w:w="0" w:type="auto"/>
        <w:shd w:val="pct10" w:color="auto" w:fill="auto"/>
        <w:tblLook w:val="04A0" w:firstRow="1" w:lastRow="0" w:firstColumn="1" w:lastColumn="0" w:noHBand="0" w:noVBand="1"/>
      </w:tblPr>
      <w:tblGrid>
        <w:gridCol w:w="9228"/>
      </w:tblGrid>
      <w:tr>
        <w:tc>
          <w:tcPr>
            <w:tcW w:w="9228" w:type="dxa"/>
            <w:shd w:val="pct10" w:color="auto" w:fill="auto"/>
          </w:tcPr>
          <w:p>
            <w:pPr>
              <w:pStyle w:val="Text1"/>
              <w:spacing w:after="120"/>
              <w:ind w:left="0"/>
              <w:rPr>
                <w:b/>
                <w:i/>
                <w:noProof/>
                <w:shd w:val="pct10" w:color="auto" w:fill="auto"/>
              </w:rPr>
            </w:pPr>
            <w:r>
              <w:rPr>
                <w:b/>
                <w:i/>
                <w:noProof/>
                <w:shd w:val="pct10" w:color="auto" w:fill="auto"/>
              </w:rPr>
              <w:t>Основни действия: Комисията:</w:t>
            </w:r>
          </w:p>
          <w:p>
            <w:pPr>
              <w:pStyle w:val="Text1"/>
              <w:numPr>
                <w:ilvl w:val="0"/>
                <w:numId w:val="15"/>
              </w:numPr>
              <w:spacing w:after="120"/>
              <w:rPr>
                <w:i/>
                <w:noProof/>
                <w:shd w:val="pct10" w:color="auto" w:fill="auto"/>
              </w:rPr>
            </w:pPr>
            <w:r>
              <w:rPr>
                <w:i/>
                <w:noProof/>
                <w:shd w:val="pct10" w:color="auto" w:fill="auto"/>
              </w:rPr>
              <w:t>ще увеличи подпомагането за космически предприемачи чрез програмите за финансиране на ЕС, за да улесни по-нататъшното финансиране на инвестиции в космическия сектор;</w:t>
            </w:r>
          </w:p>
          <w:p>
            <w:pPr>
              <w:pStyle w:val="Text1"/>
              <w:numPr>
                <w:ilvl w:val="0"/>
                <w:numId w:val="15"/>
              </w:numPr>
              <w:spacing w:after="120"/>
              <w:rPr>
                <w:i/>
                <w:noProof/>
                <w:shd w:val="pct10" w:color="auto" w:fill="auto"/>
              </w:rPr>
            </w:pPr>
            <w:r>
              <w:rPr>
                <w:i/>
                <w:noProof/>
                <w:shd w:val="pct10" w:color="auto" w:fill="auto"/>
              </w:rPr>
              <w:t>ще влезе в диалог с ЕИБ и Европейския инвестиционен фонд относно подпомагането на инвестиции в космическия сектор като част от цялостния Инвестиционен план за Европа;</w:t>
            </w:r>
          </w:p>
          <w:p>
            <w:pPr>
              <w:pStyle w:val="Text1"/>
              <w:numPr>
                <w:ilvl w:val="0"/>
                <w:numId w:val="15"/>
              </w:numPr>
              <w:spacing w:after="120"/>
              <w:rPr>
                <w:i/>
                <w:noProof/>
                <w:shd w:val="pct10" w:color="auto" w:fill="auto"/>
              </w:rPr>
            </w:pPr>
            <w:r>
              <w:rPr>
                <w:i/>
                <w:noProof/>
                <w:shd w:val="pct10" w:color="auto" w:fill="auto"/>
              </w:rPr>
              <w:t>ще подпомага стартиращи предприятия в космическия сектор, включително проучвайки полезните взаимодействия с планирания фонд за инвестиции във фондове, и ще улеснява възникването на космически центрове и клъстери в цяла Европа.</w:t>
            </w:r>
          </w:p>
        </w:tc>
      </w:tr>
    </w:tbl>
    <w:p>
      <w:pPr>
        <w:pStyle w:val="Heading1"/>
        <w:spacing w:before="360"/>
        <w:ind w:left="482" w:hanging="482"/>
        <w:rPr>
          <w:noProof/>
        </w:rPr>
      </w:pPr>
      <w:bookmarkStart w:id="7" w:name="_Toc459652871"/>
      <w:r>
        <w:rPr>
          <w:noProof/>
        </w:rPr>
        <w:t>Засилване на автономността на Европа в достъпа и използването на космическото пространство</w:t>
      </w:r>
      <w:bookmarkEnd w:id="7"/>
      <w:r>
        <w:rPr>
          <w:noProof/>
        </w:rPr>
        <w:t xml:space="preserve"> в сигурна и безопасна среда</w:t>
      </w:r>
    </w:p>
    <w:p>
      <w:pPr>
        <w:rPr>
          <w:noProof/>
        </w:rPr>
      </w:pPr>
      <w:r>
        <w:rPr>
          <w:noProof/>
        </w:rPr>
        <w:t>Космическият капацитет е от стратегическо значение за целите на политиката по граждански и търговски въпроси и в областта на сигурността и отбраната. Европа трябва да гарантира своята свобода на действие и автономност. Тя трябва да има достъп до космическото пространство и да може да го използва безопасно. Достъпът до радиочестотен спектър трябва да бъде гарантиран и защитен от смущения при пълно взаимно допълване с целта на политиката в областта на радиочестотен спектър за максимална ефективност на използването му.</w:t>
      </w:r>
    </w:p>
    <w:p>
      <w:pPr>
        <w:rPr>
          <w:noProof/>
        </w:rPr>
      </w:pPr>
      <w:r>
        <w:rPr>
          <w:noProof/>
        </w:rPr>
        <w:t>Космическото пространство се превръща все повече в среда на противоборство и оспорване. По света се появяват нови конкуренти — публични и частни, подтиквани донякъде от намалените разходи за разработване и изстрелване на спътници. Все по-големи опасности възникват и в космическото пространство: от космическите отпадъци до кибернетичните заплахи или въздействието на космическите метеорологични явления. В резултат на тези промени все по-голяма важност придобиват засилените полезни взаимодействия между гражданските и отбранителните аспекти. Европа трябва да разчита на своите активи и да използва космическия капацитет, за да отговори на потребностите от сигурност и безопасност на държавите членки и ЕС.</w:t>
      </w:r>
    </w:p>
    <w:p>
      <w:pPr>
        <w:pStyle w:val="Heading2"/>
        <w:tabs>
          <w:tab w:val="clear" w:pos="1080"/>
        </w:tabs>
        <w:ind w:left="960"/>
        <w:rPr>
          <w:noProof/>
        </w:rPr>
      </w:pPr>
      <w:bookmarkStart w:id="8" w:name="_Toc459652872"/>
      <w:r>
        <w:rPr>
          <w:noProof/>
        </w:rPr>
        <w:t>Запазване на автономния достъп на Европа до космическото пространство</w:t>
      </w:r>
      <w:bookmarkEnd w:id="8"/>
    </w:p>
    <w:p>
      <w:pPr>
        <w:rPr>
          <w:bCs/>
          <w:noProof/>
        </w:rPr>
      </w:pPr>
      <w:r>
        <w:rPr>
          <w:noProof/>
        </w:rPr>
        <w:t>Комисията ще работи с ЕКА, държавите членки и отрасъла, за да гарантира, че Европа запазва автономен, надежден и икономически ефективен достъп до космическото пространство.</w:t>
      </w:r>
    </w:p>
    <w:p>
      <w:pPr>
        <w:pStyle w:val="FootnoteText"/>
        <w:ind w:left="0" w:firstLine="0"/>
        <w:rPr>
          <w:noProof/>
          <w:sz w:val="24"/>
          <w:szCs w:val="24"/>
        </w:rPr>
      </w:pPr>
      <w:r>
        <w:rPr>
          <w:noProof/>
          <w:sz w:val="24"/>
        </w:rPr>
        <w:t>През следващите 10—15 години ЕС планира да изстреля над 30 спътника за своите програми „Коперник“ и „Галилео“, по-специално в класа на бъдещите европейски ракети — носители, като „Ариана-6“ и „Вега С“, с което ЕС ще се превърне в най-големия европейски институционален клиент. Поради това Комисията ще обобщава потребностите от услуги по изстрелване на програмите на ЕС и ще действа като интелигентен купувач на европейски надеждни и икономически ефективни решения за изстрелване.</w:t>
      </w:r>
    </w:p>
    <w:p>
      <w:pPr>
        <w:pStyle w:val="FootnoteText"/>
        <w:ind w:left="0" w:firstLine="0"/>
        <w:rPr>
          <w:bCs/>
          <w:noProof/>
          <w:sz w:val="24"/>
          <w:szCs w:val="24"/>
        </w:rPr>
      </w:pPr>
      <w:r>
        <w:rPr>
          <w:noProof/>
          <w:sz w:val="24"/>
        </w:rPr>
        <w:t>От решаващо значение е Европа да продължи да разполага с модерни, ефективни и гъвкави инфраструктурни съоръжения. В допълнение към мерките, предприети от държавите членки и ЕКА, Комисията ще обмисли начини в рамките на своите области на компетентност за подпомагане на тези съоръжения, например чрез своите договори за услуги по изстрелване или други инструменти, когато това е необходимо за постигане на политическите цели или потребности на ЕС.</w:t>
      </w:r>
    </w:p>
    <w:p>
      <w:pPr>
        <w:pStyle w:val="FootnoteText"/>
        <w:ind w:left="0" w:firstLine="0"/>
        <w:rPr>
          <w:bCs/>
          <w:noProof/>
          <w:sz w:val="24"/>
          <w:szCs w:val="24"/>
        </w:rPr>
      </w:pPr>
      <w:r>
        <w:rPr>
          <w:noProof/>
          <w:sz w:val="24"/>
        </w:rPr>
        <w:t>Комисията ще продължи да допълва усилията на държавите членки, ЕКА и промишлеността по отношение на задоволяването на дългосрочните потребности от научни изследвания и иновации, включително достъпа до космическото пространство на ниска цена за малки спътници; усъвършенствани производствени технологии; революционни концепции (като повторното използване); смекчаване на въздействията върху околната среда; и предоставяне на постоянни възможности за европейски услуги за валидиране в орбита на нови технологии и продукти, които ще се използват в космическото пространство.</w:t>
      </w:r>
    </w:p>
    <w:p>
      <w:pPr>
        <w:pStyle w:val="FootnoteText"/>
        <w:ind w:left="0" w:firstLine="0"/>
        <w:rPr>
          <w:noProof/>
          <w:szCs w:val="24"/>
        </w:rPr>
      </w:pPr>
      <w:r>
        <w:rPr>
          <w:noProof/>
          <w:sz w:val="24"/>
        </w:rPr>
        <w:t>Комисията ще насърчава също така развитието на търговски пазари за малки системи за изстрелване с ниска цена или за търговски космически дейности, като космически полети или суборбитален космически туризъм, като подкрепя подходящите регулаторни рамки при възникване на необходимост.</w:t>
      </w:r>
    </w:p>
    <w:p>
      <w:pPr>
        <w:pStyle w:val="Text1"/>
        <w:pBdr>
          <w:top w:val="single" w:sz="4" w:space="1" w:color="auto"/>
          <w:left w:val="single" w:sz="4" w:space="4" w:color="auto"/>
          <w:bottom w:val="single" w:sz="4" w:space="1" w:color="auto"/>
          <w:right w:val="single" w:sz="4" w:space="4" w:color="auto"/>
        </w:pBdr>
        <w:shd w:val="pct10" w:color="auto" w:fill="auto"/>
        <w:spacing w:after="120"/>
        <w:ind w:left="0"/>
        <w:rPr>
          <w:b/>
          <w:i/>
          <w:noProof/>
        </w:rPr>
      </w:pPr>
      <w:r>
        <w:rPr>
          <w:b/>
          <w:i/>
          <w:noProof/>
        </w:rPr>
        <w:t>Основни действия: Комисията ще консолидира подкрепата на ЕС за автономен достъп до космическото пространство, като:</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rPr>
      </w:pPr>
      <w:r>
        <w:rPr>
          <w:i/>
          <w:noProof/>
        </w:rPr>
        <w:t>обобщава търсенето на услуги по изстрелване с цел осигуряване на видимост за отрасъла и намаляване на разходите за изпълнението;</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rPr>
      </w:pPr>
      <w:r>
        <w:rPr>
          <w:i/>
          <w:noProof/>
        </w:rPr>
        <w:t>подкрепя усилията за научни изследвания и иновации, по-специално за да гарантира способността на Европа да реагира и да ускори пробивни промени (повторно използване, малки ракети — носители);</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rPr>
      </w:pPr>
      <w:r>
        <w:rPr>
          <w:i/>
          <w:noProof/>
        </w:rPr>
        <w:t>обмисля начини за подпомагане на европейските инфраструктурни съоръжения за изстрелване, когато това е необходимо за постигане на политически цели или потребности на ЕС;</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rPr>
      </w:pPr>
      <w:r>
        <w:rPr>
          <w:i/>
          <w:noProof/>
        </w:rPr>
        <w:t>насърчава развитието на търговските пазари за нови космически дейности.</w:t>
      </w:r>
    </w:p>
    <w:p>
      <w:pPr>
        <w:pStyle w:val="Heading2"/>
        <w:spacing w:before="240"/>
        <w:rPr>
          <w:noProof/>
        </w:rPr>
      </w:pPr>
      <w:bookmarkStart w:id="9" w:name="_Toc459652873"/>
      <w:r>
        <w:rPr>
          <w:noProof/>
        </w:rPr>
        <w:t>Гарантиране на достъпа до радиочестотен спектър</w:t>
      </w:r>
    </w:p>
    <w:p>
      <w:pPr>
        <w:pStyle w:val="Text1"/>
        <w:ind w:left="0"/>
        <w:rPr>
          <w:noProof/>
        </w:rPr>
      </w:pPr>
      <w:r>
        <w:rPr>
          <w:noProof/>
        </w:rPr>
        <w:t>Честотите са необходими за функционирането на космическите системи през целия им жизнен цикъл, както на търговските, така и на институционалните, и за предоставянето и навлизането на космически услуги. На европейските спътникови системи и оператори трябва да се гарантира достъп до радиочестотен спектър, който е защитен от смущения от други системи.</w:t>
      </w:r>
    </w:p>
    <w:p>
      <w:pPr>
        <w:pStyle w:val="Text1"/>
        <w:ind w:left="0"/>
        <w:rPr>
          <w:noProof/>
        </w:rPr>
      </w:pPr>
      <w:r>
        <w:rPr>
          <w:noProof/>
        </w:rPr>
        <w:t>Комисията ще вземе изцяло предвид специфичните изисквания за космическите системи, когато координира разпределението на честотите на национално и международно равнище, като същевременно ще се стреми да увеличава максимално ефективността на използване на оскъдните ресурси.</w:t>
      </w:r>
    </w:p>
    <w:p>
      <w:pPr>
        <w:pStyle w:val="Heading2"/>
        <w:tabs>
          <w:tab w:val="clear" w:pos="1080"/>
        </w:tabs>
        <w:ind w:left="960"/>
        <w:rPr>
          <w:noProof/>
        </w:rPr>
      </w:pPr>
      <w:r>
        <w:rPr>
          <w:noProof/>
        </w:rPr>
        <w:t>Гарантиране на защитата и устойчивостта на критичната европейска космическа инфраструктура</w:t>
      </w:r>
      <w:bookmarkEnd w:id="9"/>
    </w:p>
    <w:p>
      <w:pPr>
        <w:rPr>
          <w:noProof/>
          <w:szCs w:val="24"/>
        </w:rPr>
      </w:pPr>
      <w:r>
        <w:rPr>
          <w:noProof/>
        </w:rPr>
        <w:t>Разпространението на космически отпадъци остава най-сериозният риск за непрекъснатостта на космическите дейности и ще продължи да бъде разглеждано на европейско и международно равнище. ЕС е уредил въпроса посредством прилагането на рамката за подкрепа на системата на ЕС за космическо наблюдение и проследяване (КНП), която сега започна да предоставя оперативни услуги въз основа на общ фонд от ресурси на държавите членки.</w:t>
      </w:r>
    </w:p>
    <w:p>
      <w:pPr>
        <w:rPr>
          <w:noProof/>
          <w:szCs w:val="24"/>
        </w:rPr>
      </w:pPr>
      <w:r>
        <w:rPr>
          <w:noProof/>
        </w:rPr>
        <w:t xml:space="preserve">Комисията ще укрепи рамката за подкрепа на системата за КНП с цел подобряване на резултатите и на географското покритие на сензорите. Тя ще обмисли разширяването на нейния обхват с цел да се обхванат и други заплахи и уязвими места — например кибернетичните заплахи или въздействието на космическите метеорологични явления върху спътниците и наземната инфраструктура, като транспорт, енергийни и далекосъобщителни мрежи. </w:t>
      </w:r>
    </w:p>
    <w:p>
      <w:pPr>
        <w:rPr>
          <w:noProof/>
          <w:szCs w:val="24"/>
        </w:rPr>
      </w:pPr>
      <w:r>
        <w:rPr>
          <w:noProof/>
        </w:rPr>
        <w:t>В дългосрочен план този модел за КНП може да прерасне в по-всеобхватна услуга за информираност за ситуацията в космоса въз основа на съществуващи дейности в държавите членки и ЕКА и като се вземат предвид международните рамки за сътрудничество — особено със САЩ.</w:t>
      </w:r>
    </w:p>
    <w:p>
      <w:pPr>
        <w:rPr>
          <w:noProof/>
          <w:szCs w:val="24"/>
        </w:rPr>
      </w:pPr>
      <w:r>
        <w:rPr>
          <w:noProof/>
        </w:rPr>
        <w:t>Комисията ще работи със съответните потребителски сектори, за да разработи мерки за реакция на рисковете и предупрежденията, свързани с космически метеорологични явления. Тя ще работи с ЕКА и EUMETSAT, за да подпомага научните изследвания и да подкрепя международните усилия в тази област.</w:t>
      </w:r>
    </w:p>
    <w:p>
      <w:pPr>
        <w:pStyle w:val="Text1"/>
        <w:pBdr>
          <w:top w:val="single" w:sz="4" w:space="1" w:color="auto"/>
          <w:left w:val="single" w:sz="4" w:space="0" w:color="auto"/>
          <w:bottom w:val="single" w:sz="4" w:space="1" w:color="auto"/>
          <w:right w:val="single" w:sz="4" w:space="4" w:color="auto"/>
        </w:pBdr>
        <w:shd w:val="pct10" w:color="auto" w:fill="auto"/>
        <w:spacing w:after="120"/>
        <w:ind w:left="0"/>
        <w:rPr>
          <w:b/>
          <w:i/>
          <w:noProof/>
        </w:rPr>
      </w:pPr>
      <w:r>
        <w:rPr>
          <w:b/>
          <w:i/>
          <w:noProof/>
        </w:rPr>
        <w:t>Основни действия: Комисията:</w:t>
      </w:r>
    </w:p>
    <w:p>
      <w:pPr>
        <w:pStyle w:val="Text1"/>
        <w:numPr>
          <w:ilvl w:val="0"/>
          <w:numId w:val="15"/>
        </w:numPr>
        <w:pBdr>
          <w:top w:val="single" w:sz="4" w:space="1" w:color="auto"/>
          <w:left w:val="single" w:sz="4" w:space="0" w:color="auto"/>
          <w:bottom w:val="single" w:sz="4" w:space="1" w:color="auto"/>
          <w:right w:val="single" w:sz="4" w:space="4" w:color="auto"/>
        </w:pBdr>
        <w:shd w:val="pct10" w:color="auto" w:fill="auto"/>
        <w:spacing w:after="120"/>
        <w:rPr>
          <w:i/>
          <w:noProof/>
        </w:rPr>
      </w:pPr>
      <w:r>
        <w:rPr>
          <w:i/>
          <w:noProof/>
        </w:rPr>
        <w:t>ще разширява сегашните услуги на ЕС за КНП и ще обмисли въвеждането на всеобхватни услуги за информираност за ситуацията в космоса (като космически метеорологични явления, кибернетични атаки). За целта тя ще работи, за да създаде партньорства, особено със САЩ;</w:t>
      </w:r>
    </w:p>
    <w:p>
      <w:pPr>
        <w:pStyle w:val="Text1"/>
        <w:numPr>
          <w:ilvl w:val="0"/>
          <w:numId w:val="15"/>
        </w:numPr>
        <w:pBdr>
          <w:top w:val="single" w:sz="4" w:space="1" w:color="auto"/>
          <w:left w:val="single" w:sz="4" w:space="0" w:color="auto"/>
          <w:bottom w:val="single" w:sz="4" w:space="1" w:color="auto"/>
          <w:right w:val="single" w:sz="4" w:space="4" w:color="auto"/>
        </w:pBdr>
        <w:shd w:val="pct10" w:color="auto" w:fill="auto"/>
        <w:spacing w:after="120"/>
        <w:rPr>
          <w:i/>
          <w:noProof/>
        </w:rPr>
      </w:pPr>
      <w:r>
        <w:rPr>
          <w:i/>
          <w:noProof/>
        </w:rPr>
        <w:t>ще съдейства за повишаване на информираността за рисковете от космически метеорологични явления на европейско и международно равнище и за възникващите рискове, свързани с кибернетичната сигурност, за критичната европейска космическа инфраструктура.</w:t>
      </w:r>
    </w:p>
    <w:p>
      <w:pPr>
        <w:pStyle w:val="Heading2"/>
        <w:tabs>
          <w:tab w:val="clear" w:pos="1080"/>
        </w:tabs>
        <w:spacing w:before="240"/>
        <w:ind w:left="960"/>
        <w:rPr>
          <w:noProof/>
        </w:rPr>
      </w:pPr>
      <w:r>
        <w:rPr>
          <w:noProof/>
        </w:rPr>
        <w:t>Засилване на полезните взаимодействия между космическите дейности в гражданската област и в областта на сигурността</w:t>
      </w:r>
    </w:p>
    <w:p>
      <w:pPr>
        <w:rPr>
          <w:noProof/>
          <w:color w:val="000000"/>
          <w:szCs w:val="24"/>
        </w:rPr>
      </w:pPr>
      <w:r>
        <w:rPr>
          <w:noProof/>
          <w:color w:val="000000"/>
        </w:rPr>
        <w:t>Космическите услуги могат да укрепят капацитета на ЕС и на държавите членки за справяне с увеличаващите се предизвикателства пред сигурността и за подобряване на мониторинга и контрола върху потоците, които имат отражение върху сигурността</w:t>
      </w:r>
      <w:r>
        <w:rPr>
          <w:rStyle w:val="FootnoteReference"/>
          <w:noProof/>
          <w:color w:val="000000"/>
        </w:rPr>
        <w:footnoteReference w:id="16"/>
      </w:r>
      <w:r>
        <w:rPr>
          <w:noProof/>
          <w:color w:val="000000"/>
        </w:rPr>
        <w:t>. Повечето космически технологии, инфраструктура и услуги могат да се използват както за граждански, така и за военни цели. Въпреки че известна част от свързания с космоса капацитет трябва да остане под изключителен национален и/или военен контрол, в редица области полезните взаимодействие между гражданската и военната сфера могат да намалят разходите, да подобрят устойчивостта и да увеличат ефективността. ЕС трябва да използва по-добре тези полезни взаимодействия.</w:t>
      </w:r>
    </w:p>
    <w:p>
      <w:pPr>
        <w:rPr>
          <w:noProof/>
          <w:color w:val="000000"/>
          <w:szCs w:val="24"/>
        </w:rPr>
      </w:pPr>
      <w:r>
        <w:rPr>
          <w:noProof/>
          <w:color w:val="000000"/>
        </w:rPr>
        <w:t>Това ще бъде ключов въпрос в европейския план за действие в областта на отбраната, който се очаква да открои решаващата спомагателна роля на космическото пространство за гражданския и отбранителния капацитет. Институционалните участници от ЕС и държавите членки, включително предоставящите услуги в областта на сигурността на гражданите, зависят във все по-голяма степен от услугите за спътникови комуникации за своите мисии и инфраструктура, но критичните потребности в областта на сигурността и отбраната днес не са напълно задоволени. Поради това Комисията работи с Европейската агенция по отбрана и ЕКА, за да оцени необходимостта и осъществимостта на една нова инициатива за осигуряване на устойчиви услуги за спътникови комуникации на правителствени и институционални потребители в областта на сигурността.</w:t>
      </w:r>
    </w:p>
    <w:p>
      <w:pPr>
        <w:rPr>
          <w:noProof/>
          <w:color w:val="000000"/>
          <w:szCs w:val="24"/>
        </w:rPr>
      </w:pPr>
      <w:r>
        <w:rPr>
          <w:noProof/>
          <w:color w:val="000000"/>
        </w:rPr>
        <w:t xml:space="preserve">Тя ще оцени допълнително и потенциала на „Коперник“ и „Галилео“/EGNOS за задоволяване на потребностите от автономност и сигурност и за подобряване на капацитета на ЕС да реагира на предизвикателствата, свързани с миграцията, граничния контрол и морското наблюдение. За целта Комисията ще повиши изискванията за сигурност, когато се разработват тези системи, и ще засили полезните взаимодействия с некосмическия капацитет за наблюдение (например </w:t>
      </w:r>
      <w:r>
        <w:rPr>
          <w:rStyle w:val="tgc"/>
          <w:noProof/>
        </w:rPr>
        <w:t>безпилотни летателни апарати</w:t>
      </w:r>
      <w:r>
        <w:rPr>
          <w:noProof/>
          <w:color w:val="000000"/>
        </w:rPr>
        <w:t>)</w:t>
      </w:r>
      <w:r>
        <w:rPr>
          <w:noProof/>
        </w:rPr>
        <w:t>.</w:t>
      </w:r>
    </w:p>
    <w:p>
      <w:pPr>
        <w:pStyle w:val="Text1"/>
        <w:pBdr>
          <w:top w:val="single" w:sz="4" w:space="1" w:color="auto"/>
          <w:left w:val="single" w:sz="4" w:space="4" w:color="auto"/>
          <w:bottom w:val="single" w:sz="4" w:space="1" w:color="auto"/>
          <w:right w:val="single" w:sz="4" w:space="4" w:color="auto"/>
        </w:pBdr>
        <w:shd w:val="pct10" w:color="auto" w:fill="auto"/>
        <w:spacing w:after="120"/>
        <w:ind w:left="0"/>
        <w:rPr>
          <w:b/>
          <w:i/>
          <w:noProof/>
        </w:rPr>
      </w:pPr>
      <w:r>
        <w:rPr>
          <w:b/>
          <w:i/>
          <w:noProof/>
        </w:rPr>
        <w:t>Основни действия: Комисията:</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rPr>
      </w:pPr>
      <w:r>
        <w:rPr>
          <w:i/>
          <w:noProof/>
        </w:rPr>
        <w:t>ще предложи инициатива за Govsatcom, за да гарантира надеждни, сигурни и икономически ефективни услуги за спътникови комуникации за публичните органи и инфраструктурата на ЕС и на държавите членки;</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noProof/>
        </w:rPr>
      </w:pPr>
      <w:r>
        <w:rPr>
          <w:i/>
          <w:noProof/>
        </w:rPr>
        <w:t>ще повиши изискванията за сигурност, когато се разработват космическите системи на ЕС.</w:t>
      </w:r>
      <w:bookmarkStart w:id="10" w:name="_Toc459652875"/>
    </w:p>
    <w:p>
      <w:pPr>
        <w:pStyle w:val="Heading1"/>
        <w:spacing w:before="360"/>
        <w:ind w:left="482" w:hanging="482"/>
        <w:rPr>
          <w:noProof/>
        </w:rPr>
      </w:pPr>
      <w:r>
        <w:rPr>
          <w:noProof/>
        </w:rPr>
        <w:t>Укрепване на ролята на Европа като глобален фактор и насърчаване на международното сътрудничество</w:t>
      </w:r>
      <w:bookmarkEnd w:id="10"/>
    </w:p>
    <w:p>
      <w:pPr>
        <w:rPr>
          <w:bCs/>
          <w:noProof/>
        </w:rPr>
      </w:pPr>
      <w:r>
        <w:rPr>
          <w:noProof/>
        </w:rPr>
        <w:t>Усилията на Европа да достигне трите стратегически цели, посочени по-горе, ще бъдат подкопани, ако ЕС не постигне една четвърта цел: поемането на много по-важна роля на световната сцена.</w:t>
      </w:r>
    </w:p>
    <w:p>
      <w:pPr>
        <w:rPr>
          <w:noProof/>
        </w:rPr>
      </w:pPr>
      <w:r>
        <w:rPr>
          <w:noProof/>
        </w:rPr>
        <w:t>Достъпът до космическото пространство и използването му се уреждат от международни правила или стандарти и от система за управление, която има за цел да гарантира дългосрочното устойчиво използване на космическото пространство от всички нации. Повечето научни и проучвателни проекти за изследване на космическото пространство също са с глобален характер. Най-новите космически технологии все по-често се развиват в рамките на международни партньорства, поради което достъпът до такива проекти се превръща във важен фактор за успех за изследователите и промишлените отрасли. Достъпът до световните пазари и осигуряването на глобална равнопоставеност също са от жизнено важно значение за европейските промишлени отрасли и предприятия.</w:t>
      </w:r>
    </w:p>
    <w:p>
      <w:pPr>
        <w:rPr>
          <w:noProof/>
        </w:rPr>
      </w:pPr>
      <w:r>
        <w:rPr>
          <w:noProof/>
        </w:rPr>
        <w:t>Увеличаването на човешката дейност в космическото пространство и бързият растеж на новите участници се явяват като тест за границите на новите конвенции на ООН относно космическото пространство, включително по въпросите на управлението на потоците въздушно движение и космическия добив на суровини. Европа следва да заема водещо място при управлението на глобални предизвикателства като изменението на климата или намаляването на риска от бедствия, като същевременно насърчава международното сътрудничество и изгражда глобално управление или подходящи правни рамки за космическото пространство.</w:t>
      </w:r>
    </w:p>
    <w:p>
      <w:pPr>
        <w:rPr>
          <w:noProof/>
        </w:rPr>
      </w:pPr>
      <w:r>
        <w:rPr>
          <w:noProof/>
        </w:rPr>
        <w:t>Поради това Комисията ще работи заедно с върховния представител и държавите членки за насърчаване на международните принципи за отговорно поведение в космическото пространство в рамките на Организацията на обединените нации и други подходящи многостранни форуми. ЕС следва да проправя пътя за справяне с предизвикателствата, свързани с нарастването на броя на участниците в космическото пространство, обектите и отпадъците в космоса, в съответствие с конвенциите на ООН във връзка с космическото пространство.</w:t>
      </w:r>
    </w:p>
    <w:p>
      <w:pPr>
        <w:rPr>
          <w:noProof/>
        </w:rPr>
      </w:pPr>
      <w:r>
        <w:rPr>
          <w:noProof/>
        </w:rPr>
        <w:t>В допълнение Комисията ще използва космическите програми на ЕС, за да допринася, както и да се възползва от международните усилия, чрез инициативи като Глобалната система за наблюдение на Земята (GEOSS) и Комитета по въпросите на спътниците за наблюдение на Земята (CEOS) — с „Коперник“, или инициативата за търсене и спасяване (COSPAS-SARSAT) — с „Галилео“. Тя ще оказва подкрепа на съседните на ЕС държави и на политики за развитие, както вече прави в Африка с „Коперник“ и EGNOS, както и за наблюдението по цели за устойчиво развитие. Комисията ще дава своя принос в международния диалог по въпросите на проучването на космическото пространство, заедно с държавите членки и Европейската космическа агенция, като спомага за общи европейски позиции.</w:t>
      </w:r>
    </w:p>
    <w:p>
      <w:pPr>
        <w:rPr>
          <w:noProof/>
        </w:rPr>
      </w:pPr>
      <w:r>
        <w:rPr>
          <w:noProof/>
        </w:rPr>
        <w:t>Чрез инструментите на своята търговска политика и икономическата дипломация Комисията ще се стреми да създава равнопоставеност за европейската промишленост посредством преодоляване на пречките за достъп до пазара и спомагане за сближаване на мерките за контрол на износа на изделия и технологии с двойна употреба, а също така активно ще разпространява европейските космически технологии, решения и ноу-хау в страни извън ЕС. Това трябва да разкрие нови стопански възможности за европейската промишленост и да популяризира ЕС като привлекателно място и партньор за научни изследвания и инвестиции. Комисията ще продължи да подкрепя интернационализацията на космическата стопанска дейност чрез мобилизиране на съществуващите инструменти</w:t>
      </w:r>
      <w:r>
        <w:rPr>
          <w:rStyle w:val="FootnoteReference"/>
          <w:noProof/>
        </w:rPr>
        <w:footnoteReference w:id="17"/>
      </w:r>
      <w:r>
        <w:rPr>
          <w:noProof/>
        </w:rPr>
        <w:t>, за да помогне за осигуряването на достъп до външни пазари на европейските предприятия, по-специално на клъстерите и мрежите от МСП.</w:t>
      </w:r>
    </w:p>
    <w:p>
      <w:pPr>
        <w:rPr>
          <w:noProof/>
        </w:rPr>
      </w:pPr>
      <w:r>
        <w:rPr>
          <w:noProof/>
        </w:rPr>
        <w:t>Комисията ще засили своя двустранен и многостранен диалог, провеждан в тясно сътрудничество с държавите членки, по въпросите на космическата политика. В сътрудничество с ЕКА, EUMETSAT и GSA тя ще направи преглед на стратегическите цели на съществуващите диалози и ще определи нови такива, отразяващи променящите се приоритети на ЕС. Освен това тя ще насърчава активно космическите програми на ЕС и ще търси взаимноизгодни партньорства за обмен на данни в рамките на „Коперник“ и реципрочно участие в изследователски програми.</w:t>
      </w:r>
    </w:p>
    <w:p>
      <w:pPr>
        <w:pStyle w:val="Text1"/>
        <w:pBdr>
          <w:top w:val="single" w:sz="4" w:space="1" w:color="auto"/>
          <w:left w:val="single" w:sz="4" w:space="4" w:color="auto"/>
          <w:bottom w:val="single" w:sz="4" w:space="1" w:color="auto"/>
          <w:right w:val="single" w:sz="4" w:space="4" w:color="auto"/>
        </w:pBdr>
        <w:shd w:val="pct10" w:color="auto" w:fill="auto"/>
        <w:spacing w:after="120"/>
        <w:ind w:left="0"/>
        <w:rPr>
          <w:b/>
          <w:i/>
          <w:noProof/>
        </w:rPr>
      </w:pPr>
      <w:r>
        <w:rPr>
          <w:b/>
          <w:i/>
          <w:noProof/>
        </w:rPr>
        <w:t>Основни действия: Комисията:</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rPr>
      </w:pPr>
      <w:r>
        <w:rPr>
          <w:i/>
          <w:noProof/>
        </w:rPr>
        <w:t>ще продължи диалозите относно космическото пространство със стратегически международни партньори, ще гарантира, че космическата политика е взета надлежно предвид в диалозите на ЕС с трети страни във връзка с контрола върху износа, ще използва икономическата дипломация и инструментите на търговската политика за подпомагане на европейските дружества, осъществяващи дейност на световните пазари, и за справяне с предизвикателствата пред обществото.</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rPr>
      </w:pPr>
      <w:r>
        <w:rPr>
          <w:i/>
          <w:noProof/>
        </w:rPr>
        <w:t>ще засили приноса на ЕС към международни инициативи, като например Групата за наблюдение на Земята и CEOS;</w:t>
      </w:r>
    </w:p>
    <w:p>
      <w:pPr>
        <w:pStyle w:val="Text1"/>
        <w:numPr>
          <w:ilvl w:val="0"/>
          <w:numId w:val="15"/>
        </w:numPr>
        <w:pBdr>
          <w:top w:val="single" w:sz="4" w:space="1" w:color="auto"/>
          <w:left w:val="single" w:sz="4" w:space="4" w:color="auto"/>
          <w:bottom w:val="single" w:sz="4" w:space="1" w:color="auto"/>
          <w:right w:val="single" w:sz="4" w:space="4" w:color="auto"/>
        </w:pBdr>
        <w:shd w:val="pct10" w:color="auto" w:fill="auto"/>
        <w:spacing w:after="120"/>
        <w:rPr>
          <w:i/>
          <w:noProof/>
        </w:rPr>
      </w:pPr>
      <w:r>
        <w:rPr>
          <w:i/>
          <w:noProof/>
        </w:rPr>
        <w:t>ще се ангажира, заедно с другите институции на ЕС и държавите членки, съвместно с международни партньори за насърчаване на отговорно поведение в космическото пространство и съхраняване и опазване на космическата околна среда за мирно използване от всички нации.</w:t>
      </w:r>
    </w:p>
    <w:p>
      <w:pPr>
        <w:pStyle w:val="Heading1"/>
        <w:spacing w:before="360"/>
        <w:ind w:left="482" w:hanging="482"/>
        <w:rPr>
          <w:noProof/>
        </w:rPr>
      </w:pPr>
      <w:bookmarkStart w:id="11" w:name="_Toc459652876"/>
      <w:r>
        <w:rPr>
          <w:noProof/>
        </w:rPr>
        <w:t>Осигуряване на ефективно осъществяване</w:t>
      </w:r>
      <w:bookmarkEnd w:id="11"/>
    </w:p>
    <w:p>
      <w:pPr>
        <w:rPr>
          <w:noProof/>
        </w:rPr>
      </w:pPr>
      <w:r>
        <w:rPr>
          <w:noProof/>
        </w:rPr>
        <w:t>Проектирането на мерките, изброени по-горе, е основано на един ключов критерий: практическото им осъществяване. Те имат за цел да насърчават партньорството между Комисията, държавите членки, Европейската космическа агенция и GSA, заедно с всички други съответни агенции като EUMETSAT, заинтересованите страни, промишлените отрасли, научноизследователската общност и потребителските общности.</w:t>
      </w:r>
    </w:p>
    <w:p>
      <w:pPr>
        <w:rPr>
          <w:noProof/>
        </w:rPr>
      </w:pPr>
      <w:r>
        <w:rPr>
          <w:noProof/>
        </w:rPr>
        <w:t>Връзките между ЕС и ЕКА ще бъдат един от основните фактори за успех. ЕКА със своите високи технически постижения, експертен опит, капацитет и ноу-хау е важен партньор, на който Комисията ще продължи да разчита. Предвид междинната оценка на космическите програми на ЕС през 2017 г. Комисията ще разгледа потенциалните подобрения в мерките за управление и за опростяване — например чрез споразумение за партньорство с ЕКА чрез единна финансова рамка, с което ще бъдат рационализирани приложимите правила и ще бъдат засилени изискванията за прозрачност и отчетност.</w:t>
      </w:r>
    </w:p>
    <w:p>
      <w:pPr>
        <w:rPr>
          <w:noProof/>
        </w:rPr>
      </w:pPr>
      <w:r>
        <w:rPr>
          <w:noProof/>
        </w:rPr>
        <w:t>Комисията ще продължи успешното си сътрудничество с EUMETSAT предвид нейната решаваща роля при осъществяването на програмата „Коперник“. Ролята на GSA също ще бъде засилена по отношение на използването на „Галилео“ и EGNOS, както и с цел увеличаване на навлизането им на пазара. Комисията ще разгледа възможността за разширяване на отговорностите на GSA по определени задачи, свързани със сигурността на други космически дейности на ЕС.</w:t>
      </w:r>
    </w:p>
    <w:p>
      <w:pPr>
        <w:rPr>
          <w:noProof/>
        </w:rPr>
      </w:pPr>
      <w:r>
        <w:rPr>
          <w:noProof/>
        </w:rPr>
        <w:t>Комисията ще продължи да изпълнява ролята си, за да осигури удовлетворяването на нуждите на различни агенции на ЕС, като например ЕАОС</w:t>
      </w:r>
      <w:r>
        <w:rPr>
          <w:rStyle w:val="FootnoteReference"/>
          <w:noProof/>
        </w:rPr>
        <w:footnoteReference w:id="18"/>
      </w:r>
      <w:r>
        <w:rPr>
          <w:noProof/>
        </w:rPr>
        <w:t>, EFCA</w:t>
      </w:r>
      <w:r>
        <w:rPr>
          <w:rStyle w:val="FootnoteReference"/>
          <w:noProof/>
        </w:rPr>
        <w:footnoteReference w:id="19"/>
      </w:r>
      <w:r>
        <w:rPr>
          <w:noProof/>
        </w:rPr>
        <w:t>, ЕАМБ</w:t>
      </w:r>
      <w:r>
        <w:rPr>
          <w:rStyle w:val="FootnoteReference"/>
          <w:noProof/>
        </w:rPr>
        <w:footnoteReference w:id="20"/>
      </w:r>
      <w:r>
        <w:rPr>
          <w:noProof/>
        </w:rPr>
        <w:t>, Европейската агенция за гранична и брегова охрана и други, представляващи секторните политики, за които са необходими решения във връзка с космическото пространство. Тя ще работи в тясно сътрудничество с Европейската служба за външна дейност (ЕСВД), Европейската агенция по отбрана и Сателитния център на ЕС (EU SatCen), заедно с държавите членки и Европейската космическа агенция, за да проучи възможните полезни взаимодействия по линия на двойната употреба в космическите програми.</w:t>
      </w:r>
    </w:p>
    <w:p>
      <w:pPr>
        <w:rPr>
          <w:b/>
          <w:smallCaps/>
          <w:noProof/>
        </w:rPr>
      </w:pPr>
      <w:r>
        <w:rPr>
          <w:noProof/>
        </w:rPr>
        <w:t>Комисията ще започне да въвежда тази стратегия през 2017 г. и ще предприеме редовен структуриран диалог със заинтересованите страни, за да се гарантира ефективното осъществяване и да се проследява напредъкът.</w:t>
      </w:r>
      <w:bookmarkStart w:id="12" w:name="_Toc459652877"/>
      <w:r>
        <w:rPr>
          <w:noProof/>
        </w:rPr>
        <w:br w:type="page"/>
      </w:r>
    </w:p>
    <w:p>
      <w:pPr>
        <w:pStyle w:val="Heading1"/>
        <w:spacing w:before="360"/>
        <w:ind w:left="482" w:hanging="482"/>
        <w:rPr>
          <w:noProof/>
        </w:rPr>
      </w:pPr>
      <w:r>
        <w:rPr>
          <w:noProof/>
        </w:rPr>
        <w:t>Заключение</w:t>
      </w:r>
      <w:bookmarkEnd w:id="12"/>
    </w:p>
    <w:p>
      <w:pPr>
        <w:pStyle w:val="ListParagraph"/>
        <w:spacing w:after="240"/>
        <w:ind w:left="0"/>
        <w:contextualSpacing w:val="0"/>
        <w:jc w:val="both"/>
        <w:rPr>
          <w:rFonts w:ascii="Times New Roman" w:hAnsi="Times New Roman" w:cs="Times New Roman"/>
          <w:noProof/>
        </w:rPr>
      </w:pPr>
      <w:r>
        <w:rPr>
          <w:rFonts w:ascii="Times New Roman" w:hAnsi="Times New Roman"/>
          <w:noProof/>
        </w:rPr>
        <w:t>Потенциалът на космическото пространство за Европа и света е огромен. Европа е изправена пред мащабни глобални предизвикателства, за които е необходим отговор на глобално равнище.</w:t>
      </w:r>
    </w:p>
    <w:p>
      <w:pPr>
        <w:pStyle w:val="ListParagraph"/>
        <w:spacing w:after="240"/>
        <w:ind w:left="0"/>
        <w:contextualSpacing w:val="0"/>
        <w:jc w:val="both"/>
        <w:rPr>
          <w:rFonts w:ascii="Times New Roman" w:hAnsi="Times New Roman" w:cs="Times New Roman"/>
          <w:noProof/>
        </w:rPr>
      </w:pPr>
      <w:r>
        <w:rPr>
          <w:rFonts w:ascii="Times New Roman" w:hAnsi="Times New Roman"/>
          <w:noProof/>
        </w:rPr>
        <w:t>Европа трябва да дава своя принос в тази колективна отговорност. Нито една отделна държава членка не може да направи това сама. ЕС, заедно със своите държави членки и ЕКА, трябва да действа като заинтересована страна на глобално равнище за насърчаване на такова използване на космическото пространство, което ще го съхрани за бъдещите поколения.</w:t>
      </w:r>
    </w:p>
    <w:p>
      <w:pPr>
        <w:pStyle w:val="ListParagraph"/>
        <w:spacing w:after="240"/>
        <w:ind w:left="0"/>
        <w:contextualSpacing w:val="0"/>
        <w:jc w:val="both"/>
        <w:rPr>
          <w:rFonts w:ascii="Times New Roman" w:hAnsi="Times New Roman" w:cs="Times New Roman"/>
          <w:noProof/>
        </w:rPr>
      </w:pPr>
      <w:r>
        <w:rPr>
          <w:rFonts w:ascii="Times New Roman" w:hAnsi="Times New Roman"/>
          <w:noProof/>
        </w:rPr>
        <w:t>ЕС не може да си позволи изоставане в тази област. Съюзът трябва да остане на челни позиции, като разчита на талантите и експертните знания на Европа и ги доразвива, и капитализира своите инвестиции, предвиждайки бъдещите възможности.</w:t>
      </w:r>
    </w:p>
    <w:p>
      <w:pPr>
        <w:pStyle w:val="ListParagraph"/>
        <w:spacing w:after="240"/>
        <w:ind w:left="0"/>
        <w:contextualSpacing w:val="0"/>
        <w:jc w:val="both"/>
        <w:rPr>
          <w:rFonts w:ascii="Times New Roman" w:hAnsi="Times New Roman" w:cs="Times New Roman"/>
          <w:noProof/>
        </w:rPr>
      </w:pPr>
      <w:r>
        <w:rPr>
          <w:rFonts w:ascii="Times New Roman" w:hAnsi="Times New Roman"/>
          <w:noProof/>
        </w:rPr>
        <w:t>Комисията приканва Европейския парламент и Съвета да обсъдят и подкрепят тази стратегия и да направляват ефективното ѝ прилагане в тясно сътрудничество с всички заинтересовани страни.</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Lat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Консолидираният бюджет за космическия сектор (държави членки, ЕС, ЕКА и EUMETSAT) се изчислява на 7 милиарда евро през 2015 г.</w:t>
      </w:r>
    </w:p>
  </w:footnote>
  <w:footnote w:id="3">
    <w:p>
      <w:pPr>
        <w:pStyle w:val="FootnoteText"/>
        <w:spacing w:after="0"/>
      </w:pPr>
      <w:r>
        <w:rPr>
          <w:rStyle w:val="FootnoteReference"/>
        </w:rPr>
        <w:footnoteRef/>
      </w:r>
      <w:r>
        <w:t xml:space="preserve"> Европейска програма за наблюдение и мониторинг на Земята.</w:t>
      </w:r>
    </w:p>
  </w:footnote>
  <w:footnote w:id="4">
    <w:p>
      <w:pPr>
        <w:pStyle w:val="FootnoteText"/>
        <w:spacing w:after="0"/>
      </w:pPr>
      <w:r>
        <w:rPr>
          <w:rStyle w:val="FootnoteReference"/>
        </w:rPr>
        <w:footnoteRef/>
      </w:r>
      <w:r>
        <w:t xml:space="preserve"> Европейската геостационарна служба за навигационно покритие, която засилва сигнала на Глобалната система за позициониране (GPS) в цяла Европа.</w:t>
      </w:r>
    </w:p>
  </w:footnote>
  <w:footnote w:id="5">
    <w:p>
      <w:pPr>
        <w:pStyle w:val="FootnoteText"/>
        <w:spacing w:after="0"/>
      </w:pPr>
      <w:r>
        <w:rPr>
          <w:rStyle w:val="FootnoteReference"/>
        </w:rPr>
        <w:footnoteRef/>
      </w:r>
      <w:r>
        <w:t xml:space="preserve"> Европейска </w:t>
      </w:r>
      <w:r>
        <w:rPr>
          <w:rFonts w:ascii="Lato" w:hAnsi="Lato"/>
          <w:sz w:val="21"/>
        </w:rPr>
        <w:t>глобална навигационна спътникова система, подобна на GPS.</w:t>
      </w:r>
    </w:p>
  </w:footnote>
  <w:footnote w:id="6">
    <w:p>
      <w:pPr>
        <w:pStyle w:val="FootnoteText"/>
        <w:spacing w:after="0"/>
      </w:pPr>
      <w:r>
        <w:rPr>
          <w:rStyle w:val="FootnoteReference"/>
        </w:rPr>
        <w:footnoteRef/>
      </w:r>
      <w:r>
        <w:t xml:space="preserve"> Socioeconomic impacts from space activities in the EU in 2015 and beyond (Социално-икономически въздействия от космическите дейности в ЕС през 2015 г. и след това), проучване на PwC, юни 2016 г.</w:t>
      </w:r>
    </w:p>
  </w:footnote>
  <w:footnote w:id="7">
    <w:p>
      <w:pPr>
        <w:pStyle w:val="FootnoteText"/>
        <w:spacing w:after="0"/>
      </w:pPr>
      <w:r>
        <w:rPr>
          <w:rStyle w:val="FootnoteReference"/>
        </w:rPr>
        <w:footnoteRef/>
      </w:r>
      <w:r>
        <w:t xml:space="preserve"> Евентуалните законодателни предложения ще подлежат на изискванията съгласно Насоките на Комисията за по-добро регулиране, SWD(2015) 111.</w:t>
      </w:r>
    </w:p>
  </w:footnote>
  <w:footnote w:id="8">
    <w:p>
      <w:pPr>
        <w:pStyle w:val="FootnoteText"/>
        <w:spacing w:after="0"/>
      </w:pPr>
      <w:r>
        <w:rPr>
          <w:rStyle w:val="FootnoteReference"/>
        </w:rPr>
        <w:footnoteRef/>
      </w:r>
      <w:r>
        <w:t xml:space="preserve"> GSA — Европейската агенция за глобалната навигационна спътникова система (ГНСС), е агенция на ЕС, отговаряща за експлоатацията на EGNOS и „Галилео“.</w:t>
      </w:r>
    </w:p>
  </w:footnote>
  <w:footnote w:id="9">
    <w:p>
      <w:pPr>
        <w:pStyle w:val="FootnoteText"/>
        <w:spacing w:after="0"/>
        <w:ind w:left="240" w:hanging="240"/>
      </w:pPr>
      <w:r>
        <w:rPr>
          <w:rStyle w:val="FootnoteReference"/>
        </w:rPr>
        <w:footnoteRef/>
      </w:r>
      <w:r>
        <w:t xml:space="preserve"> </w:t>
      </w:r>
      <w:hyperlink r:id="rId1">
        <w:r>
          <w:rPr>
            <w:rStyle w:val="Hyperlink"/>
            <w:color w:val="auto"/>
          </w:rPr>
          <w:t>Директива 2007/2/EО за създаване на инфраструктура за пространствена информация в Европейската общност (INSPIRE)</w:t>
        </w:r>
      </w:hyperlink>
      <w:r>
        <w:rPr>
          <w:rStyle w:val="Hyperlink"/>
          <w:color w:val="auto"/>
        </w:rPr>
        <w:t>, OB L 108, 25.4.2007 г., стр. 1.</w:t>
      </w:r>
    </w:p>
  </w:footnote>
  <w:footnote w:id="10">
    <w:p>
      <w:pPr>
        <w:pStyle w:val="Default"/>
        <w:rPr>
          <w:sz w:val="20"/>
          <w:szCs w:val="20"/>
        </w:rPr>
      </w:pPr>
      <w:r>
        <w:rPr>
          <w:rStyle w:val="FootnoteReference"/>
          <w:sz w:val="20"/>
        </w:rPr>
        <w:footnoteRef/>
      </w:r>
      <w:r>
        <w:rPr>
          <w:sz w:val="20"/>
        </w:rPr>
        <w:t xml:space="preserve"> В съответствие с интегрираната политика на Европейския съюз за Арктика (JOIN(2016) 21 final).</w:t>
      </w:r>
    </w:p>
  </w:footnote>
  <w:footnote w:id="11">
    <w:p>
      <w:pPr>
        <w:pStyle w:val="FootnoteText"/>
        <w:spacing w:after="0"/>
        <w:ind w:left="240" w:hanging="240"/>
      </w:pPr>
      <w:r>
        <w:rPr>
          <w:rStyle w:val="FootnoteReference"/>
        </w:rPr>
        <w:footnoteRef/>
      </w:r>
      <w:r>
        <w:rPr>
          <w:rStyle w:val="FootnoteReference"/>
        </w:rPr>
        <w:t xml:space="preserve"> </w:t>
      </w:r>
      <w:r>
        <w:t>Например поръчки за иновации в предпазарен стадий и обществени поръчки на новаторски решения.</w:t>
      </w:r>
    </w:p>
  </w:footnote>
  <w:footnote w:id="12">
    <w:p>
      <w:pPr>
        <w:pStyle w:val="FootnoteText"/>
        <w:spacing w:after="0"/>
        <w:ind w:left="240" w:hanging="240"/>
      </w:pPr>
      <w:r>
        <w:rPr>
          <w:rStyle w:val="FootnoteReference"/>
        </w:rPr>
        <w:footnoteRef/>
      </w:r>
      <w:r>
        <w:t xml:space="preserve"> Например публично-частни партньорства, основани на договорни споразумения или произтичащи от съвместна технологична инициатива.</w:t>
      </w:r>
    </w:p>
  </w:footnote>
  <w:footnote w:id="13">
    <w:p>
      <w:pPr>
        <w:pStyle w:val="FootnoteText"/>
        <w:spacing w:after="0"/>
      </w:pPr>
      <w:r>
        <w:rPr>
          <w:rStyle w:val="FootnoteReference"/>
        </w:rPr>
        <w:footnoteRef/>
      </w:r>
      <w:r>
        <w:t xml:space="preserve"> Подобни на тези, включени в процеса за хармонизация на космическите технологии на ЕКА.</w:t>
      </w:r>
    </w:p>
  </w:footnote>
  <w:footnote w:id="14">
    <w:p>
      <w:pPr>
        <w:pStyle w:val="FootnoteText"/>
        <w:spacing w:after="0"/>
        <w:ind w:left="240" w:hanging="240"/>
      </w:pPr>
      <w:r>
        <w:rPr>
          <w:rStyle w:val="FootnoteReference"/>
        </w:rPr>
        <w:footnoteRef/>
      </w:r>
      <w:r>
        <w:t xml:space="preserve"> По-специално „Хоризонт 2020“, COSME и Европейските структурни и инвестиционни фондове.</w:t>
      </w:r>
    </w:p>
  </w:footnote>
  <w:footnote w:id="15">
    <w:p>
      <w:pPr>
        <w:pStyle w:val="FootnoteText"/>
        <w:spacing w:after="0"/>
      </w:pPr>
      <w:r>
        <w:rPr>
          <w:rStyle w:val="FootnoteReference"/>
        </w:rPr>
        <w:footnoteRef/>
      </w:r>
      <w:r>
        <w:t xml:space="preserve"> Европейска инвестиционна банка/Европейски инвестиционен фонд</w:t>
      </w:r>
    </w:p>
  </w:footnote>
  <w:footnote w:id="16">
    <w:p>
      <w:pPr>
        <w:pStyle w:val="FootnoteText"/>
        <w:spacing w:after="0"/>
      </w:pPr>
      <w:r>
        <w:rPr>
          <w:rStyle w:val="FootnoteReference"/>
        </w:rPr>
        <w:footnoteRef/>
      </w:r>
      <w:r>
        <w:t xml:space="preserve"> Както се изтъква в „Глобална стратегия за външната политика и политиката на сигурност на ЕС“, публикувана през юни 2016 г. от върховния представител на Съюза по въпросите на външните работи и политиката на сигурност и заместник-председател на Европейската комисия.</w:t>
      </w:r>
    </w:p>
  </w:footnote>
  <w:footnote w:id="17">
    <w:p>
      <w:pPr>
        <w:pStyle w:val="FootnoteText"/>
        <w:spacing w:after="0"/>
        <w:ind w:left="240" w:hanging="240"/>
      </w:pPr>
      <w:r>
        <w:rPr>
          <w:rStyle w:val="FootnoteReference"/>
        </w:rPr>
        <w:footnoteRef/>
      </w:r>
      <w:r>
        <w:t xml:space="preserve"> Например инструмента за интернационализация на клъстери COSME, заемите или експортните кредити на ЕИБ.</w:t>
      </w:r>
    </w:p>
  </w:footnote>
  <w:footnote w:id="18">
    <w:p>
      <w:pPr>
        <w:pStyle w:val="FootnoteText"/>
        <w:spacing w:after="0"/>
      </w:pPr>
      <w:r>
        <w:rPr>
          <w:rStyle w:val="FootnoteReference"/>
        </w:rPr>
        <w:footnoteRef/>
      </w:r>
      <w:r>
        <w:t xml:space="preserve"> Европейска агенция за околна среда.</w:t>
      </w:r>
    </w:p>
  </w:footnote>
  <w:footnote w:id="19">
    <w:p>
      <w:pPr>
        <w:pStyle w:val="FootnoteText"/>
        <w:spacing w:after="0"/>
      </w:pPr>
      <w:r>
        <w:rPr>
          <w:rStyle w:val="FootnoteReference"/>
        </w:rPr>
        <w:footnoteRef/>
      </w:r>
      <w:r>
        <w:t xml:space="preserve"> Европейска агенция за контрол на рибарството.</w:t>
      </w:r>
    </w:p>
  </w:footnote>
  <w:footnote w:id="20">
    <w:p>
      <w:pPr>
        <w:pStyle w:val="FootnoteText"/>
        <w:spacing w:after="0"/>
      </w:pPr>
      <w:r>
        <w:rPr>
          <w:rStyle w:val="FootnoteReference"/>
        </w:rPr>
        <w:footnoteRef/>
      </w:r>
      <w:r>
        <w:t xml:space="preserve"> Европейска агенция по морска безопасност.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9"/>
    <w:multiLevelType w:val="singleLevel"/>
    <w:tmpl w:val="42A406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FB5B9B"/>
    <w:multiLevelType w:val="hybridMultilevel"/>
    <w:tmpl w:val="088AF7C2"/>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C76115"/>
    <w:multiLevelType w:val="hybridMultilevel"/>
    <w:tmpl w:val="394ED446"/>
    <w:lvl w:ilvl="0" w:tplc="7D081FB0">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C2B7D"/>
    <w:multiLevelType w:val="hybridMultilevel"/>
    <w:tmpl w:val="40C2B9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40A11"/>
    <w:multiLevelType w:val="hybridMultilevel"/>
    <w:tmpl w:val="B664A122"/>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5C337F"/>
    <w:multiLevelType w:val="multilevel"/>
    <w:tmpl w:val="81C4D6CE"/>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Roman"/>
      <w:lvlText w:val="%8."/>
      <w:lvlJc w:val="righ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7E35760"/>
    <w:multiLevelType w:val="hybridMultilevel"/>
    <w:tmpl w:val="860ACCA0"/>
    <w:lvl w:ilvl="0" w:tplc="60AE887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6F2248A"/>
    <w:multiLevelType w:val="hybridMultilevel"/>
    <w:tmpl w:val="F506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AD463C"/>
    <w:multiLevelType w:val="hybridMultilevel"/>
    <w:tmpl w:val="64C6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D00612"/>
    <w:multiLevelType w:val="hybridMultilevel"/>
    <w:tmpl w:val="31666530"/>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0645641"/>
    <w:multiLevelType w:val="hybridMultilevel"/>
    <w:tmpl w:val="B590F80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BA7F37"/>
    <w:multiLevelType w:val="hybridMultilevel"/>
    <w:tmpl w:val="5510AA40"/>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A078B9"/>
    <w:multiLevelType w:val="hybridMultilevel"/>
    <w:tmpl w:val="DFF40ED4"/>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EB23C8"/>
    <w:multiLevelType w:val="hybridMultilevel"/>
    <w:tmpl w:val="B45C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241490"/>
    <w:multiLevelType w:val="hybridMultilevel"/>
    <w:tmpl w:val="297A7D06"/>
    <w:lvl w:ilvl="0" w:tplc="60AE8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1F7161"/>
    <w:multiLevelType w:val="hybridMultilevel"/>
    <w:tmpl w:val="B590F80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E452D9"/>
    <w:multiLevelType w:val="hybridMultilevel"/>
    <w:tmpl w:val="06A41170"/>
    <w:lvl w:ilvl="0" w:tplc="60AE887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6"/>
  </w:num>
  <w:num w:numId="4">
    <w:abstractNumId w:val="0"/>
  </w:num>
  <w:num w:numId="5">
    <w:abstractNumId w:val="4"/>
  </w:num>
  <w:num w:numId="6">
    <w:abstractNumId w:val="1"/>
  </w:num>
  <w:num w:numId="7">
    <w:abstractNumId w:val="12"/>
  </w:num>
  <w:num w:numId="8">
    <w:abstractNumId w:val="11"/>
  </w:num>
  <w:num w:numId="9">
    <w:abstractNumId w:val="3"/>
  </w:num>
  <w:num w:numId="10">
    <w:abstractNumId w:val="15"/>
  </w:num>
  <w:num w:numId="11">
    <w:abstractNumId w:val="9"/>
  </w:num>
  <w:num w:numId="12">
    <w:abstractNumId w:val="14"/>
  </w:num>
  <w:num w:numId="13">
    <w:abstractNumId w:val="8"/>
  </w:num>
  <w:num w:numId="14">
    <w:abstractNumId w:val="7"/>
  </w:num>
  <w:num w:numId="15">
    <w:abstractNumId w:val="18"/>
  </w:num>
  <w:num w:numId="16">
    <w:abstractNumId w:val="10"/>
  </w:num>
  <w:num w:numId="17">
    <w:abstractNumId w:val="13"/>
  </w:num>
  <w:num w:numId="18">
    <w:abstractNumId w:val="16"/>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CFA83EC79A1414D832960D56B3D5E86"/>
    <w:docVar w:name="LW_CROSSREFERENCE" w:val="&lt;UNUSED&gt;"/>
    <w:docVar w:name="LW_DocType" w:val="NORMAL"/>
    <w:docVar w:name="LW_EMISSION" w:val="26.10.2016"/>
    <w:docVar w:name="LW_EMISSION_ISODATE" w:val="2016-10-26"/>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05"/>
    <w:docVar w:name="LW_REF.INTERNE" w:val="&lt;UNUSED&gt;"/>
    <w:docVar w:name="LW_SOUS.TITRE.OBJ" w:val="Bringing the benefits of space to Earth and meeting Europe\u8217?s future space needs"/>
    <w:docVar w:name="LW_SOUS.TITRE.OBJ.CP" w:val="&lt;UNUSED&gt;"/>
    <w:docVar w:name="LW_SUPERTITRE" w:val="&lt;UNUSED&gt;"/>
    <w:docVar w:name="LW_TITRE.OBJ.CP" w:val="\u1050?\u1086?\u1089?\u1084?\u1080?\u1095?\u1077?\u1089?\u1082?\u1072? \u1089?\u1090?\u1088?\u1072?\u1090?\u1077?\u1075?\u1080?\u1103? \u1079?\u1072? \u1045?\u1074?\u1088?\u1086?\u1087?\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8"/>
      </w:numPr>
      <w:spacing w:before="240"/>
      <w:outlineLvl w:val="0"/>
    </w:pPr>
    <w:rPr>
      <w:b/>
      <w:smallCaps/>
    </w:rPr>
  </w:style>
  <w:style w:type="paragraph" w:styleId="Heading2">
    <w:name w:val="heading 2"/>
    <w:basedOn w:val="Normal"/>
    <w:next w:val="Text2"/>
    <w:link w:val="Heading2Char"/>
    <w:qFormat/>
    <w:pPr>
      <w:keepNext/>
      <w:numPr>
        <w:ilvl w:val="1"/>
        <w:numId w:val="8"/>
      </w:numPr>
      <w:outlineLvl w:val="1"/>
    </w:pPr>
    <w:rPr>
      <w:b/>
    </w:rPr>
  </w:style>
  <w:style w:type="paragraph" w:styleId="Heading3">
    <w:name w:val="heading 3"/>
    <w:basedOn w:val="Normal"/>
    <w:next w:val="Normal"/>
    <w:link w:val="Heading3Char"/>
    <w:qFormat/>
    <w:pPr>
      <w:keepNext/>
      <w:numPr>
        <w:ilvl w:val="2"/>
        <w:numId w:val="8"/>
      </w:numPr>
      <w:outlineLvl w:val="2"/>
    </w:pPr>
    <w:rPr>
      <w:i/>
    </w:rPr>
  </w:style>
  <w:style w:type="paragraph" w:styleId="Heading4">
    <w:name w:val="heading 4"/>
    <w:basedOn w:val="Normal"/>
    <w:next w:val="Normal"/>
    <w:link w:val="Heading4Char"/>
    <w:qFormat/>
    <w:pPr>
      <w:keepNext/>
      <w:numPr>
        <w:ilvl w:val="3"/>
        <w:numId w:val="8"/>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FootnoteText">
    <w:name w:val="footnote text"/>
    <w:basedOn w:val="Normal"/>
    <w:pPr>
      <w:ind w:left="357" w:hanging="357"/>
    </w:pPr>
    <w:rPr>
      <w:sz w:val="20"/>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ft Char"/>
    <w:basedOn w:val="DefaultParagraphFont"/>
    <w:rPr>
      <w:rFonts w:ascii="Times New Roman" w:eastAsia="Times New Roman" w:hAnsi="Times New Roman" w:cs="Times New Roman"/>
      <w:sz w:val="20"/>
      <w:szCs w:val="20"/>
    </w:rPr>
  </w:style>
  <w:style w:type="paragraph" w:customStyle="1" w:styleId="NumPar1">
    <w:name w:val="NumPar 1"/>
    <w:basedOn w:val="Heading1"/>
    <w:next w:val="Text1"/>
    <w:pPr>
      <w:keepNext w:val="0"/>
      <w:spacing w:before="0"/>
      <w:outlineLvl w:val="9"/>
    </w:pPr>
    <w:rPr>
      <w:b w:val="0"/>
      <w:smallCaps w:val="0"/>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ListParagraph">
    <w:name w:val="List Paragraph"/>
    <w:aliases w:val="GSA List,Dot pt,F5 List Paragraph,List Paragraph Char Char Char,Indicator Text,Numbered Para 1,Bullet 1,Bullet Points,List Paragraph2,MAIN CONTENT,Normal numbered,List Paragraph1,Issue Action POC,3,POCG Table Text,No Spacing1"/>
    <w:basedOn w:val="Normal"/>
    <w:link w:val="ListParagraphChar"/>
    <w:uiPriority w:val="34"/>
    <w:qFormat/>
    <w:pPr>
      <w:spacing w:after="0"/>
      <w:ind w:left="720"/>
      <w:contextualSpacing/>
      <w:jc w:val="left"/>
    </w:pPr>
    <w:rPr>
      <w:rFonts w:asciiTheme="minorHAnsi" w:eastAsiaTheme="minorEastAsia" w:hAnsiTheme="minorHAnsi" w:cstheme="minorBidi"/>
      <w:szCs w:val="24"/>
    </w:rPr>
  </w:style>
  <w:style w:type="character" w:customStyle="1" w:styleId="ListParagraphChar">
    <w:name w:val="List Paragraph Char"/>
    <w:aliases w:val="GSA List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Pr>
      <w:rFonts w:eastAsiaTheme="minorEastAsia"/>
      <w:sz w:val="24"/>
      <w:szCs w:val="24"/>
      <w:lang w:val="bg-BG"/>
    </w:rPr>
  </w:style>
  <w:style w:type="character" w:styleId="FootnoteReference">
    <w:name w:val="footnote reference"/>
    <w:aliases w:val="Footnote Reference/,EN Footnote Text,EN Footnote Reference,fr,Footnote symbol,Odwołanie przypisu,Footnote Reference_LVL6,Footnote Reference_LVL61,Footnote Reference_LVL62,Footnote Reference_LVL63,Footnote Reference_LVL64"/>
    <w:basedOn w:val="DefaultParagraphFont"/>
    <w:link w:val="FootnotesymbolCarZchn"/>
    <w:uiPriority w:val="99"/>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rFonts w:asciiTheme="minorHAnsi" w:eastAsiaTheme="minorHAnsi" w:hAnsiTheme="minorHAnsi" w:cstheme="minorBidi"/>
      <w:sz w:val="22"/>
      <w:szCs w:val="22"/>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AddressTL">
    <w:name w:val="AddressTL"/>
    <w:basedOn w:val="Normal"/>
    <w:next w:val="Normal"/>
    <w:pPr>
      <w:spacing w:after="720"/>
      <w:jc w:val="left"/>
    </w:pPr>
  </w:style>
  <w:style w:type="character" w:styleId="Hyperlink">
    <w:name w:val="Hyperlink"/>
    <w:basedOn w:val="DefaultParagraphFont"/>
    <w:uiPriority w:val="99"/>
    <w:semiHidden/>
    <w:unhideWhenUsed/>
    <w:rPr>
      <w:strike w:val="0"/>
      <w:dstrike w:val="0"/>
      <w:color w:val="325595"/>
      <w:u w:val="none"/>
      <w:effect w:val="none"/>
    </w:rPr>
  </w:style>
  <w:style w:type="paragraph" w:customStyle="1" w:styleId="Address">
    <w:name w:val="Address"/>
    <w:basedOn w:val="Normal"/>
    <w:pPr>
      <w:spacing w:after="0"/>
      <w:jc w:val="left"/>
    </w:pPr>
  </w:style>
  <w:style w:type="paragraph" w:styleId="ListBullet5">
    <w:name w:val="List Bullet 5"/>
    <w:basedOn w:val="Normal"/>
    <w:autoRedefine/>
    <w:pPr>
      <w:numPr>
        <w:numId w:val="4"/>
      </w:numPr>
    </w:pPr>
  </w:style>
  <w:style w:type="paragraph" w:styleId="ListBullet">
    <w:name w:val="List Bullet"/>
    <w:basedOn w:val="Normal"/>
    <w:uiPriority w:val="99"/>
    <w:unhideWhenUsed/>
    <w:pPr>
      <w:numPr>
        <w:numId w:val="6"/>
      </w:numPr>
      <w:contextualSpacing/>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1">
    <w:name w:val="p1"/>
    <w:basedOn w:val="Normal"/>
    <w:pPr>
      <w:spacing w:after="0"/>
      <w:jc w:val="left"/>
    </w:pPr>
    <w:rPr>
      <w:rFonts w:ascii=".SF UI Text" w:eastAsiaTheme="minorHAnsi" w:hAnsi=".SF UI Text"/>
      <w:color w:val="454545"/>
      <w:sz w:val="26"/>
      <w:szCs w:val="26"/>
    </w:rPr>
  </w:style>
  <w:style w:type="paragraph" w:customStyle="1" w:styleId="p2">
    <w:name w:val="p2"/>
    <w:basedOn w:val="Normal"/>
    <w:pPr>
      <w:spacing w:after="0"/>
      <w:jc w:val="left"/>
    </w:pPr>
    <w:rPr>
      <w:rFonts w:ascii=".SF UI Text" w:eastAsiaTheme="minorHAnsi" w:hAnsi=".SF UI Text"/>
      <w:color w:val="454545"/>
      <w:sz w:val="26"/>
      <w:szCs w:val="26"/>
    </w:rPr>
  </w:style>
  <w:style w:type="character" w:customStyle="1" w:styleId="s1">
    <w:name w:val="s1"/>
    <w:basedOn w:val="DefaultParagraphFont"/>
    <w:rPr>
      <w:rFonts w:ascii=".SFUIText-Regular" w:hAnsi=".SFUIText-Regular" w:hint="default"/>
      <w:b w:val="0"/>
      <w:bCs w:val="0"/>
      <w:i w:val="0"/>
      <w:iCs w:val="0"/>
      <w:sz w:val="34"/>
      <w:szCs w:val="34"/>
    </w:rPr>
  </w:style>
  <w:style w:type="character" w:customStyle="1" w:styleId="apple-converted-space">
    <w:name w:val="apple-converted-spa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tgc">
    <w:name w:val="_tgc"/>
    <w:basedOn w:val="DefaultParagraphFont"/>
  </w:style>
  <w:style w:type="paragraph" w:styleId="DocumentMap">
    <w:name w:val="Document Map"/>
    <w:basedOn w:val="Normal"/>
    <w:link w:val="DocumentMapChar"/>
    <w:uiPriority w:val="99"/>
    <w:semiHidden/>
    <w:unhideWhenUsed/>
    <w:pPr>
      <w:spacing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Pr>
      <w:rFonts w:ascii="Lucida Grande" w:eastAsia="Times New Roman" w:hAnsi="Lucida Grande" w:cs="Lucida Grande"/>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8"/>
      </w:numPr>
      <w:spacing w:before="240"/>
      <w:outlineLvl w:val="0"/>
    </w:pPr>
    <w:rPr>
      <w:b/>
      <w:smallCaps/>
    </w:rPr>
  </w:style>
  <w:style w:type="paragraph" w:styleId="Heading2">
    <w:name w:val="heading 2"/>
    <w:basedOn w:val="Normal"/>
    <w:next w:val="Text2"/>
    <w:link w:val="Heading2Char"/>
    <w:qFormat/>
    <w:pPr>
      <w:keepNext/>
      <w:numPr>
        <w:ilvl w:val="1"/>
        <w:numId w:val="8"/>
      </w:numPr>
      <w:outlineLvl w:val="1"/>
    </w:pPr>
    <w:rPr>
      <w:b/>
    </w:rPr>
  </w:style>
  <w:style w:type="paragraph" w:styleId="Heading3">
    <w:name w:val="heading 3"/>
    <w:basedOn w:val="Normal"/>
    <w:next w:val="Normal"/>
    <w:link w:val="Heading3Char"/>
    <w:qFormat/>
    <w:pPr>
      <w:keepNext/>
      <w:numPr>
        <w:ilvl w:val="2"/>
        <w:numId w:val="8"/>
      </w:numPr>
      <w:outlineLvl w:val="2"/>
    </w:pPr>
    <w:rPr>
      <w:i/>
    </w:rPr>
  </w:style>
  <w:style w:type="paragraph" w:styleId="Heading4">
    <w:name w:val="heading 4"/>
    <w:basedOn w:val="Normal"/>
    <w:next w:val="Normal"/>
    <w:link w:val="Heading4Char"/>
    <w:qFormat/>
    <w:pPr>
      <w:keepNext/>
      <w:numPr>
        <w:ilvl w:val="3"/>
        <w:numId w:val="8"/>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FootnoteText">
    <w:name w:val="footnote text"/>
    <w:basedOn w:val="Normal"/>
    <w:pPr>
      <w:ind w:left="357" w:hanging="357"/>
    </w:pPr>
    <w:rPr>
      <w:sz w:val="20"/>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 Char Char Char1,ft Char"/>
    <w:basedOn w:val="DefaultParagraphFont"/>
    <w:rPr>
      <w:rFonts w:ascii="Times New Roman" w:eastAsia="Times New Roman" w:hAnsi="Times New Roman" w:cs="Times New Roman"/>
      <w:sz w:val="20"/>
      <w:szCs w:val="20"/>
    </w:rPr>
  </w:style>
  <w:style w:type="paragraph" w:customStyle="1" w:styleId="NumPar1">
    <w:name w:val="NumPar 1"/>
    <w:basedOn w:val="Heading1"/>
    <w:next w:val="Text1"/>
    <w:pPr>
      <w:keepNext w:val="0"/>
      <w:spacing w:before="0"/>
      <w:outlineLvl w:val="9"/>
    </w:pPr>
    <w:rPr>
      <w:b w:val="0"/>
      <w:smallCaps w:val="0"/>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paragraph" w:styleId="ListParagraph">
    <w:name w:val="List Paragraph"/>
    <w:aliases w:val="GSA List,Dot pt,F5 List Paragraph,List Paragraph Char Char Char,Indicator Text,Numbered Para 1,Bullet 1,Bullet Points,List Paragraph2,MAIN CONTENT,Normal numbered,List Paragraph1,Issue Action POC,3,POCG Table Text,No Spacing1"/>
    <w:basedOn w:val="Normal"/>
    <w:link w:val="ListParagraphChar"/>
    <w:uiPriority w:val="34"/>
    <w:qFormat/>
    <w:pPr>
      <w:spacing w:after="0"/>
      <w:ind w:left="720"/>
      <w:contextualSpacing/>
      <w:jc w:val="left"/>
    </w:pPr>
    <w:rPr>
      <w:rFonts w:asciiTheme="minorHAnsi" w:eastAsiaTheme="minorEastAsia" w:hAnsiTheme="minorHAnsi" w:cstheme="minorBidi"/>
      <w:szCs w:val="24"/>
    </w:rPr>
  </w:style>
  <w:style w:type="character" w:customStyle="1" w:styleId="ListParagraphChar">
    <w:name w:val="List Paragraph Char"/>
    <w:aliases w:val="GSA List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Pr>
      <w:rFonts w:eastAsiaTheme="minorEastAsia"/>
      <w:sz w:val="24"/>
      <w:szCs w:val="24"/>
      <w:lang w:val="bg-BG"/>
    </w:rPr>
  </w:style>
  <w:style w:type="character" w:styleId="FootnoteReference">
    <w:name w:val="footnote reference"/>
    <w:aliases w:val="Footnote Reference/,EN Footnote Text,EN Footnote Reference,fr,Footnote symbol,Odwołanie przypisu,Footnote Reference_LVL6,Footnote Reference_LVL61,Footnote Reference_LVL62,Footnote Reference_LVL63,Footnote Reference_LVL64"/>
    <w:basedOn w:val="DefaultParagraphFont"/>
    <w:link w:val="FootnotesymbolCarZchn"/>
    <w:uiPriority w:val="99"/>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rFonts w:asciiTheme="minorHAnsi" w:eastAsiaTheme="minorHAnsi" w:hAnsiTheme="minorHAnsi" w:cstheme="minorBidi"/>
      <w:sz w:val="22"/>
      <w:szCs w:val="22"/>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AddressTL">
    <w:name w:val="AddressTL"/>
    <w:basedOn w:val="Normal"/>
    <w:next w:val="Normal"/>
    <w:pPr>
      <w:spacing w:after="720"/>
      <w:jc w:val="left"/>
    </w:pPr>
  </w:style>
  <w:style w:type="character" w:styleId="Hyperlink">
    <w:name w:val="Hyperlink"/>
    <w:basedOn w:val="DefaultParagraphFont"/>
    <w:uiPriority w:val="99"/>
    <w:semiHidden/>
    <w:unhideWhenUsed/>
    <w:rPr>
      <w:strike w:val="0"/>
      <w:dstrike w:val="0"/>
      <w:color w:val="325595"/>
      <w:u w:val="none"/>
      <w:effect w:val="none"/>
    </w:rPr>
  </w:style>
  <w:style w:type="paragraph" w:customStyle="1" w:styleId="Address">
    <w:name w:val="Address"/>
    <w:basedOn w:val="Normal"/>
    <w:pPr>
      <w:spacing w:after="0"/>
      <w:jc w:val="left"/>
    </w:pPr>
  </w:style>
  <w:style w:type="paragraph" w:styleId="ListBullet5">
    <w:name w:val="List Bullet 5"/>
    <w:basedOn w:val="Normal"/>
    <w:autoRedefine/>
    <w:pPr>
      <w:numPr>
        <w:numId w:val="4"/>
      </w:numPr>
    </w:pPr>
  </w:style>
  <w:style w:type="paragraph" w:styleId="ListBullet">
    <w:name w:val="List Bullet"/>
    <w:basedOn w:val="Normal"/>
    <w:uiPriority w:val="99"/>
    <w:unhideWhenUsed/>
    <w:pPr>
      <w:numPr>
        <w:numId w:val="6"/>
      </w:numPr>
      <w:contextualSpacing/>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1">
    <w:name w:val="p1"/>
    <w:basedOn w:val="Normal"/>
    <w:pPr>
      <w:spacing w:after="0"/>
      <w:jc w:val="left"/>
    </w:pPr>
    <w:rPr>
      <w:rFonts w:ascii=".SF UI Text" w:eastAsiaTheme="minorHAnsi" w:hAnsi=".SF UI Text"/>
      <w:color w:val="454545"/>
      <w:sz w:val="26"/>
      <w:szCs w:val="26"/>
    </w:rPr>
  </w:style>
  <w:style w:type="paragraph" w:customStyle="1" w:styleId="p2">
    <w:name w:val="p2"/>
    <w:basedOn w:val="Normal"/>
    <w:pPr>
      <w:spacing w:after="0"/>
      <w:jc w:val="left"/>
    </w:pPr>
    <w:rPr>
      <w:rFonts w:ascii=".SF UI Text" w:eastAsiaTheme="minorHAnsi" w:hAnsi=".SF UI Text"/>
      <w:color w:val="454545"/>
      <w:sz w:val="26"/>
      <w:szCs w:val="26"/>
    </w:rPr>
  </w:style>
  <w:style w:type="character" w:customStyle="1" w:styleId="s1">
    <w:name w:val="s1"/>
    <w:basedOn w:val="DefaultParagraphFont"/>
    <w:rPr>
      <w:rFonts w:ascii=".SFUIText-Regular" w:hAnsi=".SFUIText-Regular" w:hint="default"/>
      <w:b w:val="0"/>
      <w:bCs w:val="0"/>
      <w:i w:val="0"/>
      <w:iCs w:val="0"/>
      <w:sz w:val="34"/>
      <w:szCs w:val="34"/>
    </w:rPr>
  </w:style>
  <w:style w:type="character" w:customStyle="1" w:styleId="apple-converted-space">
    <w:name w:val="apple-converted-spa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tgc">
    <w:name w:val="_tgc"/>
    <w:basedOn w:val="DefaultParagraphFont"/>
  </w:style>
  <w:style w:type="paragraph" w:styleId="DocumentMap">
    <w:name w:val="Document Map"/>
    <w:basedOn w:val="Normal"/>
    <w:link w:val="DocumentMapChar"/>
    <w:uiPriority w:val="99"/>
    <w:semiHidden/>
    <w:unhideWhenUsed/>
    <w:pPr>
      <w:spacing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Pr>
      <w:rFonts w:ascii="Lucida Grande" w:eastAsia="Times New Roman" w:hAnsi="Lucida Grande" w:cs="Lucida Grande"/>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93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bg/ALL/?uri=CELEX:32007L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5399F-4C75-4E0C-A41F-2088FDB6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5676</Words>
  <Characters>35250</Characters>
  <Application>Microsoft Office Word</Application>
  <DocSecurity>0</DocSecurity>
  <Lines>587</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2016-10-24T10:00:00Z</dcterms:created>
  <dcterms:modified xsi:type="dcterms:W3CDTF">2016-10-28T07:53:00Z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