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519A0BD40C24354B37D01B691384269" style="width:450.75pt;height:40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rPr>
            </w:pPr>
            <w:bookmarkStart w:id="1" w:name="_GoBack"/>
            <w:bookmarkEnd w:id="1"/>
            <w:r>
              <w:rPr>
                <w:rFonts w:ascii="Tahoma" w:hAnsi="Tahoma"/>
                <w:b/>
                <w:noProof/>
              </w:rPr>
              <w:lastRenderedPageBreak/>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rPr>
            </w:pPr>
            <w:r>
              <w:rPr>
                <w:rFonts w:ascii="Tahoma" w:hAnsi="Tahoma"/>
                <w:noProof/>
                <w:color w:val="FFFFFF" w:themeColor="background1"/>
              </w:rPr>
              <w:t>Оценка на въздействието относно обща консолидирана основа за облагане с корпоративен данък (ОКООКД)</w:t>
            </w: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A. Потребност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b/>
                <w:noProof/>
              </w:rPr>
              <w:t xml:space="preserve">Защо? Какъв е разглежданият проблем? </w:t>
            </w:r>
            <w:r>
              <w:rPr>
                <w:rFonts w:ascii="Tahoma" w:hAnsi="Tahoma"/>
                <w:noProof/>
                <w:u w:val="single"/>
              </w:rPr>
              <w:t>Максимум 11 реда</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Понастоящем 28-те различни системи за корпоративно данъчно облагане в ЕС създават възможности за агресивно данъчно планиране, което се отразява отрицателно на данъчната дисциплина и данъчната справедливост. Това данъчно разнообразие води и до високи разходи за привеждане в съответствие и възпрепятства инвестициите. Повечето национални данъчни системи благоприятстват финансирането чрез дълг, вместо чрез собствен капитал, което увеличава равнището на дълга и засяга устойчивостта на икономиката. Освен това предприятията в ЕС не инвестират достатъчно в научноизследователска и развойна дейност в сравнение с други големи икономики.</w:t>
            </w:r>
          </w:p>
          <w:p>
            <w:pPr>
              <w:jc w:val="both"/>
              <w:rPr>
                <w:rFonts w:ascii="Arial" w:hAnsi="Arial" w:cs="Arial"/>
                <w:noProof/>
              </w:rPr>
            </w:pPr>
          </w:p>
          <w:p>
            <w:pPr>
              <w:jc w:val="both"/>
              <w:rPr>
                <w:rFonts w:ascii="Arial" w:hAnsi="Arial" w:cs="Arial"/>
                <w:noProof/>
              </w:rPr>
            </w:pPr>
            <w:r>
              <w:rPr>
                <w:rFonts w:ascii="Arial" w:hAnsi="Arial"/>
                <w:noProof/>
              </w:rPr>
              <w:t xml:space="preserve">Тези проблеми се дължат на интернационализацията на предприятията и на все по-мобилните печалби. В същото време данъчната основа се определя на национално равнище. Това създава стимули за държавите членки едностранно да защитят данъчните си основи и да привлекат мобилни печалби. Ключовите проблеми не може да бъдат решени с едностранни действия. Те увеличават сложността, допълнително възпрепятстват развитието на единния пазар и добавят пречки пред инвестициите и растежа. </w:t>
            </w:r>
          </w:p>
          <w:p>
            <w:pPr>
              <w:jc w:val="both"/>
              <w:rPr>
                <w:rFonts w:ascii="Arial" w:hAnsi="Arial" w:cs="Arial"/>
                <w:noProof/>
              </w:rPr>
            </w:pPr>
          </w:p>
          <w:p>
            <w:pPr>
              <w:jc w:val="both"/>
              <w:rPr>
                <w:rFonts w:ascii="Arial" w:hAnsi="Arial" w:cs="Arial"/>
                <w:noProof/>
              </w:rPr>
            </w:pPr>
            <w:r>
              <w:rPr>
                <w:rFonts w:ascii="Arial" w:hAnsi="Arial"/>
                <w:noProof/>
              </w:rPr>
              <w:t>Предприятията са засегнати по различни начини. По-специално тези, които извършват трансгранична дейност, са обременени с по-високи разходи за привеждане в съответствие, като се има предвид, че предприятията, които се занимават с агресивно данъчно планиране, се облагодетелстват за сметка на други предприятия и граждани.</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Какво се очаква да бъде постигнато с тази инициатива? </w:t>
            </w:r>
            <w:r>
              <w:rPr>
                <w:rFonts w:ascii="Tahoma" w:hAnsi="Tahoma"/>
                <w:noProof/>
                <w:u w:val="single"/>
              </w:rPr>
              <w:t>Максимум 8 реда</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Важна цел е да се засили справедливостта на данъчната система, като се обърне внимание на някои от основните причини за избягването на корпоративното данъчно облагане. Това би следвало i) да намали значително трансграничното данъчно планиране, ii) да създаде по-голяма равнопоставеност между национални и многонационални дружества, iii) да гарантира, че предприятията плащат справедлив дял от данъчната тежест, и iv) да повиши общата данъчна дисциплина. В същото време инициативата има за цел да стимулира растежа и инвестициите чрез i) опростяване на сложната система за корпоративно данъчно облагане в ЕС, за да се намалят разходите за привеждане в съответствие и административната тежест; ii) премахване на рисковете от двойно данъчно облагане и други съществуващи форми на дискриминация и ограничения, iii) намаляване на деформациите на инвестиционните и финансовите решения, които се пораждат от данъчната система; и iv) създаване на стимули за инвестиране в рамките на ЕС, наред с другото чрез подкрепа на научноизследователската и развойната дейност и на иновациите.</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Каква е добавената стойност от действията на равнището на ЕС?</w:t>
            </w:r>
            <w:r>
              <w:rPr>
                <w:rFonts w:ascii="Tahoma" w:hAnsi="Tahoma"/>
                <w:noProof/>
              </w:rPr>
              <w:t xml:space="preserve"> </w:t>
            </w:r>
            <w:r>
              <w:rPr>
                <w:rFonts w:ascii="Tahoma" w:hAnsi="Tahoma"/>
                <w:noProof/>
                <w:u w:val="single"/>
              </w:rPr>
              <w:t>Максимум 7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Добавената стойност за ЕС е в допълнителното подобряване на капиталовата мобилност в рамките на Съюза чрез намаляване на разходите за привеждане в съответствие и данъчните пречки при трансграничните дейности. В същото време действието на ЕС създава условия дейностите на многонационалните дружества в рамките на ЕС да не избягват справедливо равнище на данъчно облагане. Общ подход по въпроса за данъчната основа  за облагане с корпоративен данък в ЕС способства за възстановяване на връзката между данъчното облагане и създаването на стойност.  </w:t>
            </w:r>
          </w:p>
          <w:p>
            <w:pPr>
              <w:jc w:val="both"/>
              <w:rPr>
                <w:rFonts w:ascii="Arial" w:hAnsi="Arial" w:cs="Arial"/>
                <w:noProof/>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Какви законодателни и незаконодателни варианти на политика са разгледани?</w:t>
            </w:r>
            <w:r>
              <w:rPr>
                <w:rFonts w:ascii="Tahoma" w:hAnsi="Tahoma"/>
                <w:noProof/>
              </w:rPr>
              <w:t xml:space="preserve"> </w:t>
            </w:r>
            <w:r>
              <w:rPr>
                <w:rFonts w:ascii="Tahoma" w:hAnsi="Tahoma"/>
                <w:b/>
                <w:noProof/>
              </w:rPr>
              <w:t xml:space="preserve">Има ли предпочитан вариант? Защо? </w:t>
            </w:r>
            <w:r>
              <w:rPr>
                <w:rFonts w:ascii="Tahoma" w:hAnsi="Tahoma"/>
                <w:noProof/>
                <w:u w:val="single"/>
              </w:rPr>
              <w:t>Максимум 14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Основният вариант на политика, който беше разгледан, е предложение за обща консолидирана основа за облагане с корпоративен данък. Трябва да се реши ключов въпрос, свързан с обхвата на тази данъчна основа, а именно за кого ще се прилага тя. Основните варианти, които бяха разгледани, са ОКООКД да стане задължителна за всички дружества или само за група от дружества. Бяха разгледани различни варианти за преодоляване на преференциалното третиране на дълга, предизвикано от действащите данъчни системи. Възможни са две основни действия: да се предостави право на приспадане на разходите както за дълговото финансиране, така и за финансирането чрез собствен капитал, или да не се разреши нито едното, нито другото. По отношение на стимулите за научноизследователската и развойната дейност, при основните варианти се обмисля данъчнo облекчениe за разходи за инвестиции за научноизследователска и развойна дейност с различен размер. </w:t>
            </w:r>
          </w:p>
          <w:p>
            <w:pPr>
              <w:jc w:val="both"/>
              <w:rPr>
                <w:rFonts w:ascii="Arial" w:hAnsi="Arial" w:cs="Arial"/>
                <w:noProof/>
              </w:rPr>
            </w:pPr>
          </w:p>
          <w:p>
            <w:pPr>
              <w:jc w:val="both"/>
              <w:rPr>
                <w:rFonts w:ascii="Arial" w:hAnsi="Arial" w:cs="Arial"/>
                <w:noProof/>
              </w:rPr>
            </w:pPr>
            <w:r>
              <w:rPr>
                <w:rFonts w:ascii="Arial" w:hAnsi="Arial"/>
                <w:noProof/>
              </w:rPr>
              <w:t xml:space="preserve">Оценяването на различните варианти  доведе до предпочитания вариант: задължителна ОКООКД за големи дружества, които имат право на данъчно облекчение за растеж и инвестиции и данъчно облекчение за разходи за научноизследователска и развойна дейност. Данъчното облекчение за растеж и инвестиции позволява приспадания за разходи за финансиране чрез дълг и собствен капитал в рамките на определени граници, за да се избегнат злоупотреби и данъчно планиране. Данъчното облекчение за разходи за научноизследователска и развойна дейност има за цел най-малкото да запази съществуващите данъчни стимули за разходи за научноизследователска и развойна дейност. Анализът показва, че ОКООКД има ясни предимства в сравнение с алтернативния вариант, който не включва действие. </w:t>
            </w:r>
          </w:p>
          <w:p>
            <w:pPr>
              <w:jc w:val="both"/>
              <w:rPr>
                <w:rFonts w:ascii="Arial" w:hAnsi="Arial" w:cs="Arial"/>
                <w:noProof/>
              </w:rPr>
            </w:pPr>
          </w:p>
        </w:tc>
      </w:tr>
      <w:tr>
        <w:tc>
          <w:tcPr>
            <w:tcW w:w="10188" w:type="dxa"/>
            <w:shd w:val="clear" w:color="auto" w:fill="CCCCCC"/>
          </w:tcPr>
          <w:p>
            <w:pPr>
              <w:spacing w:before="60"/>
              <w:jc w:val="both"/>
              <w:rPr>
                <w:rFonts w:ascii="Tahoma" w:hAnsi="Tahoma" w:cs="Tahoma"/>
                <w:noProof/>
              </w:rPr>
            </w:pPr>
            <w:r>
              <w:rPr>
                <w:rFonts w:ascii="Tahoma" w:hAnsi="Tahoma"/>
                <w:b/>
                <w:noProof/>
              </w:rPr>
              <w:t xml:space="preserve">Кой какъв вариант подкрепя? </w:t>
            </w:r>
            <w:r>
              <w:rPr>
                <w:rFonts w:ascii="Tahoma" w:hAnsi="Tahoma"/>
                <w:noProof/>
                <w:u w:val="single"/>
              </w:rPr>
              <w:t>Максимум 7 реда</w:t>
            </w:r>
            <w:r>
              <w:rPr>
                <w:rFonts w:ascii="Tahoma" w:hAnsi="Tahoma"/>
                <w:noProof/>
              </w:rPr>
              <w:t xml:space="preserve"> </w:t>
            </w:r>
          </w:p>
        </w:tc>
      </w:tr>
      <w:tr>
        <w:tc>
          <w:tcPr>
            <w:tcW w:w="10188" w:type="dxa"/>
            <w:shd w:val="clear" w:color="auto" w:fill="auto"/>
          </w:tcPr>
          <w:p>
            <w:pPr>
              <w:jc w:val="both"/>
              <w:rPr>
                <w:rFonts w:ascii="Arial" w:hAnsi="Arial" w:cs="Arial"/>
                <w:noProof/>
              </w:rPr>
            </w:pPr>
            <w:r>
              <w:rPr>
                <w:rFonts w:ascii="Arial" w:hAnsi="Arial"/>
                <w:noProof/>
              </w:rPr>
              <w:t>Подновяването на предложението за ОКООКД получи широка подкрепа от всички групи заинтересовани страни. Подкрепата е най-висока сред НПО, частните лица и други участници в консултацията, но и сред предприятията, по-специално сред малките и средните предприятия (МСП). НПО, МСП и частните лица също силно подкрепят предложението ОКООКД да стане (частично) задължителна ; големите предприятия са против това. От друга страна, ясно изразено мнозинство от всички заинтересовани страни подкрепя създаването на механизъм за присъединяване към системата на ОКООКД по собствено желание. Както малките, така и големите дружества също силно подкрепиха благоприятното третиране на научноизследователската и развойната дейност и предложението за мерки за преодоляване на преференциалното третиране на дълга спрямо собствения капитал чрез предоставяне на данъчно облекчение за финансиране на собствен капитал при подновяването на предложението.</w:t>
            </w:r>
          </w:p>
          <w:p>
            <w:pPr>
              <w:jc w:val="both"/>
              <w:rPr>
                <w:rFonts w:ascii="Arial" w:hAnsi="Arial" w:cs="Arial"/>
                <w:noProof/>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В. Въздействия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b/>
                <w:noProof/>
              </w:rPr>
              <w:t>Какви са ползите от предпочитания вариант (ако има такъв, в противен случай — от основните варианти)?</w:t>
            </w:r>
            <w:r>
              <w:rPr>
                <w:rFonts w:ascii="Tahoma" w:hAnsi="Tahoma"/>
                <w:noProof/>
              </w:rPr>
              <w:t xml:space="preserve"> </w:t>
            </w:r>
            <w:r>
              <w:rPr>
                <w:rFonts w:ascii="Tahoma" w:hAnsi="Tahoma"/>
                <w:noProof/>
                <w:u w:val="single"/>
              </w:rPr>
              <w:t>Максимум 12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Очаква се прилагането на предпочитания вариант да доведе до повишаване на справедливостта на данъчните системи и до създаване на равни условия на конкуренция в резултат на ефективното премахване на стимулите за агресивно данъчно планиране в ЕС. Това би спомогнало да се гарантира, че корпорациите ще плащат полагащия им се дял от данъчната тежест и ще подобри дисциплината на данъкоплатците. Освен това трансграничните пречки пред данъчното облагане ще бъдат ефективно отстранени в рамките на ЕС. Предоставянето на данъчно облекчение за растеж и инвестиции, което поставя финансирането чрез собствен капитал и дълговото финансиране при съпоставими условия, позволява да се намалят деформациите при финансовите решения на дружествата. Данъчните стимули за научноизследователската и развойната дейност са не само запазени, но са и подобрени и оптимизирани. </w:t>
            </w:r>
          </w:p>
          <w:p>
            <w:pPr>
              <w:jc w:val="both"/>
              <w:rPr>
                <w:rFonts w:ascii="Arial" w:hAnsi="Arial" w:cs="Arial"/>
                <w:noProof/>
              </w:rPr>
            </w:pPr>
          </w:p>
          <w:p>
            <w:pPr>
              <w:jc w:val="both"/>
              <w:rPr>
                <w:rFonts w:ascii="Arial" w:hAnsi="Arial" w:cs="Arial"/>
                <w:noProof/>
              </w:rPr>
            </w:pPr>
            <w:r>
              <w:rPr>
                <w:rFonts w:ascii="Arial" w:hAnsi="Arial"/>
                <w:noProof/>
              </w:rPr>
              <w:t>Очакваните икономически ползи от предложението са положителни. ОКООКД с данъчно облекчение за растеж и инвестиции ще доведе до повишаване на инвестициите и заетостта съответно с до 3,4 % и 0,6 %. Като цяло растежът ще се увеличи с до 1,2 %. Разходите за привеждане в съответствие се очаква да спаднат (10 % за времето за привеждане в съответствие и 2,5 % за разходите за привеждане в съответствие). Разходите за учредяването на дъщерно дружество ще намалеят с до 67 %, което ще улесни дружествата (включително МСП), които искат да извършват дейност в чужбина.</w:t>
            </w:r>
          </w:p>
          <w:p>
            <w:pPr>
              <w:jc w:val="both"/>
              <w:rPr>
                <w:rFonts w:ascii="Arial" w:hAnsi="Arial" w:cs="Arial"/>
                <w:noProof/>
              </w:rPr>
            </w:pPr>
          </w:p>
          <w:p>
            <w:pPr>
              <w:jc w:val="both"/>
              <w:rPr>
                <w:rFonts w:ascii="Arial" w:hAnsi="Arial" w:cs="Arial"/>
                <w:noProof/>
              </w:rPr>
            </w:pPr>
            <w:r>
              <w:rPr>
                <w:rFonts w:ascii="Arial" w:hAnsi="Arial"/>
                <w:noProof/>
              </w:rPr>
              <w:t>Не са налице съответни въздействия върху околната среда, очаквани от предпочитания вариант. Социалните въздействия също ще бъдат ограничени.</w:t>
            </w:r>
          </w:p>
          <w:p>
            <w:pPr>
              <w:jc w:val="both"/>
              <w:rPr>
                <w:rFonts w:ascii="Arial" w:hAnsi="Arial" w:cs="Arial"/>
                <w:i/>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Какви са разходите за предпочитания вариант (ако има такъв, в противен случай — разходите за основните варианти)?</w:t>
            </w:r>
            <w:r>
              <w:rPr>
                <w:rFonts w:ascii="Tahoma" w:hAnsi="Tahoma"/>
                <w:noProof/>
              </w:rPr>
              <w:t xml:space="preserve"> </w:t>
            </w:r>
            <w:r>
              <w:rPr>
                <w:rFonts w:ascii="Tahoma" w:hAnsi="Tahoma"/>
                <w:noProof/>
                <w:u w:val="single"/>
              </w:rPr>
              <w:t>Максимум 12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i/>
                <w:noProof/>
              </w:rPr>
            </w:pPr>
            <w:r>
              <w:rPr>
                <w:rFonts w:ascii="Arial" w:hAnsi="Arial"/>
                <w:noProof/>
              </w:rPr>
              <w:t>Разходите за предложението по отношение на националните данъчни приходи зависят от начина, по който държавите членки ще коригират своите данъчни ставки спрямо новата данъчна основа, от размера на данъчното облекчение за растеж и инвестиции и на стимулите за научноизследователска и развойна дейност. Разходите за привеждане в съответствие и административните разходи за предпочитания вариант са свързани главно с прехода от съществуващите системи за корпоративно данъчно облагане към ОКООКД. Тези разходи обаче се правят само еднократно. Няма количествени данни относно разходите на данъчните органи за управление на конкретен данък или за въвеждане на нов. Причината е, че повечето данъчни администрации (и съответните информационни системи) вече се организират по функции, а не по видове данъци.</w:t>
            </w:r>
          </w:p>
          <w:p>
            <w:pPr>
              <w:jc w:val="both"/>
              <w:rPr>
                <w:rFonts w:ascii="Arial" w:hAnsi="Arial" w:cs="Arial"/>
                <w:i/>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Какви ще са последиците за предприятията, МСП и микропредприятията? </w:t>
            </w:r>
            <w:r>
              <w:rPr>
                <w:rFonts w:ascii="Tahoma" w:hAnsi="Tahoma"/>
                <w:noProof/>
                <w:u w:val="single"/>
              </w:rPr>
              <w:t>Максимум 8 реда</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За големите предприятия, които попадат в обхвата на задължителния елемент, общата основа ще бъде задължителна. Това е значителна промяна за дружествата и създава по-добри условия на равнопоставеност в рамките на ЕС.  На всички други дружества предложението за ОКООКД ще даде възможност за включване. Поради това за тях няма да има непосредствено въздействие, ако те изберат да продължат да използват националната система. В случаите, в които дружествата решат да прилагат ОКООКД, те считат, че системата носи ползи, например под формата на по-ниски разходи за привеждане в съответствие и по-голяма ефективност. Следователно, ефектът е положителен.</w:t>
            </w:r>
          </w:p>
          <w:p>
            <w:pPr>
              <w:jc w:val="both"/>
              <w:rPr>
                <w:rFonts w:ascii="Arial" w:hAnsi="Arial" w:cs="Arial"/>
                <w:noProof/>
              </w:rPr>
            </w:pPr>
          </w:p>
        </w:tc>
      </w:tr>
      <w:tr>
        <w:tc>
          <w:tcPr>
            <w:tcW w:w="10188" w:type="dxa"/>
            <w:tcBorders>
              <w:bottom w:val="single" w:sz="4" w:space="0" w:color="auto"/>
            </w:tcBorders>
            <w:shd w:val="clear" w:color="auto" w:fill="E6E6E6"/>
          </w:tcPr>
          <w:p>
            <w:pPr>
              <w:spacing w:before="60"/>
              <w:jc w:val="both"/>
              <w:rPr>
                <w:rFonts w:ascii="Tahoma" w:hAnsi="Tahoma" w:cs="Tahoma"/>
                <w:b/>
                <w:i/>
                <w:noProof/>
              </w:rPr>
            </w:pPr>
            <w:r>
              <w:rPr>
                <w:b/>
                <w:noProof/>
              </w:rPr>
              <w:t>Ще има ли значително въздействие върху националните бюджети и администрации?</w:t>
            </w:r>
            <w:r>
              <w:rPr>
                <w:rFonts w:ascii="Tahoma" w:hAnsi="Tahoma"/>
                <w:noProof/>
              </w:rPr>
              <w:t xml:space="preserve"> </w:t>
            </w:r>
            <w:r>
              <w:rPr>
                <w:rFonts w:ascii="Tahoma" w:hAnsi="Tahoma"/>
                <w:noProof/>
                <w:u w:val="single"/>
              </w:rPr>
              <w:t>Максимум 4 реда</w:t>
            </w:r>
          </w:p>
        </w:tc>
      </w:tr>
      <w:tr>
        <w:tc>
          <w:tcPr>
            <w:tcW w:w="10188" w:type="dxa"/>
            <w:shd w:val="clear" w:color="auto" w:fill="auto"/>
          </w:tcPr>
          <w:p>
            <w:pPr>
              <w:jc w:val="both"/>
              <w:rPr>
                <w:rFonts w:ascii="Arial" w:hAnsi="Arial" w:cs="Arial"/>
                <w:noProof/>
              </w:rPr>
            </w:pPr>
            <w:r>
              <w:rPr>
                <w:rFonts w:ascii="Arial" w:hAnsi="Arial"/>
                <w:noProof/>
              </w:rPr>
              <w:t>Преките ефекти върху данъчните приходи са два. На първо място, ОКООКД променя правилата за изчисляване на данъчната основа в сравнение с националните системи, като я намалява в повечето държави членки. На второ място, за изчисляване на данъчната основа на многонационална група на държавите членки ще се предостави формула, която е показател за икономическата дейност, основана на труда, капитала и продажбите. Трудно е обаче да се предвидят точните окончателни промени, тъй като въздействието върху приходите зависи и от начина, по който държавите членки ще коригират данъчните ставки в отговор на новата данъчна основа, както и от промяната в поведението от страна на дружествата.</w:t>
            </w:r>
          </w:p>
          <w:p>
            <w:pPr>
              <w:jc w:val="both"/>
              <w:rPr>
                <w:rFonts w:ascii="Arial" w:hAnsi="Arial" w:cs="Arial"/>
                <w:noProof/>
              </w:rPr>
            </w:pPr>
          </w:p>
          <w:p>
            <w:pPr>
              <w:jc w:val="both"/>
              <w:rPr>
                <w:rFonts w:ascii="Arial" w:hAnsi="Arial" w:cs="Arial"/>
                <w:noProof/>
              </w:rPr>
            </w:pPr>
            <w:r>
              <w:rPr>
                <w:rFonts w:ascii="Arial" w:hAnsi="Arial"/>
                <w:noProof/>
              </w:rPr>
              <w:t>Като цяло паралелното прилагане на национални данъчни системи и ОКООКД ще доведе до повишаване на тежестта за данъчните администрации, тъй като ще трябва да бъдат управлявани два отделни, макар и много сходни, данъка. При все това, многонационалните дружества ще подават само една данъчна декларация в ЕС, което пък води до намаляване на данъчната тежест за данъчните администрации. Също така, администрирането на документацията по трансферното ценообразуване ще бъде значително намалено.</w:t>
            </w:r>
          </w:p>
          <w:p>
            <w:pPr>
              <w:jc w:val="both"/>
              <w:rPr>
                <w:rFonts w:ascii="Arial" w:hAnsi="Arial" w:cs="Arial"/>
                <w:noProof/>
              </w:rPr>
            </w:pP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Ще има ли други значими въздействия?</w:t>
            </w:r>
            <w:r>
              <w:rPr>
                <w:rFonts w:ascii="Tahoma" w:hAnsi="Tahoma"/>
                <w:noProof/>
              </w:rPr>
              <w:t xml:space="preserve"> </w:t>
            </w:r>
            <w:r>
              <w:rPr>
                <w:rFonts w:ascii="Tahoma" w:hAnsi="Tahoma"/>
                <w:noProof/>
                <w:u w:val="single"/>
              </w:rPr>
              <w:t xml:space="preserve">Максимум 6 реда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ОКООКД ще спомогне пазарът на ЕС да стане по-привлекателен за инвестиции. Когато инвестират в ЕС инвеститорите няма да анализират и оценяват разликите и разпоредбите на 28 данъчни системи, което ще доведе до намаляване на разходите за привеждане в съответствие и административните разходи. Освен това данъчната основа, наред със стимулите за научноизследователска и развойна дейност и данъчно облекчение за растеж и инвестиции, ще увеличи конкурентоспособността на ЕС, тъй като инвестициите ще бъдат с по-висока възвращаемост, а икономиката — по-устойчива.</w:t>
            </w:r>
          </w:p>
          <w:p>
            <w:pPr>
              <w:jc w:val="both"/>
              <w:rPr>
                <w:rFonts w:ascii="Arial" w:hAnsi="Arial" w:cs="Arial"/>
                <w:noProof/>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rPr>
            </w:pPr>
            <w:r>
              <w:rPr>
                <w:rFonts w:ascii="Tahoma" w:hAnsi="Tahoma"/>
                <w:b/>
                <w:noProof/>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 xml:space="preserve">Кога ще се извърши прегледът на политиката? </w:t>
            </w:r>
            <w:r>
              <w:rPr>
                <w:rFonts w:ascii="Tahoma" w:hAnsi="Tahoma"/>
                <w:noProof/>
                <w:u w:val="single"/>
              </w:rPr>
              <w:t>Максимум 4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Tahoma" w:hAnsi="Tahoma" w:cs="Tahoma"/>
                <w:b/>
                <w:noProof/>
              </w:rPr>
            </w:pPr>
            <w:r>
              <w:rPr>
                <w:rFonts w:ascii="Tahoma" w:hAnsi="Tahoma"/>
                <w:noProof/>
              </w:rPr>
              <w:t>Политиката ще бъде оценена три до пет години след началото на нейното прилагане. Този срок изглежда разумен, като се има предвид, че дружествата и данъчните администрации се нуждаят от време, за да се адаптират и да предоставят съответните данни.</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320" w:bottom="1417" w:left="112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426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D519A0BD40C24354B37D01B691384269"/>
    <w:docVar w:name="LW_CROSSREFERENCE" w:val="{COM(2016) 683 final}_x000b_{SWD(2016) 341 final}"/>
    <w:docVar w:name="LW_DocType" w:val="NORMAL"/>
    <w:docVar w:name="LW_EMISSION" w:val="25.10.2016"/>
    <w:docVar w:name="LW_EMISSION_ISODATE" w:val="2016-10-25"/>
    <w:docVar w:name="LW_EMISSION_LOCATION" w:val="STR"/>
    <w:docVar w:name="LW_EMISSION_PREFIX" w:val="Страсбург,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6?\u1073?\u1097?\u1072? \u1086?\u1089?\u1085?\u1086?\u1074?\u1072? \u1079?\u1072? \u1086?\u1073?\u1083?\u1072?\u1075?\u1072?\u1085?\u1077? \u1089? \u1082?\u1086?\u1088?\u1087?\u1086?\u1088?\u1072?\u1090?\u1080?\u1074?\u1077?\u1085? \u1076?\u1072?\u1085?\u1098?\u1082? \u1080? \u1086?\u1073?\u1097?\u1072? \u1082?\u1086?\u1085?\u1089?\u1086?\u1083?\u1080?\u1076?\u1080?\u1088?\u1072?\u1085?\u1072? \u1086?\u1089?\u1085?\u1086?\u1074?\u1072? \u1079?\u1072? \u1086?\u1073?\u1083?\u1072?\u1075?\u1072?\u1085?\u1077? \u1089? \u1082?\u1086?\u1088?\u1087?\u1086?\u1088?\u1072?\u1090?\u1080?\u1074?\u1077?\u1085? \u1076?\u1072?\u1085?\u1098?\u1082? (\u1054?\u1050?\u1054?\u1054?\u1050?\u1044?)"/>
    <w:docVar w:name="LW_PART_NBR" w:val="1"/>
    <w:docVar w:name="LW_PART_NBR_TOTAL" w:val="1"/>
    <w:docVar w:name="LW_REF.INST.NEW" w:val="SWD"/>
    <w:docVar w:name="LW_REF.INST.NEW_ADOPTED" w:val="final"/>
    <w:docVar w:name="LW_REF.INST.NEW_TEXT" w:val="(2016) 342"/>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44?\u1080?\u1088?\u1077?\u1082?\u1090?\u1080?\u1074?\u1072?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68DE-552F-4E5A-9453-8F15B1BF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1699</Words>
  <Characters>10229</Characters>
  <Application>Microsoft Office Word</Application>
  <DocSecurity>0</DocSecurity>
  <Lines>162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2016-10-14T07:11:00Z</dcterms:created>
  <dcterms:modified xsi:type="dcterms:W3CDTF">2016-11-04T14:16:00Z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