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F8" w:rsidRDefault="00A67739" w:rsidP="00A67739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4" type="#_x0000_t75" alt="F3D09FBF242444E5B3BA6612DE261ACE" style="width:451.5pt;height:411pt">
            <v:imagedata r:id="rId12" o:title=""/>
          </v:shape>
        </w:pict>
      </w:r>
    </w:p>
    <w:p w:rsidR="00473FF8" w:rsidRDefault="00473FF8">
      <w:pPr>
        <w:rPr>
          <w:noProof/>
        </w:rPr>
        <w:sectPr w:rsidR="00473FF8" w:rsidSect="00A6773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473FF8" w:rsidRDefault="00A67739">
      <w:pPr>
        <w:pStyle w:val="Typedudocument"/>
        <w:rPr>
          <w:noProof/>
        </w:rPr>
      </w:pPr>
      <w:bookmarkStart w:id="1" w:name="_Toc285188014"/>
      <w:r>
        <w:rPr>
          <w:noProof/>
        </w:rPr>
        <w:lastRenderedPageBreak/>
        <w:t>ПРИЛОЖЕНИЯ</w:t>
      </w:r>
    </w:p>
    <w:p w:rsidR="00473FF8" w:rsidRDefault="00A67739">
      <w:pPr>
        <w:pStyle w:val="Accompagnant"/>
        <w:rPr>
          <w:noProof/>
        </w:rPr>
      </w:pPr>
      <w:r>
        <w:rPr>
          <w:noProof/>
        </w:rPr>
        <w:t>към</w:t>
      </w:r>
    </w:p>
    <w:p w:rsidR="00473FF8" w:rsidRDefault="00A67739">
      <w:pPr>
        <w:pStyle w:val="Typeacteprincipal"/>
        <w:rPr>
          <w:noProof/>
        </w:rPr>
      </w:pPr>
      <w:r>
        <w:rPr>
          <w:noProof/>
        </w:rPr>
        <w:t xml:space="preserve">Предложение за ДИРЕКТИВА НА СЪВЕТА </w:t>
      </w:r>
    </w:p>
    <w:p w:rsidR="00473FF8" w:rsidRDefault="00A67739">
      <w:pPr>
        <w:pStyle w:val="Objetacteprincipal"/>
        <w:rPr>
          <w:noProof/>
        </w:rPr>
      </w:pPr>
      <w:r>
        <w:rPr>
          <w:noProof/>
        </w:rPr>
        <w:t xml:space="preserve">относно механизми за разрешаване на спорове във </w:t>
      </w:r>
      <w:r>
        <w:rPr>
          <w:noProof/>
        </w:rPr>
        <w:t>връзка с двойното данъчно облагане в Европейския съюз</w:t>
      </w:r>
    </w:p>
    <w:p w:rsidR="00473FF8" w:rsidRDefault="00A67739">
      <w:pPr>
        <w:pStyle w:val="ManualHeading1"/>
        <w:spacing w:after="240"/>
        <w:rPr>
          <w:noProof/>
        </w:rPr>
      </w:pPr>
      <w:r>
        <w:rPr>
          <w:noProof/>
        </w:rPr>
        <w:t>ПРИЛОЖЕНИЕ I</w:t>
      </w:r>
      <w:bookmarkEnd w:id="1"/>
    </w:p>
    <w:p w:rsidR="00473FF8" w:rsidRDefault="00A67739">
      <w:pPr>
        <w:spacing w:after="0"/>
        <w:rPr>
          <w:b/>
          <w:noProof/>
        </w:rPr>
      </w:pPr>
      <w:r>
        <w:rPr>
          <w:b/>
          <w:noProof/>
          <w:snapToGrid w:val="0"/>
        </w:rPr>
        <w:t>Belgien / Belgique</w:t>
      </w:r>
    </w:p>
    <w:p w:rsidR="00473FF8" w:rsidRDefault="00A67739">
      <w:pPr>
        <w:rPr>
          <w:noProof/>
        </w:rPr>
      </w:pPr>
      <w:r>
        <w:rPr>
          <w:noProof/>
        </w:rPr>
        <w:t>impôt des personnes physiques/personenbelasting,</w:t>
      </w:r>
    </w:p>
    <w:p w:rsidR="00473FF8" w:rsidRDefault="00A67739">
      <w:pPr>
        <w:rPr>
          <w:noProof/>
        </w:rPr>
      </w:pPr>
      <w:r>
        <w:rPr>
          <w:noProof/>
        </w:rPr>
        <w:t>impôt des personnes morales/rechtspersonenbelasting,</w:t>
      </w:r>
    </w:p>
    <w:p w:rsidR="00473FF8" w:rsidRDefault="00A67739">
      <w:pPr>
        <w:rPr>
          <w:noProof/>
        </w:rPr>
      </w:pPr>
      <w:r>
        <w:rPr>
          <w:noProof/>
        </w:rPr>
        <w:t>impôt des non-résidents/belasting der niet-verblijfhouders</w:t>
      </w:r>
    </w:p>
    <w:p w:rsidR="00473FF8" w:rsidRDefault="00A67739">
      <w:pPr>
        <w:rPr>
          <w:noProof/>
        </w:rPr>
      </w:pPr>
      <w:r>
        <w:rPr>
          <w:noProof/>
        </w:rPr>
        <w:t>impôt des</w:t>
      </w:r>
      <w:r>
        <w:rPr>
          <w:noProof/>
        </w:rPr>
        <w:t xml:space="preserve"> sociétés/vennootschapsbelasting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България</w:t>
      </w:r>
    </w:p>
    <w:p w:rsidR="00473FF8" w:rsidRDefault="00A67739">
      <w:pPr>
        <w:rPr>
          <w:noProof/>
        </w:rPr>
      </w:pPr>
      <w:r>
        <w:rPr>
          <w:noProof/>
        </w:rPr>
        <w:t>данък върху доходите на физическите лица</w:t>
      </w:r>
    </w:p>
    <w:p w:rsidR="00473FF8" w:rsidRDefault="00A67739">
      <w:pPr>
        <w:rPr>
          <w:noProof/>
        </w:rPr>
      </w:pPr>
      <w:r>
        <w:rPr>
          <w:noProof/>
        </w:rPr>
        <w:t>корпоративен данък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Česká republika</w:t>
      </w:r>
    </w:p>
    <w:p w:rsidR="00473FF8" w:rsidRDefault="00A67739">
      <w:pPr>
        <w:rPr>
          <w:noProof/>
        </w:rPr>
      </w:pPr>
      <w:r>
        <w:rPr>
          <w:noProof/>
        </w:rPr>
        <w:t>Daň z příjmů fyzických osob</w:t>
      </w:r>
    </w:p>
    <w:p w:rsidR="00473FF8" w:rsidRDefault="00A67739">
      <w:pPr>
        <w:rPr>
          <w:noProof/>
        </w:rPr>
      </w:pPr>
      <w:r>
        <w:rPr>
          <w:noProof/>
        </w:rPr>
        <w:t>Daň z příjmů právnických osob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Danmark</w:t>
      </w:r>
    </w:p>
    <w:p w:rsidR="00473FF8" w:rsidRDefault="00A67739">
      <w:pPr>
        <w:spacing w:after="0"/>
        <w:rPr>
          <w:noProof/>
        </w:rPr>
      </w:pPr>
      <w:r>
        <w:rPr>
          <w:noProof/>
        </w:rPr>
        <w:t>selskabsskat</w:t>
      </w:r>
    </w:p>
    <w:p w:rsidR="00473FF8" w:rsidRDefault="00A67739">
      <w:pPr>
        <w:spacing w:after="0"/>
        <w:rPr>
          <w:noProof/>
        </w:rPr>
      </w:pPr>
      <w:r>
        <w:rPr>
          <w:noProof/>
        </w:rPr>
        <w:t>indkomstskat til staten</w:t>
      </w:r>
    </w:p>
    <w:p w:rsidR="00473FF8" w:rsidRDefault="00A67739">
      <w:pPr>
        <w:spacing w:after="0"/>
        <w:rPr>
          <w:noProof/>
        </w:rPr>
      </w:pPr>
      <w:r>
        <w:rPr>
          <w:noProof/>
        </w:rPr>
        <w:t>kommunale indkomstskat</w:t>
      </w:r>
    </w:p>
    <w:p w:rsidR="00473FF8" w:rsidRDefault="00A67739">
      <w:pPr>
        <w:spacing w:after="0"/>
        <w:rPr>
          <w:noProof/>
        </w:rPr>
      </w:pPr>
      <w:r>
        <w:rPr>
          <w:noProof/>
        </w:rPr>
        <w:t>amtskommunal</w:t>
      </w:r>
      <w:r>
        <w:rPr>
          <w:noProof/>
        </w:rPr>
        <w:t xml:space="preserve"> indkomstskat</w:t>
      </w:r>
    </w:p>
    <w:p w:rsidR="00473FF8" w:rsidRDefault="00A67739">
      <w:pPr>
        <w:rPr>
          <w:noProof/>
        </w:rPr>
      </w:pPr>
      <w:r>
        <w:rPr>
          <w:noProof/>
        </w:rPr>
        <w:t>saerlig indkomstskat</w:t>
      </w:r>
    </w:p>
    <w:p w:rsidR="00473FF8" w:rsidRDefault="00A67739">
      <w:pPr>
        <w:rPr>
          <w:noProof/>
        </w:rPr>
      </w:pPr>
      <w:r>
        <w:rPr>
          <w:noProof/>
        </w:rPr>
        <w:t>selskabsskat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Deutschland</w:t>
      </w:r>
    </w:p>
    <w:p w:rsidR="00473FF8" w:rsidRDefault="00A67739">
      <w:pPr>
        <w:rPr>
          <w:noProof/>
        </w:rPr>
      </w:pPr>
      <w:r>
        <w:rPr>
          <w:noProof/>
        </w:rPr>
        <w:t>Einkommensteuer</w:t>
      </w:r>
    </w:p>
    <w:p w:rsidR="00473FF8" w:rsidRDefault="00A67739">
      <w:pPr>
        <w:rPr>
          <w:noProof/>
        </w:rPr>
      </w:pPr>
      <w:r>
        <w:rPr>
          <w:noProof/>
        </w:rPr>
        <w:t>Körperschaftsteuer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Eesti</w:t>
      </w:r>
    </w:p>
    <w:p w:rsidR="00473FF8" w:rsidRDefault="00A67739">
      <w:pPr>
        <w:rPr>
          <w:noProof/>
        </w:rPr>
      </w:pPr>
      <w:r>
        <w:rPr>
          <w:noProof/>
        </w:rPr>
        <w:t>Tulumaks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Éire/Ireland</w:t>
      </w:r>
    </w:p>
    <w:p w:rsidR="00473FF8" w:rsidRDefault="00A67739">
      <w:pPr>
        <w:rPr>
          <w:noProof/>
        </w:rPr>
      </w:pPr>
      <w:r>
        <w:rPr>
          <w:noProof/>
        </w:rPr>
        <w:t>Income Tax</w:t>
      </w:r>
    </w:p>
    <w:p w:rsidR="00473FF8" w:rsidRDefault="00A67739">
      <w:pPr>
        <w:rPr>
          <w:noProof/>
        </w:rPr>
      </w:pPr>
      <w:r>
        <w:rPr>
          <w:noProof/>
        </w:rPr>
        <w:t>Corporation Tax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Ελλάδα</w:t>
      </w:r>
    </w:p>
    <w:p w:rsidR="00473FF8" w:rsidRDefault="00A67739">
      <w:pPr>
        <w:rPr>
          <w:noProof/>
        </w:rPr>
      </w:pPr>
      <w:r>
        <w:rPr>
          <w:noProof/>
        </w:rPr>
        <w:lastRenderedPageBreak/>
        <w:t>Φόρος εισοδήματος φυσικών προσώπων</w:t>
      </w:r>
    </w:p>
    <w:p w:rsidR="00473FF8" w:rsidRDefault="00A67739">
      <w:pPr>
        <w:rPr>
          <w:noProof/>
        </w:rPr>
      </w:pPr>
      <w:r>
        <w:rPr>
          <w:noProof/>
        </w:rPr>
        <w:t>Φόρος εισοδήματος νομικών προσώπων (κερδοσκοπικού χαρακτήρα)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España</w:t>
      </w:r>
    </w:p>
    <w:p w:rsidR="00473FF8" w:rsidRDefault="00A67739">
      <w:pPr>
        <w:rPr>
          <w:noProof/>
        </w:rPr>
      </w:pPr>
      <w:r>
        <w:rPr>
          <w:noProof/>
        </w:rPr>
        <w:t>Impuesto sobre la renta de las personas fisicas</w:t>
      </w:r>
    </w:p>
    <w:p w:rsidR="00473FF8" w:rsidRDefault="00A67739">
      <w:pPr>
        <w:rPr>
          <w:noProof/>
        </w:rPr>
      </w:pPr>
      <w:r>
        <w:rPr>
          <w:noProof/>
        </w:rPr>
        <w:t>Impuesto sobre sociedades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France</w:t>
      </w:r>
    </w:p>
    <w:p w:rsidR="00473FF8" w:rsidRDefault="00A67739">
      <w:pPr>
        <w:rPr>
          <w:noProof/>
        </w:rPr>
      </w:pPr>
      <w:r>
        <w:rPr>
          <w:noProof/>
        </w:rPr>
        <w:t>Impôt sur le revenu</w:t>
      </w:r>
    </w:p>
    <w:p w:rsidR="00473FF8" w:rsidRDefault="00A67739">
      <w:pPr>
        <w:rPr>
          <w:noProof/>
        </w:rPr>
      </w:pPr>
      <w:r>
        <w:rPr>
          <w:noProof/>
        </w:rPr>
        <w:t>Ιmpôt sur les sociétés</w:t>
      </w:r>
    </w:p>
    <w:p w:rsidR="00473FF8" w:rsidRDefault="00A67739">
      <w:pPr>
        <w:rPr>
          <w:b/>
          <w:noProof/>
        </w:rPr>
      </w:pPr>
      <w:r>
        <w:rPr>
          <w:rFonts w:ascii="Arial" w:hAnsi="Arial"/>
          <w:b/>
          <w:noProof/>
          <w:color w:val="252525"/>
          <w:sz w:val="21"/>
          <w:shd w:val="clear" w:color="auto" w:fill="FFFFFF"/>
        </w:rPr>
        <w:t>Republika Hrvatska</w:t>
      </w:r>
    </w:p>
    <w:p w:rsidR="00473FF8" w:rsidRDefault="00A67739">
      <w:pPr>
        <w:rPr>
          <w:noProof/>
        </w:rPr>
      </w:pPr>
      <w:r>
        <w:rPr>
          <w:noProof/>
        </w:rPr>
        <w:t>Porez na dohodak</w:t>
      </w:r>
    </w:p>
    <w:p w:rsidR="00473FF8" w:rsidRDefault="00A67739">
      <w:pPr>
        <w:rPr>
          <w:noProof/>
        </w:rPr>
      </w:pPr>
      <w:r>
        <w:rPr>
          <w:noProof/>
        </w:rPr>
        <w:t>Porez na dobit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Italia</w:t>
      </w:r>
    </w:p>
    <w:p w:rsidR="00473FF8" w:rsidRDefault="00A67739">
      <w:pPr>
        <w:rPr>
          <w:noProof/>
        </w:rPr>
      </w:pPr>
      <w:r>
        <w:rPr>
          <w:noProof/>
        </w:rPr>
        <w:t>Imposta sul reddito delle persone fisiche</w:t>
      </w:r>
    </w:p>
    <w:p w:rsidR="00473FF8" w:rsidRDefault="00A67739">
      <w:pPr>
        <w:rPr>
          <w:noProof/>
        </w:rPr>
      </w:pPr>
      <w:r>
        <w:rPr>
          <w:noProof/>
        </w:rPr>
        <w:t>Imposta sul reddito delle</w:t>
      </w:r>
      <w:r>
        <w:rPr>
          <w:noProof/>
        </w:rPr>
        <w:t xml:space="preserve"> società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Κύπρος</w:t>
      </w:r>
    </w:p>
    <w:p w:rsidR="00473FF8" w:rsidRDefault="00A67739">
      <w:pPr>
        <w:rPr>
          <w:noProof/>
        </w:rPr>
      </w:pPr>
      <w:r>
        <w:rPr>
          <w:noProof/>
        </w:rPr>
        <w:t>Έκτακτη Εισφορά για την Άμυνα της Δημοκρατίας</w:t>
      </w:r>
    </w:p>
    <w:p w:rsidR="00473FF8" w:rsidRDefault="00A67739">
      <w:pPr>
        <w:rPr>
          <w:noProof/>
        </w:rPr>
      </w:pPr>
      <w:r>
        <w:rPr>
          <w:noProof/>
        </w:rPr>
        <w:t>Φόρος Εισοδήματος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Latvija</w:t>
      </w:r>
    </w:p>
    <w:p w:rsidR="00473FF8" w:rsidRDefault="00A67739">
      <w:pPr>
        <w:rPr>
          <w:noProof/>
        </w:rPr>
      </w:pPr>
      <w:r>
        <w:rPr>
          <w:noProof/>
        </w:rPr>
        <w:t>iedzīvotāju ienākuma nodoklis</w:t>
      </w:r>
    </w:p>
    <w:p w:rsidR="00473FF8" w:rsidRDefault="00A67739">
      <w:pPr>
        <w:rPr>
          <w:noProof/>
        </w:rPr>
      </w:pPr>
      <w:r>
        <w:rPr>
          <w:noProof/>
        </w:rPr>
        <w:t>uzņēmumu ienākuma nodoklis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Lietuva</w:t>
      </w:r>
    </w:p>
    <w:p w:rsidR="00473FF8" w:rsidRDefault="00A67739">
      <w:pPr>
        <w:rPr>
          <w:noProof/>
        </w:rPr>
      </w:pPr>
      <w:r>
        <w:rPr>
          <w:noProof/>
        </w:rPr>
        <w:t>Gyventojų pajamų mokestis</w:t>
      </w:r>
    </w:p>
    <w:p w:rsidR="00473FF8" w:rsidRDefault="00A67739">
      <w:pPr>
        <w:rPr>
          <w:noProof/>
        </w:rPr>
      </w:pPr>
      <w:r>
        <w:rPr>
          <w:noProof/>
        </w:rPr>
        <w:t>Pelno mokestis</w:t>
      </w:r>
    </w:p>
    <w:p w:rsidR="00473FF8" w:rsidRDefault="00A67739">
      <w:pPr>
        <w:spacing w:before="240" w:after="0"/>
        <w:rPr>
          <w:b/>
          <w:noProof/>
        </w:rPr>
      </w:pPr>
      <w:r>
        <w:rPr>
          <w:b/>
          <w:noProof/>
        </w:rPr>
        <w:t>Luxembourg</w:t>
      </w:r>
    </w:p>
    <w:p w:rsidR="00473FF8" w:rsidRDefault="00A67739">
      <w:pPr>
        <w:rPr>
          <w:noProof/>
        </w:rPr>
      </w:pPr>
      <w:r>
        <w:rPr>
          <w:noProof/>
        </w:rPr>
        <w:t>impôt sur le revenu des personnes physiques</w:t>
      </w:r>
    </w:p>
    <w:p w:rsidR="00473FF8" w:rsidRDefault="00A67739">
      <w:pPr>
        <w:rPr>
          <w:noProof/>
        </w:rPr>
      </w:pPr>
      <w:r>
        <w:rPr>
          <w:noProof/>
        </w:rPr>
        <w:t>impôt s</w:t>
      </w:r>
      <w:r>
        <w:rPr>
          <w:noProof/>
        </w:rPr>
        <w:t>ur le revenu des collectivités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Magyarország</w:t>
      </w:r>
    </w:p>
    <w:p w:rsidR="00473FF8" w:rsidRDefault="00A67739">
      <w:pPr>
        <w:rPr>
          <w:noProof/>
        </w:rPr>
      </w:pPr>
      <w:r>
        <w:rPr>
          <w:noProof/>
        </w:rPr>
        <w:t>személyi jövedelemadó</w:t>
      </w:r>
    </w:p>
    <w:p w:rsidR="00473FF8" w:rsidRDefault="00A67739">
      <w:pPr>
        <w:rPr>
          <w:noProof/>
        </w:rPr>
      </w:pPr>
      <w:r>
        <w:rPr>
          <w:noProof/>
        </w:rPr>
        <w:t>Társasági adó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Malta</w:t>
      </w:r>
    </w:p>
    <w:p w:rsidR="00473FF8" w:rsidRDefault="00A67739">
      <w:pPr>
        <w:rPr>
          <w:noProof/>
        </w:rPr>
      </w:pPr>
      <w:r>
        <w:rPr>
          <w:noProof/>
        </w:rPr>
        <w:t>Taxxa fuq l-income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Nederland</w:t>
      </w:r>
    </w:p>
    <w:p w:rsidR="00473FF8" w:rsidRDefault="00A67739">
      <w:pPr>
        <w:rPr>
          <w:noProof/>
        </w:rPr>
      </w:pPr>
      <w:r>
        <w:rPr>
          <w:noProof/>
        </w:rPr>
        <w:t>inkomstenbelasting</w:t>
      </w:r>
    </w:p>
    <w:p w:rsidR="00473FF8" w:rsidRDefault="00A67739">
      <w:pPr>
        <w:rPr>
          <w:noProof/>
        </w:rPr>
      </w:pPr>
      <w:r>
        <w:rPr>
          <w:noProof/>
        </w:rPr>
        <w:t>vennootschapsbelasting</w:t>
      </w:r>
    </w:p>
    <w:p w:rsidR="00473FF8" w:rsidRDefault="00A67739">
      <w:pPr>
        <w:spacing w:after="0"/>
        <w:rPr>
          <w:noProof/>
        </w:rPr>
      </w:pPr>
      <w:r>
        <w:rPr>
          <w:b/>
          <w:noProof/>
        </w:rPr>
        <w:t>Österreich</w:t>
      </w:r>
    </w:p>
    <w:p w:rsidR="00473FF8" w:rsidRDefault="00A67739">
      <w:pPr>
        <w:rPr>
          <w:noProof/>
        </w:rPr>
      </w:pPr>
      <w:r>
        <w:rPr>
          <w:noProof/>
        </w:rPr>
        <w:lastRenderedPageBreak/>
        <w:t>Einkommensteuer</w:t>
      </w:r>
    </w:p>
    <w:p w:rsidR="00473FF8" w:rsidRDefault="00A67739">
      <w:pPr>
        <w:rPr>
          <w:noProof/>
        </w:rPr>
      </w:pPr>
      <w:r>
        <w:rPr>
          <w:noProof/>
        </w:rPr>
        <w:t>Körperschaftsteuer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Polska</w:t>
      </w:r>
    </w:p>
    <w:p w:rsidR="00473FF8" w:rsidRDefault="00A67739">
      <w:pPr>
        <w:rPr>
          <w:noProof/>
        </w:rPr>
      </w:pPr>
      <w:r>
        <w:rPr>
          <w:noProof/>
        </w:rPr>
        <w:t>Podatek dochodowy od osób fizycznych</w:t>
      </w:r>
    </w:p>
    <w:p w:rsidR="00473FF8" w:rsidRDefault="00A67739">
      <w:pPr>
        <w:rPr>
          <w:noProof/>
        </w:rPr>
      </w:pPr>
      <w:r>
        <w:rPr>
          <w:noProof/>
        </w:rPr>
        <w:t xml:space="preserve">Podatek </w:t>
      </w:r>
      <w:r>
        <w:rPr>
          <w:noProof/>
        </w:rPr>
        <w:t>dochodowy od osób prawnych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Portugal</w:t>
      </w:r>
    </w:p>
    <w:p w:rsidR="00473FF8" w:rsidRDefault="00A67739">
      <w:pPr>
        <w:rPr>
          <w:noProof/>
        </w:rPr>
      </w:pPr>
      <w:r>
        <w:rPr>
          <w:noProof/>
        </w:rPr>
        <w:t>imposto sobre o rendimento das pessoas singulares</w:t>
      </w:r>
    </w:p>
    <w:p w:rsidR="00473FF8" w:rsidRDefault="00A67739">
      <w:pPr>
        <w:rPr>
          <w:noProof/>
        </w:rPr>
      </w:pPr>
      <w:r>
        <w:rPr>
          <w:noProof/>
        </w:rPr>
        <w:t>imposto sobre o rendimento das pessoas colectivas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România</w:t>
      </w:r>
    </w:p>
    <w:p w:rsidR="00473FF8" w:rsidRDefault="00A67739">
      <w:pPr>
        <w:rPr>
          <w:noProof/>
        </w:rPr>
      </w:pPr>
      <w:r>
        <w:rPr>
          <w:noProof/>
        </w:rPr>
        <w:t>impozitul pe venit</w:t>
      </w:r>
    </w:p>
    <w:p w:rsidR="00473FF8" w:rsidRDefault="00A67739">
      <w:pPr>
        <w:rPr>
          <w:noProof/>
        </w:rPr>
      </w:pPr>
      <w:r>
        <w:rPr>
          <w:noProof/>
        </w:rPr>
        <w:t>impozit pe profit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Slovenija</w:t>
      </w:r>
    </w:p>
    <w:p w:rsidR="00473FF8" w:rsidRDefault="00A67739">
      <w:pPr>
        <w:rPr>
          <w:noProof/>
        </w:rPr>
      </w:pPr>
      <w:r>
        <w:rPr>
          <w:noProof/>
        </w:rPr>
        <w:t>Dohodnina</w:t>
      </w:r>
    </w:p>
    <w:p w:rsidR="00473FF8" w:rsidRDefault="00A67739">
      <w:pPr>
        <w:rPr>
          <w:noProof/>
        </w:rPr>
      </w:pPr>
      <w:r>
        <w:rPr>
          <w:noProof/>
        </w:rPr>
        <w:t>Davek od dobička pravnih oseb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Slovensko</w:t>
      </w:r>
    </w:p>
    <w:p w:rsidR="00473FF8" w:rsidRDefault="00A67739">
      <w:pPr>
        <w:rPr>
          <w:noProof/>
        </w:rPr>
      </w:pPr>
      <w:r>
        <w:rPr>
          <w:noProof/>
        </w:rPr>
        <w:t>Daň z príjmov f</w:t>
      </w:r>
      <w:r>
        <w:rPr>
          <w:noProof/>
        </w:rPr>
        <w:t>yzických osôb</w:t>
      </w:r>
    </w:p>
    <w:p w:rsidR="00473FF8" w:rsidRDefault="00A67739">
      <w:pPr>
        <w:rPr>
          <w:noProof/>
        </w:rPr>
      </w:pPr>
      <w:r>
        <w:rPr>
          <w:noProof/>
        </w:rPr>
        <w:t>Daň z príjmov právnických osôb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Suomi/Finland</w:t>
      </w:r>
    </w:p>
    <w:p w:rsidR="00473FF8" w:rsidRDefault="00A67739">
      <w:pPr>
        <w:rPr>
          <w:noProof/>
        </w:rPr>
      </w:pPr>
      <w:r>
        <w:rPr>
          <w:noProof/>
        </w:rPr>
        <w:t>valtion tuloverot/de statliga inkomstskatterna</w:t>
      </w:r>
    </w:p>
    <w:p w:rsidR="00473FF8" w:rsidRDefault="00A67739">
      <w:pPr>
        <w:rPr>
          <w:noProof/>
        </w:rPr>
      </w:pPr>
      <w:r>
        <w:rPr>
          <w:noProof/>
        </w:rPr>
        <w:t>yhteisöjen tulovero/inkomstskatten för samfund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Sverige</w:t>
      </w:r>
    </w:p>
    <w:p w:rsidR="00473FF8" w:rsidRDefault="00A67739">
      <w:pPr>
        <w:rPr>
          <w:noProof/>
        </w:rPr>
      </w:pPr>
      <w:r>
        <w:rPr>
          <w:noProof/>
        </w:rPr>
        <w:t>statlig inkomstskatt</w:t>
      </w:r>
    </w:p>
    <w:p w:rsidR="00473FF8" w:rsidRDefault="00A67739">
      <w:pPr>
        <w:spacing w:after="0"/>
        <w:rPr>
          <w:b/>
          <w:noProof/>
        </w:rPr>
      </w:pPr>
      <w:r>
        <w:rPr>
          <w:b/>
          <w:noProof/>
        </w:rPr>
        <w:t>United Kingdom</w:t>
      </w:r>
    </w:p>
    <w:p w:rsidR="00473FF8" w:rsidRDefault="00A67739">
      <w:pPr>
        <w:rPr>
          <w:noProof/>
        </w:rPr>
      </w:pPr>
      <w:r>
        <w:rPr>
          <w:noProof/>
        </w:rPr>
        <w:t>Income Tax</w:t>
      </w:r>
    </w:p>
    <w:p w:rsidR="00473FF8" w:rsidRDefault="00A67739">
      <w:pPr>
        <w:rPr>
          <w:noProof/>
        </w:rPr>
      </w:pPr>
      <w:r>
        <w:rPr>
          <w:noProof/>
        </w:rPr>
        <w:t>Corporation Tax</w:t>
      </w:r>
    </w:p>
    <w:p w:rsidR="00473FF8" w:rsidRDefault="00A67739">
      <w:pPr>
        <w:spacing w:before="0" w:after="0"/>
        <w:jc w:val="left"/>
        <w:rPr>
          <w:noProof/>
        </w:rPr>
      </w:pPr>
      <w:r>
        <w:rPr>
          <w:noProof/>
        </w:rPr>
        <w:br w:type="page"/>
      </w:r>
    </w:p>
    <w:p w:rsidR="00473FF8" w:rsidRDefault="00A67739">
      <w:pPr>
        <w:pStyle w:val="ManualHeading1"/>
        <w:spacing w:after="240"/>
        <w:rPr>
          <w:noProof/>
        </w:rPr>
      </w:pPr>
      <w:r>
        <w:rPr>
          <w:noProof/>
        </w:rPr>
        <w:t>ПРИЛОЖЕНИЕ II</w:t>
      </w:r>
    </w:p>
    <w:p w:rsidR="00473FF8" w:rsidRDefault="00A67739">
      <w:pPr>
        <w:spacing w:before="150" w:after="150"/>
        <w:ind w:right="975"/>
        <w:jc w:val="center"/>
        <w:rPr>
          <w:b/>
          <w:smallCaps/>
          <w:noProof/>
          <w:szCs w:val="18"/>
        </w:rPr>
      </w:pPr>
      <w:r>
        <w:rPr>
          <w:b/>
          <w:smallCaps/>
          <w:noProof/>
        </w:rPr>
        <w:t xml:space="preserve">Правилник за дейността на консултативната комисия или комисията за алтернативно разрешаване на спорове </w:t>
      </w:r>
    </w:p>
    <w:p w:rsidR="00473FF8" w:rsidRDefault="00473FF8">
      <w:pPr>
        <w:spacing w:before="150" w:after="150"/>
        <w:ind w:right="975"/>
        <w:jc w:val="center"/>
        <w:rPr>
          <w:noProof/>
          <w:szCs w:val="18"/>
        </w:rPr>
      </w:pPr>
    </w:p>
    <w:p w:rsidR="00473FF8" w:rsidRDefault="00A67739">
      <w:pPr>
        <w:pStyle w:val="Heading1"/>
        <w:numPr>
          <w:ilvl w:val="0"/>
          <w:numId w:val="13"/>
        </w:numPr>
        <w:rPr>
          <w:noProof/>
        </w:rPr>
      </w:pPr>
      <w:r>
        <w:rPr>
          <w:noProof/>
        </w:rPr>
        <w:t xml:space="preserve"> Обща информация</w: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</w:rPr>
        <w:t xml:space="preserve">Наименование на страните: </w:t>
      </w:r>
    </w:p>
    <w:p w:rsidR="00473FF8" w:rsidRDefault="00473FF8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</w:rPr>
        <w:t>Държава членка на пребиваване или установяване:</w:t>
      </w:r>
    </w:p>
    <w:p w:rsidR="00473FF8" w:rsidRDefault="00473FF8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</w:rPr>
        <w:t>Пълен адрес и данни за контакт на лицето за връзка за стр</w:t>
      </w:r>
      <w:r>
        <w:rPr>
          <w:noProof/>
        </w:rPr>
        <w:t>аните (включително телефонен номер и адрес на електронната поща):</w:t>
      </w:r>
    </w:p>
    <w:p w:rsidR="00473FF8" w:rsidRDefault="00473FF8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</w:rPr>
        <w:t>Имена и данни на консултанта на страните:</w:t>
      </w:r>
    </w:p>
    <w:p w:rsidR="00473FF8" w:rsidRDefault="00A67739">
      <w:pPr>
        <w:pStyle w:val="Heading1"/>
        <w:rPr>
          <w:noProof/>
        </w:rPr>
      </w:pPr>
      <w:r>
        <w:rPr>
          <w:noProof/>
        </w:rPr>
        <w:t>Състав на консултативната комисията или комисията за алтернативно разрешаване на спорове</w:t>
      </w:r>
    </w:p>
    <w:p w:rsidR="00473FF8" w:rsidRDefault="00A67739">
      <w:pPr>
        <w:pStyle w:val="Heading2"/>
        <w:rPr>
          <w:noProof/>
          <w:szCs w:val="18"/>
        </w:rPr>
      </w:pPr>
      <w:r>
        <w:rPr>
          <w:noProof/>
        </w:rPr>
        <w:t>Формуляр:</w:t>
      </w:r>
    </w:p>
    <w:p w:rsidR="00473FF8" w:rsidRDefault="00A67739">
      <w:pPr>
        <w:ind w:left="850"/>
        <w:rPr>
          <w:noProof/>
        </w:rPr>
      </w:pPr>
      <w:r>
        <w:rPr>
          <w:noProof/>
        </w:rPr>
        <w:sym w:font="Wingdings" w:char="F0A8"/>
      </w:r>
      <w:r>
        <w:rPr>
          <w:b/>
          <w:noProof/>
        </w:rPr>
        <w:t>Консултативна комисия</w:t>
      </w:r>
      <w:r>
        <w:rPr>
          <w:noProof/>
        </w:rPr>
        <w:t xml:space="preserve"> </w:t>
      </w:r>
    </w:p>
    <w:p w:rsidR="00473FF8" w:rsidRDefault="00A67739">
      <w:pPr>
        <w:ind w:left="850"/>
        <w:jc w:val="left"/>
        <w:rPr>
          <w:i/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</w:t>
      </w:r>
      <w:r>
        <w:rPr>
          <w:b/>
          <w:noProof/>
        </w:rPr>
        <w:t xml:space="preserve">Комисия за </w:t>
      </w:r>
      <w:r>
        <w:rPr>
          <w:b/>
          <w:noProof/>
        </w:rPr>
        <w:t>алтернативно разрешаване на спорове</w:t>
      </w:r>
      <w:r>
        <w:rPr>
          <w:i/>
          <w:noProof/>
        </w:rPr>
        <w:t>, моля, уточнете (помирение, медиация, друго): _________________</w:t>
      </w:r>
    </w:p>
    <w:p w:rsidR="00473FF8" w:rsidRDefault="00473FF8">
      <w:pPr>
        <w:ind w:left="850"/>
        <w:rPr>
          <w:i/>
          <w:noProof/>
        </w:rPr>
      </w:pPr>
    </w:p>
    <w:p w:rsidR="00473FF8" w:rsidRDefault="00A67739">
      <w:pPr>
        <w:ind w:left="850"/>
        <w:rPr>
          <w:b/>
          <w:noProof/>
        </w:rPr>
      </w:pPr>
      <w:r>
        <w:rPr>
          <w:b/>
          <w:noProof/>
        </w:rPr>
        <w:t>Брой членове:</w:t>
      </w:r>
    </w:p>
    <w:p w:rsidR="00473FF8" w:rsidRDefault="00A67739">
      <w:pPr>
        <w:pStyle w:val="ListDash2"/>
        <w:numPr>
          <w:ilvl w:val="0"/>
          <w:numId w:val="6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председател</w:t>
      </w:r>
    </w:p>
    <w:p w:rsidR="00473FF8" w:rsidRDefault="00A67739">
      <w:pPr>
        <w:pStyle w:val="ListDash2"/>
        <w:numPr>
          <w:ilvl w:val="0"/>
          <w:numId w:val="6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___ компетентни независими лица </w:t>
      </w:r>
      <w:r>
        <w:rPr>
          <w:i/>
          <w:noProof/>
        </w:rPr>
        <w:t>(посочва се четен брой)</w:t>
      </w:r>
    </w:p>
    <w:p w:rsidR="00473FF8" w:rsidRDefault="00A67739">
      <w:pPr>
        <w:pStyle w:val="ListDash2"/>
        <w:numPr>
          <w:ilvl w:val="0"/>
          <w:numId w:val="6"/>
        </w:numPr>
        <w:spacing w:after="360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___ представители на компетентните органи </w:t>
      </w:r>
      <w:r>
        <w:rPr>
          <w:i/>
          <w:noProof/>
        </w:rPr>
        <w:t>(максимум 4, т.е. 2-ма пр</w:t>
      </w:r>
      <w:r>
        <w:rPr>
          <w:i/>
          <w:noProof/>
        </w:rPr>
        <w:t>едставители на всеки компетентен орган, който брой може да бъде намален до 2)</w:t>
      </w:r>
    </w:p>
    <w:p w:rsidR="00473FF8" w:rsidRDefault="00A67739">
      <w:pPr>
        <w:pStyle w:val="Heading2"/>
        <w:rPr>
          <w:noProof/>
        </w:rPr>
      </w:pPr>
      <w:r>
        <w:rPr>
          <w:rStyle w:val="Heading2Char"/>
          <w:b/>
          <w:noProof/>
        </w:rPr>
        <w:t>Подробни данни за членовете и информация за връзка</w:t>
      </w:r>
      <w:r>
        <w:rPr>
          <w:noProof/>
        </w:rPr>
        <w:t xml:space="preserve"> </w:t>
      </w:r>
      <w:r>
        <w:rPr>
          <w:i/>
          <w:noProof/>
        </w:rPr>
        <w:t>(към настоящия правилник се прилагат име на лицето за връзка, пълен пощенски адрес, адрес на електронната поща и телефонен номе</w:t>
      </w:r>
      <w:r>
        <w:rPr>
          <w:i/>
          <w:noProof/>
        </w:rPr>
        <w:t>р, автобиографии и квалификации на независимите лица.</w:t>
      </w:r>
      <w:r>
        <w:rPr>
          <w:i/>
          <w:noProof/>
          <w:sz w:val="20"/>
        </w:rPr>
        <w:t xml:space="preserve"> </w:t>
      </w:r>
      <w:r>
        <w:rPr>
          <w:i/>
          <w:noProof/>
        </w:rPr>
        <w:t>В приложените автобиографии следва да бъдат включени конкретни данни относно независимостта и опита)</w:t>
      </w:r>
      <w:r>
        <w:rPr>
          <w:noProof/>
        </w:rPr>
        <w:t>:</w:t>
      </w:r>
    </w:p>
    <w:p w:rsidR="00473FF8" w:rsidRDefault="00A67739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</w:rPr>
        <w:t>Председател:</w:t>
      </w:r>
    </w:p>
    <w:p w:rsidR="00473FF8" w:rsidRDefault="00A67739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26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27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697" w:right="975" w:firstLine="153"/>
        <w:rPr>
          <w:i/>
          <w:noProof/>
          <w:sz w:val="20"/>
          <w:szCs w:val="18"/>
        </w:rPr>
      </w:pPr>
      <w:r>
        <w:rPr>
          <w:i/>
          <w:noProof/>
          <w:sz w:val="20"/>
        </w:rPr>
        <w:t>Гражданство: ______________________ Място на пребиваване: _______________________</w:t>
      </w:r>
    </w:p>
    <w:p w:rsidR="00473FF8" w:rsidRDefault="00473FF8">
      <w:pPr>
        <w:pStyle w:val="ListParagraph"/>
        <w:spacing w:before="150" w:after="150"/>
        <w:ind w:left="567" w:right="975"/>
        <w:rPr>
          <w:noProof/>
          <w:szCs w:val="18"/>
        </w:rPr>
      </w:pPr>
    </w:p>
    <w:p w:rsidR="00473FF8" w:rsidRDefault="00A67739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</w:rPr>
        <w:t>Независимо лице (назначено от _______________):</w:t>
      </w:r>
    </w:p>
    <w:p w:rsidR="00473FF8" w:rsidRDefault="00A67739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28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29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697" w:right="975" w:firstLine="153"/>
        <w:rPr>
          <w:i/>
          <w:noProof/>
          <w:sz w:val="20"/>
          <w:szCs w:val="18"/>
        </w:rPr>
      </w:pPr>
      <w:r>
        <w:rPr>
          <w:i/>
          <w:noProof/>
          <w:sz w:val="20"/>
        </w:rPr>
        <w:t>Гражданство: ______________________ Място на пребиваване: _______________________</w:t>
      </w:r>
    </w:p>
    <w:p w:rsidR="00473FF8" w:rsidRDefault="00473FF8">
      <w:pPr>
        <w:pStyle w:val="ListParagraph"/>
        <w:spacing w:before="150" w:after="150"/>
        <w:ind w:left="567" w:right="975"/>
        <w:rPr>
          <w:noProof/>
          <w:szCs w:val="18"/>
        </w:rPr>
      </w:pPr>
    </w:p>
    <w:p w:rsidR="00473FF8" w:rsidRDefault="00A67739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</w:rPr>
        <w:t>Независимо лице (назначено от _______________):</w:t>
      </w:r>
    </w:p>
    <w:p w:rsidR="00473FF8" w:rsidRDefault="00A67739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0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1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697" w:right="975" w:firstLine="153"/>
        <w:rPr>
          <w:i/>
          <w:noProof/>
          <w:sz w:val="20"/>
          <w:szCs w:val="18"/>
        </w:rPr>
      </w:pPr>
      <w:r>
        <w:rPr>
          <w:i/>
          <w:noProof/>
          <w:sz w:val="20"/>
        </w:rPr>
        <w:t>Гражданство: ______________________ Място на пребиваване: ___________</w:t>
      </w:r>
      <w:r>
        <w:rPr>
          <w:i/>
          <w:noProof/>
          <w:sz w:val="20"/>
        </w:rPr>
        <w:t>____________</w:t>
      </w:r>
    </w:p>
    <w:p w:rsidR="00473FF8" w:rsidRDefault="00473FF8">
      <w:pPr>
        <w:pStyle w:val="ListParagraph"/>
        <w:spacing w:before="150" w:after="150"/>
        <w:ind w:left="567" w:right="975"/>
        <w:rPr>
          <w:noProof/>
          <w:szCs w:val="18"/>
        </w:rPr>
      </w:pPr>
    </w:p>
    <w:p w:rsidR="00473FF8" w:rsidRDefault="00A67739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</w:rPr>
        <w:t>Компетентни органи (представител, назначен за__________)</w:t>
      </w:r>
    </w:p>
    <w:p w:rsidR="00473FF8" w:rsidRDefault="00A67739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2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3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</w:rPr>
        <w:t>Компетентни органи (представител, назначен за__________)</w:t>
      </w:r>
    </w:p>
    <w:p w:rsidR="00473FF8" w:rsidRDefault="00A67739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4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5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</w:rPr>
        <w:t>Компетентни органи (представител, назначен за__________)</w:t>
      </w:r>
    </w:p>
    <w:p w:rsidR="00473FF8" w:rsidRDefault="00A67739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6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7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</w:rPr>
        <w:t>Компетентни органи (представител, назначен за__________)</w:t>
      </w:r>
    </w:p>
    <w:p w:rsidR="00473FF8" w:rsidRDefault="00A67739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8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9" style="width:0;height:1.5pt" o:hralign="center" o:hrstd="t" o:hr="t" fillcolor="#a0a0a0" stroked="f"/>
        </w:pict>
      </w:r>
    </w:p>
    <w:p w:rsidR="00473FF8" w:rsidRDefault="00A67739">
      <w:pPr>
        <w:pStyle w:val="Heading1"/>
        <w:rPr>
          <w:noProof/>
        </w:rPr>
      </w:pPr>
      <w:r>
        <w:rPr>
          <w:noProof/>
        </w:rPr>
        <w:t>Описание и характеристики на случая</w:t>
      </w:r>
    </w:p>
    <w:p w:rsidR="00473FF8" w:rsidRDefault="00A67739">
      <w:pPr>
        <w:pStyle w:val="ListParagraph"/>
        <w:spacing w:before="150" w:after="150"/>
        <w:ind w:left="0" w:right="975"/>
        <w:rPr>
          <w:b/>
          <w:noProof/>
          <w:szCs w:val="18"/>
        </w:rPr>
      </w:pPr>
      <w:r>
        <w:rPr>
          <w:b/>
          <w:noProof/>
        </w:rPr>
        <w:t>Описание на предмета:</w: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0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1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2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3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b/>
          <w:noProof/>
          <w:szCs w:val="18"/>
        </w:rPr>
      </w:pPr>
      <w:r>
        <w:rPr>
          <w:b/>
          <w:noProof/>
        </w:rPr>
        <w:t>Данъчен период (и):</w: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4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5" style="width:0;height:1.5pt" o:hralign="center" o:hrstd="t" o:hr="t" fillcolor="#a0a0a0" stroked="f"/>
        </w:pict>
      </w:r>
    </w:p>
    <w:p w:rsidR="00473FF8" w:rsidRDefault="00473FF8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473FF8" w:rsidRDefault="00A67739">
      <w:pPr>
        <w:pStyle w:val="ListParagraph"/>
        <w:spacing w:before="150" w:after="150"/>
        <w:ind w:left="0" w:right="975"/>
        <w:rPr>
          <w:b/>
          <w:noProof/>
          <w:szCs w:val="18"/>
        </w:rPr>
      </w:pPr>
      <w:r>
        <w:rPr>
          <w:b/>
          <w:noProof/>
        </w:rPr>
        <w:t>Сектор/промишлени отрасли:</w: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6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7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8" style="width:0;height:1.5pt" o:hralign="center" o:hrstd="t" o:hr="t" fillcolor="#a0a0a0" stroked="f"/>
        </w:pict>
      </w:r>
    </w:p>
    <w:p w:rsidR="00473FF8" w:rsidRDefault="00473FF8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473FF8" w:rsidRDefault="00A67739">
      <w:pPr>
        <w:pStyle w:val="ListParagraph"/>
        <w:spacing w:before="150" w:after="150"/>
        <w:ind w:left="0" w:right="975"/>
        <w:rPr>
          <w:b/>
          <w:noProof/>
          <w:szCs w:val="18"/>
        </w:rPr>
      </w:pPr>
      <w:r>
        <w:rPr>
          <w:b/>
          <w:noProof/>
        </w:rPr>
        <w:t>Препратки към правни норми (съответни закон (и) и договор, международни практики):</w:t>
      </w:r>
    </w:p>
    <w:p w:rsidR="00473FF8" w:rsidRDefault="00473FF8">
      <w:pPr>
        <w:pStyle w:val="ListParagraph"/>
        <w:spacing w:before="150" w:after="150"/>
        <w:ind w:left="0" w:right="975"/>
        <w:rPr>
          <w:b/>
          <w:noProof/>
          <w:szCs w:val="18"/>
        </w:rPr>
      </w:pP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</w:rPr>
        <w:sym w:font="Wingdings" w:char="F0A8"/>
      </w:r>
      <w:r>
        <w:rPr>
          <w:noProof/>
        </w:rPr>
        <w:t xml:space="preserve"> </w:t>
      </w:r>
      <w:r>
        <w:rPr>
          <w:b/>
          <w:noProof/>
        </w:rPr>
        <w:t>Разпоредби на националното право</w:t>
      </w:r>
      <w:r>
        <w:rPr>
          <w:noProof/>
        </w:rPr>
        <w:t xml:space="preserve"> </w:t>
      </w:r>
      <w:r>
        <w:rPr>
          <w:i/>
          <w:noProof/>
        </w:rPr>
        <w:t>(предостав</w:t>
      </w:r>
      <w:r>
        <w:rPr>
          <w:i/>
          <w:noProof/>
        </w:rPr>
        <w:t>я се подробното позоваване на съответните членове — тук може да бъдат приложени всички разпоредби)</w:t>
      </w:r>
      <w:r>
        <w:rPr>
          <w:noProof/>
          <w:szCs w:val="18"/>
        </w:rPr>
        <w:pict>
          <v:rect id="_x0000_i1049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50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51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</w:rPr>
        <w:sym w:font="Wingdings" w:char="F0A8"/>
      </w:r>
      <w:r>
        <w:rPr>
          <w:noProof/>
        </w:rPr>
        <w:t xml:space="preserve"> </w:t>
      </w:r>
      <w:r>
        <w:rPr>
          <w:b/>
          <w:noProof/>
        </w:rPr>
        <w:t>Спогодба за избягване на двойното данъчно облагане</w:t>
      </w:r>
      <w:r>
        <w:rPr>
          <w:noProof/>
        </w:rPr>
        <w:t xml:space="preserve"> </w:t>
      </w:r>
      <w:r>
        <w:rPr>
          <w:i/>
          <w:noProof/>
        </w:rPr>
        <w:t>(предоставя се подробното позоваване на съответните членове — тук може да бъдат приложени всички ра</w:t>
      </w:r>
      <w:r>
        <w:rPr>
          <w:i/>
          <w:noProof/>
        </w:rPr>
        <w:t>зпоредби)</w:t>
      </w:r>
    </w:p>
    <w:p w:rsidR="00473FF8" w:rsidRDefault="00473FF8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</w:rPr>
        <w:t>Посочете дали:</w:t>
      </w:r>
    </w:p>
    <w:p w:rsidR="00473FF8" w:rsidRDefault="00A67739">
      <w:pPr>
        <w:pStyle w:val="ListDash2"/>
        <w:numPr>
          <w:ilvl w:val="0"/>
          <w:numId w:val="6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Между двете [или повече] държави членки е подписана спогодба за избягване на двойното данъчно облагане (дата на подписването: _________________ )</w:t>
      </w:r>
    </w:p>
    <w:p w:rsidR="00473FF8" w:rsidRDefault="00A67739">
      <w:pPr>
        <w:pStyle w:val="Text1"/>
        <w:rPr>
          <w:noProof/>
        </w:rPr>
      </w:pPr>
      <w:r>
        <w:rPr>
          <w:noProof/>
        </w:rPr>
        <w:t>И, в случай че не се прилага спогодба за избягване на двойното данъчно облагане:</w:t>
      </w:r>
    </w:p>
    <w:p w:rsidR="00473FF8" w:rsidRDefault="00A67739">
      <w:pPr>
        <w:pStyle w:val="ListDash2"/>
        <w:numPr>
          <w:ilvl w:val="0"/>
          <w:numId w:val="6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примерната конвенция на ОИСР за избягване на двойното данъчно облагане (дата: _________________ )</w:t>
      </w:r>
    </w:p>
    <w:p w:rsidR="00473FF8" w:rsidRDefault="00A67739">
      <w:pPr>
        <w:pStyle w:val="ListDash2"/>
        <w:numPr>
          <w:ilvl w:val="0"/>
          <w:numId w:val="6"/>
        </w:numPr>
        <w:spacing w:before="0" w:after="0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Всякакви други договорени от компетентните органи препратки:</w:t>
      </w:r>
    </w:p>
    <w:p w:rsidR="00473FF8" w:rsidRDefault="00A67739">
      <w:pPr>
        <w:pStyle w:val="ListParagraph"/>
        <w:spacing w:before="0" w:after="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52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0" w:after="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53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0" w:after="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54" style="width:0;height:1.5pt" o:hralign="center" o:hrstd="t" o:hr="t" fillcolor="#a0a0a0" stroked="f"/>
        </w:pict>
      </w:r>
      <w:r>
        <w:rPr>
          <w:noProof/>
          <w:szCs w:val="18"/>
        </w:rPr>
        <w:pict>
          <v:rect id="_x0000_i1055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0" w:after="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56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57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</w:rPr>
        <w:t>Приблизително изчисляване на спорното двойно данъчно облагане</w:t>
      </w:r>
      <w:r>
        <w:rPr>
          <w:noProof/>
        </w:rPr>
        <w:t xml:space="preserve"> (обща сума и разбивки за всяка финансова година за данъка по главница, лихви и санкции, приложими данъчни ставки и съответна данъчна основа)</w:t>
      </w:r>
      <w:r>
        <w:rPr>
          <w:noProof/>
          <w:szCs w:val="18"/>
        </w:rPr>
        <w:pict>
          <v:rect id="_x0000_i1058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59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60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61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62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63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64" style="width:0;height:1.5pt" o:hralign="center" o:hrstd="t" o:hr="t" fillcolor="#a0a0a0" stroked="f"/>
        </w:pict>
      </w:r>
    </w:p>
    <w:p w:rsidR="00473FF8" w:rsidRDefault="00473FF8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473FF8" w:rsidRDefault="00A677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b/>
          <w:i/>
          <w:noProof/>
          <w:sz w:val="22"/>
          <w:szCs w:val="18"/>
        </w:rPr>
      </w:pPr>
      <w:r>
        <w:rPr>
          <w:b/>
          <w:i/>
          <w:noProof/>
          <w:sz w:val="22"/>
        </w:rPr>
        <w:t>Коментари от данъкоплатеца по горепосочената информация:</w:t>
      </w:r>
    </w:p>
    <w:p w:rsidR="00473FF8" w:rsidRDefault="00A677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i/>
          <w:noProof/>
          <w:sz w:val="18"/>
        </w:rPr>
        <w:t xml:space="preserve">(по-долу могат да бъдат добавени коментари </w:t>
      </w:r>
      <w:r>
        <w:rPr>
          <w:i/>
          <w:noProof/>
          <w:sz w:val="18"/>
        </w:rPr>
        <w:t>от данъкоплатеца като част от процедурата)</w:t>
      </w:r>
    </w:p>
    <w:p w:rsidR="00473FF8" w:rsidRDefault="00A677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b/>
          <w:noProof/>
          <w:sz w:val="22"/>
          <w:szCs w:val="18"/>
        </w:rPr>
      </w:pPr>
      <w:r>
        <w:rPr>
          <w:b/>
          <w:noProof/>
          <w:sz w:val="22"/>
        </w:rPr>
        <w:t>Описание на предмета:</w:t>
      </w:r>
    </w:p>
    <w:p w:rsidR="00473FF8" w:rsidRDefault="00A677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noProof/>
          <w:sz w:val="22"/>
          <w:szCs w:val="18"/>
        </w:rPr>
        <w:pict>
          <v:rect id="_x0000_i1065" style="width:0;height:1.5pt" o:hralign="center" o:hrstd="t" o:hr="t" fillcolor="#a0a0a0" stroked="f"/>
        </w:pict>
      </w:r>
    </w:p>
    <w:p w:rsidR="00473FF8" w:rsidRDefault="00A677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noProof/>
          <w:sz w:val="22"/>
          <w:szCs w:val="18"/>
        </w:rPr>
        <w:pict>
          <v:rect id="_x0000_i1066" style="width:0;height:1.5pt" o:hralign="center" o:hrstd="t" o:hr="t" fillcolor="#a0a0a0" stroked="f"/>
        </w:pict>
      </w:r>
    </w:p>
    <w:p w:rsidR="00473FF8" w:rsidRDefault="00A677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b/>
          <w:noProof/>
          <w:sz w:val="22"/>
          <w:szCs w:val="18"/>
        </w:rPr>
      </w:pPr>
      <w:r>
        <w:rPr>
          <w:b/>
          <w:noProof/>
          <w:sz w:val="22"/>
        </w:rPr>
        <w:t>Данъчен период:</w:t>
      </w:r>
    </w:p>
    <w:p w:rsidR="00473FF8" w:rsidRDefault="00A677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noProof/>
          <w:sz w:val="22"/>
          <w:szCs w:val="18"/>
        </w:rPr>
        <w:pict>
          <v:rect id="_x0000_i1067" style="width:0;height:1.5pt" o:hralign="center" o:hrstd="t" o:hr="t" fillcolor="#a0a0a0" stroked="f"/>
        </w:pict>
      </w:r>
    </w:p>
    <w:p w:rsidR="00473FF8" w:rsidRDefault="00A677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b/>
          <w:noProof/>
          <w:sz w:val="22"/>
          <w:szCs w:val="18"/>
        </w:rPr>
      </w:pPr>
      <w:r>
        <w:rPr>
          <w:b/>
          <w:noProof/>
          <w:sz w:val="22"/>
        </w:rPr>
        <w:t>Препратки към правно основание (съответни закон (и) и договор):</w:t>
      </w:r>
    </w:p>
    <w:p w:rsidR="00473FF8" w:rsidRDefault="00A677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noProof/>
          <w:sz w:val="22"/>
          <w:szCs w:val="18"/>
        </w:rPr>
        <w:pict>
          <v:rect id="_x0000_i1068" style="width:0;height:1.5pt" o:hralign="center" o:hrstd="t" o:hr="t" fillcolor="#a0a0a0" stroked="f"/>
        </w:pict>
      </w:r>
    </w:p>
    <w:p w:rsidR="00473FF8" w:rsidRDefault="00A677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b/>
          <w:noProof/>
        </w:rPr>
        <w:t>Изчисляване на спорното двойно данъчно облагане</w:t>
      </w:r>
      <w:r>
        <w:rPr>
          <w:noProof/>
        </w:rPr>
        <w:t xml:space="preserve"> </w:t>
      </w:r>
      <w:r>
        <w:rPr>
          <w:i/>
          <w:noProof/>
        </w:rPr>
        <w:t xml:space="preserve">(обща сума и разбивки за всяка финансова година за </w:t>
      </w:r>
      <w:r>
        <w:rPr>
          <w:i/>
          <w:noProof/>
        </w:rPr>
        <w:t>данъка по главница, лихви и санкции, приложими данъчни ставки и съответна данъчна основа)</w:t>
      </w:r>
      <w:r>
        <w:rPr>
          <w:noProof/>
          <w:sz w:val="22"/>
        </w:rPr>
        <w:t xml:space="preserve"> </w:t>
      </w:r>
      <w:r>
        <w:rPr>
          <w:noProof/>
          <w:sz w:val="22"/>
          <w:szCs w:val="18"/>
        </w:rPr>
        <w:pict>
          <v:rect id="_x0000_i1069" style="width:0;height:1.5pt" o:hralign="center" o:hrstd="t" o:hr="t" fillcolor="#a0a0a0" stroked="f"/>
        </w:pict>
      </w:r>
    </w:p>
    <w:p w:rsidR="00473FF8" w:rsidRDefault="00A677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noProof/>
          <w:sz w:val="22"/>
          <w:szCs w:val="18"/>
        </w:rPr>
        <w:pict>
          <v:rect id="_x0000_i1070" style="width:0;height:1.5pt" o:hralign="center" o:hrstd="t" o:hr="t" fillcolor="#a0a0a0" stroked="f"/>
        </w:pict>
      </w:r>
    </w:p>
    <w:p w:rsidR="00473FF8" w:rsidRDefault="00A677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noProof/>
          <w:sz w:val="22"/>
          <w:szCs w:val="18"/>
        </w:rPr>
        <w:pict>
          <v:rect id="_x0000_i1071" style="width:0;height:1.5pt" o:hralign="center" o:hrstd="t" o:hr="t" fillcolor="#a0a0a0" stroked="f"/>
        </w:pict>
      </w:r>
    </w:p>
    <w:p w:rsidR="00473FF8" w:rsidRDefault="00A677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noProof/>
          <w:sz w:val="22"/>
          <w:szCs w:val="18"/>
        </w:rPr>
        <w:pict>
          <v:rect id="_x0000_i1072" style="width:0;height:1.5pt" o:hralign="center" o:hrstd="t" o:hr="t" fillcolor="#a0a0a0" stroked="f"/>
        </w:pict>
      </w:r>
    </w:p>
    <w:p w:rsidR="00473FF8" w:rsidRDefault="00A67739">
      <w:pPr>
        <w:pStyle w:val="Heading1"/>
        <w:rPr>
          <w:noProof/>
        </w:rPr>
      </w:pPr>
      <w:r>
        <w:rPr>
          <w:noProof/>
        </w:rPr>
        <w:t>Условия, договорени от компетентните органи:</w:t>
      </w:r>
    </w:p>
    <w:p w:rsidR="00473FF8" w:rsidRDefault="00A67739">
      <w:pPr>
        <w:pStyle w:val="ListParagraph"/>
        <w:spacing w:before="150" w:after="150"/>
        <w:ind w:left="0" w:right="975"/>
        <w:rPr>
          <w:b/>
          <w:noProof/>
          <w:szCs w:val="18"/>
        </w:rPr>
      </w:pPr>
      <w:r>
        <w:rPr>
          <w:b/>
          <w:noProof/>
        </w:rPr>
        <w:t>Описание на правните въпроси, предмет на тълкуване в спорния случай на двойно данъчно облагане:</w: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73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74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75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76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</w:rPr>
        <w:t xml:space="preserve">Описание </w:t>
      </w:r>
      <w:r>
        <w:rPr>
          <w:b/>
          <w:noProof/>
        </w:rPr>
        <w:t>на фактическите обстоятелства, които трябва да бъдат отчетени и фактическите въпроси, по които компетентните органи се нуждаят от изясняване и/или тълкуване от консултативната комисия или комисията за алтернативно разрешаване на спорове:</w:t>
      </w:r>
      <w:r>
        <w:rPr>
          <w:b/>
          <w:noProof/>
          <w:szCs w:val="18"/>
        </w:rPr>
        <w:pict>
          <v:rect id="_x0000_i1077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78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79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80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</w:rPr>
        <w:t>Въпроси, ко</w:t>
      </w:r>
      <w:r>
        <w:rPr>
          <w:b/>
          <w:noProof/>
        </w:rPr>
        <w:t>ито трябва да бъдат разгледани от консултативната комисия или комисията за алтернативно разрешаване на спорове в тяхното становище:</w:t>
      </w:r>
      <w:r>
        <w:rPr>
          <w:b/>
          <w:noProof/>
          <w:szCs w:val="18"/>
        </w:rPr>
        <w:pict>
          <v:rect id="_x0000_i1081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82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83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  <w:szCs w:val="18"/>
        </w:rPr>
        <w:pict>
          <v:rect id="_x0000_i1084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85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86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87" style="width:0;height:1.5pt" o:hralign="center" o:hrstd="t" o:hr="t" fillcolor="#a0a0a0" stroked="f"/>
        </w:pict>
      </w:r>
    </w:p>
    <w:p w:rsidR="00473FF8" w:rsidRDefault="00A67739">
      <w:pPr>
        <w:pStyle w:val="Heading1"/>
        <w:rPr>
          <w:noProof/>
        </w:rPr>
      </w:pPr>
      <w:r>
        <w:rPr>
          <w:noProof/>
        </w:rPr>
        <w:t>Времева рамка и график за процеса на вземане на решение</w:t>
      </w:r>
    </w:p>
    <w:p w:rsidR="00473FF8" w:rsidRDefault="00A67739">
      <w:pPr>
        <w:pStyle w:val="ListParagraph"/>
        <w:spacing w:before="150" w:after="150"/>
        <w:ind w:left="0" w:right="975"/>
        <w:rPr>
          <w:b/>
          <w:noProof/>
          <w:szCs w:val="18"/>
        </w:rPr>
      </w:pPr>
      <w:r>
        <w:rPr>
          <w:b/>
          <w:noProof/>
        </w:rPr>
        <w:t>Очаквана дата на окончателното становище:</w: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88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89" style="width:0;height:1.5pt" o:hralign="center" o:hrstd="t" o:hr="t" fillcolor="#a0a0a0" stroked="f"/>
        </w:pict>
      </w:r>
    </w:p>
    <w:p w:rsidR="00473FF8" w:rsidRDefault="00A67739">
      <w:pPr>
        <w:rPr>
          <w:b/>
          <w:noProof/>
          <w:szCs w:val="18"/>
        </w:rPr>
      </w:pPr>
      <w:r>
        <w:rPr>
          <w:b/>
          <w:noProof/>
        </w:rPr>
        <w:t>Определяне на графика за писмени изявления от страните:</w: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90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91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</w:rPr>
        <w:t>Определяне на графика за последователни или едновременни изявления</w:t>
      </w:r>
      <w:r>
        <w:rPr>
          <w:noProof/>
        </w:rPr>
        <w:t xml:space="preserve"> </w:t>
      </w:r>
      <w:r>
        <w:rPr>
          <w:i/>
          <w:noProof/>
        </w:rPr>
        <w:t>(ако има такива)</w:t>
      </w:r>
      <w:r>
        <w:rPr>
          <w:noProof/>
        </w:rPr>
        <w:t>:</w:t>
      </w:r>
      <w:r>
        <w:rPr>
          <w:b/>
          <w:noProof/>
          <w:szCs w:val="18"/>
        </w:rPr>
        <w:pict>
          <v:rect id="_x0000_i1092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93" style="width:0;height:1.5pt" o:hralign="center" o:hrstd="t" o:hr="t" fillcolor="#a0a0a0" stroked="f"/>
        </w:pict>
      </w:r>
    </w:p>
    <w:p w:rsidR="00473FF8" w:rsidRDefault="00A67739">
      <w:pPr>
        <w:rPr>
          <w:b/>
          <w:noProof/>
          <w:szCs w:val="18"/>
        </w:rPr>
      </w:pPr>
      <w:r>
        <w:rPr>
          <w:b/>
          <w:noProof/>
        </w:rPr>
        <w:t>Определяне на графика за подкрепяне на позиции от компетентните органи</w:t>
      </w:r>
      <w:r>
        <w:rPr>
          <w:noProof/>
        </w:rPr>
        <w:t xml:space="preserve"> </w:t>
      </w:r>
      <w:r>
        <w:rPr>
          <w:i/>
          <w:noProof/>
        </w:rPr>
        <w:t>(ако има такива)</w:t>
      </w:r>
      <w:r>
        <w:rPr>
          <w:noProof/>
        </w:rPr>
        <w:t>:</w: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94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95" style="width:0;height:1.5pt" o:hralign="center" o:hrstd="t" o:hr="t" fillcolor="#a0a0a0" stroked="f"/>
        </w:pict>
      </w:r>
    </w:p>
    <w:p w:rsidR="00473FF8" w:rsidRDefault="00A67739">
      <w:pPr>
        <w:tabs>
          <w:tab w:val="left" w:pos="8222"/>
        </w:tabs>
        <w:ind w:right="993"/>
        <w:rPr>
          <w:noProof/>
        </w:rPr>
      </w:pPr>
      <w:r>
        <w:rPr>
          <w:b/>
          <w:noProof/>
        </w:rPr>
        <w:t xml:space="preserve">Срокове за </w:t>
      </w:r>
      <w:r>
        <w:rPr>
          <w:b/>
          <w:noProof/>
        </w:rPr>
        <w:t>представяне на документни доказателства, които да бъдат представени от страните; последици при просрочено подаване</w:t>
      </w:r>
      <w:r>
        <w:rPr>
          <w:noProof/>
        </w:rPr>
        <w:t xml:space="preserve"> </w:t>
      </w:r>
      <w:r>
        <w:rPr>
          <w:i/>
          <w:noProof/>
        </w:rPr>
        <w:t>(ако има такива)</w:t>
      </w:r>
      <w:r>
        <w:rPr>
          <w:noProof/>
        </w:rPr>
        <w:t>:</w:t>
      </w:r>
      <w:r>
        <w:rPr>
          <w:b/>
          <w:noProof/>
          <w:szCs w:val="18"/>
        </w:rPr>
        <w:pict>
          <v:rect id="_x0000_i1096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97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98" style="width:0;height:1.5pt" o:hralign="center" o:hrstd="t" o:hr="t" fillcolor="#a0a0a0" stroked="f"/>
        </w:pict>
      </w:r>
    </w:p>
    <w:p w:rsidR="00473FF8" w:rsidRDefault="00A67739">
      <w:pPr>
        <w:ind w:right="993"/>
        <w:rPr>
          <w:noProof/>
        </w:rPr>
      </w:pPr>
      <w:r>
        <w:rPr>
          <w:b/>
          <w:noProof/>
        </w:rPr>
        <w:t>Определяне на графика за представяне на становище (а) съответно от независими лица и представители на компетентните ор</w:t>
      </w:r>
      <w:r>
        <w:rPr>
          <w:b/>
          <w:noProof/>
        </w:rPr>
        <w:t>гани</w:t>
      </w:r>
      <w:r>
        <w:rPr>
          <w:noProof/>
        </w:rPr>
        <w:t xml:space="preserve"> </w:t>
      </w:r>
      <w:r>
        <w:rPr>
          <w:i/>
          <w:noProof/>
        </w:rPr>
        <w:t>(ако има такива)</w:t>
      </w:r>
      <w:r>
        <w:rPr>
          <w:noProof/>
        </w:rPr>
        <w:t>:</w:t>
      </w:r>
      <w:r>
        <w:rPr>
          <w:b/>
          <w:noProof/>
          <w:szCs w:val="18"/>
        </w:rPr>
        <w:pict>
          <v:rect id="_x0000_i1099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  <w:szCs w:val="18"/>
        </w:rPr>
        <w:pict>
          <v:rect id="_x0000_i1100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101" style="width:0;height:1.5pt" o:hralign="center" o:hrstd="t" o:hr="t" fillcolor="#a0a0a0" stroked="f"/>
        </w:pict>
      </w:r>
    </w:p>
    <w:p w:rsidR="00473FF8" w:rsidRDefault="00A67739">
      <w:pPr>
        <w:rPr>
          <w:b/>
          <w:noProof/>
        </w:rPr>
      </w:pPr>
      <w:r>
        <w:rPr>
          <w:b/>
          <w:noProof/>
        </w:rPr>
        <w:t>Планирани дати за изслушванията</w:t>
      </w:r>
      <w:r>
        <w:rPr>
          <w:noProof/>
        </w:rPr>
        <w:t xml:space="preserve"> </w:t>
      </w:r>
      <w:r>
        <w:rPr>
          <w:i/>
          <w:noProof/>
        </w:rPr>
        <w:t>(ако има такива)</w:t>
      </w:r>
      <w:r>
        <w:rPr>
          <w:noProof/>
        </w:rPr>
        <w:t xml:space="preserve"> </w:t>
      </w:r>
      <w:r>
        <w:rPr>
          <w:b/>
          <w:noProof/>
        </w:rPr>
        <w:t>и място на изслушванията</w:t>
      </w:r>
      <w:r>
        <w:rPr>
          <w:noProof/>
        </w:rPr>
        <w:t xml:space="preserve"> (</w:t>
      </w:r>
      <w:r>
        <w:rPr>
          <w:i/>
          <w:noProof/>
        </w:rPr>
        <w:t>ако има такива)</w:t>
      </w:r>
      <w:r>
        <w:rPr>
          <w:noProof/>
        </w:rPr>
        <w:t>:</w:t>
      </w:r>
    </w:p>
    <w:p w:rsidR="00473FF8" w:rsidRDefault="00A67739">
      <w:pPr>
        <w:ind w:right="993"/>
        <w:rPr>
          <w:noProof/>
        </w:rPr>
      </w:pPr>
      <w:r>
        <w:rPr>
          <w:b/>
          <w:noProof/>
          <w:szCs w:val="18"/>
        </w:rPr>
        <w:pict>
          <v:rect id="_x0000_i1102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  <w:szCs w:val="18"/>
        </w:rPr>
        <w:pict>
          <v:rect id="_x0000_i1103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104" style="width:0;height:1.5pt" o:hralign="center" o:hrstd="t" o:hr="t" fillcolor="#a0a0a0" stroked="f"/>
        </w:pict>
      </w:r>
    </w:p>
    <w:p w:rsidR="00473FF8" w:rsidRDefault="00A67739">
      <w:pPr>
        <w:pStyle w:val="Heading1"/>
        <w:rPr>
          <w:noProof/>
        </w:rPr>
      </w:pPr>
      <w:r>
        <w:rPr>
          <w:noProof/>
        </w:rPr>
        <w:t>Вид на процедурата на разрешаване</w:t>
      </w:r>
    </w:p>
    <w:p w:rsidR="00473FF8" w:rsidRDefault="00A67739">
      <w:pPr>
        <w:ind w:left="850"/>
        <w:rPr>
          <w:noProof/>
        </w:rPr>
      </w:pPr>
      <w:r>
        <w:rPr>
          <w:noProof/>
        </w:rPr>
        <w:sym w:font="Wingdings" w:char="F0A8"/>
      </w:r>
      <w:r>
        <w:rPr>
          <w:i/>
          <w:noProof/>
        </w:rPr>
        <w:t xml:space="preserve"> </w:t>
      </w:r>
      <w:r>
        <w:rPr>
          <w:noProof/>
        </w:rPr>
        <w:t>Процедура на „</w:t>
      </w:r>
      <w:r>
        <w:rPr>
          <w:b/>
          <w:noProof/>
        </w:rPr>
        <w:t>независимо становище</w:t>
      </w:r>
      <w:r>
        <w:rPr>
          <w:noProof/>
        </w:rPr>
        <w:t xml:space="preserve">“ </w:t>
      </w:r>
    </w:p>
    <w:p w:rsidR="00473FF8" w:rsidRDefault="00A67739">
      <w:pPr>
        <w:ind w:left="850"/>
        <w:rPr>
          <w:i/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Процедура на „</w:t>
      </w:r>
      <w:r>
        <w:rPr>
          <w:b/>
          <w:noProof/>
        </w:rPr>
        <w:t>последно окончателно предложение</w:t>
      </w:r>
      <w:r>
        <w:rPr>
          <w:noProof/>
        </w:rPr>
        <w:t>“</w:t>
      </w:r>
    </w:p>
    <w:p w:rsidR="00473FF8" w:rsidRDefault="00A67739">
      <w:pPr>
        <w:ind w:left="850"/>
        <w:rPr>
          <w:i/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</w:t>
      </w:r>
      <w:r>
        <w:rPr>
          <w:b/>
          <w:noProof/>
        </w:rPr>
        <w:t>Друго</w:t>
      </w:r>
      <w:r>
        <w:rPr>
          <w:noProof/>
        </w:rPr>
        <w:t xml:space="preserve"> — </w:t>
      </w:r>
      <w:r>
        <w:rPr>
          <w:i/>
          <w:noProof/>
        </w:rPr>
        <w:t>моля, посочете</w:t>
      </w:r>
      <w:r>
        <w:rPr>
          <w:noProof/>
        </w:rPr>
        <w:t>:</w:t>
      </w:r>
      <w:r>
        <w:rPr>
          <w:i/>
          <w:noProof/>
        </w:rPr>
        <w:t xml:space="preserve"> ______________________________________</w:t>
      </w:r>
    </w:p>
    <w:p w:rsidR="00473FF8" w:rsidRDefault="00A67739">
      <w:pPr>
        <w:pStyle w:val="Heading1"/>
        <w:rPr>
          <w:noProof/>
        </w:rPr>
      </w:pPr>
      <w:r>
        <w:rPr>
          <w:noProof/>
        </w:rPr>
        <w:t>Разходи</w:t>
      </w:r>
    </w:p>
    <w:p w:rsidR="00473FF8" w:rsidRDefault="00A67739">
      <w:pPr>
        <w:ind w:right="993"/>
        <w:rPr>
          <w:noProof/>
        </w:rPr>
      </w:pPr>
      <w:r>
        <w:rPr>
          <w:b/>
          <w:noProof/>
        </w:rPr>
        <w:t>Подробности относно разходите (естество, очаквани суми), които да се поделят поравно между държавите членки:</w:t>
      </w:r>
      <w:r>
        <w:rPr>
          <w:b/>
          <w:noProof/>
          <w:szCs w:val="18"/>
        </w:rPr>
        <w:pict>
          <v:rect id="_x0000_i1105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  <w:szCs w:val="18"/>
        </w:rPr>
        <w:pict>
          <v:rect id="_x0000_i1106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107" style="width:0;height:1.5pt" o:hralign="center" o:hrstd="t" o:hr="t" fillcolor="#a0a0a0" stroked="f"/>
        </w:pict>
      </w:r>
    </w:p>
    <w:p w:rsidR="00473FF8" w:rsidRDefault="00A67739">
      <w:pPr>
        <w:spacing w:before="150" w:after="150"/>
        <w:ind w:right="975"/>
        <w:rPr>
          <w:noProof/>
          <w:szCs w:val="18"/>
        </w:rPr>
      </w:pPr>
      <w:r>
        <w:rPr>
          <w:noProof/>
        </w:rPr>
        <w:t>Включително, ако има такива:</w:t>
      </w:r>
    </w:p>
    <w:p w:rsidR="00473FF8" w:rsidRDefault="00A67739">
      <w:pPr>
        <w:pStyle w:val="ListDash2"/>
        <w:numPr>
          <w:ilvl w:val="0"/>
          <w:numId w:val="6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Възнаграждение на независимите лица _________</w:t>
      </w:r>
      <w:r>
        <w:rPr>
          <w:noProof/>
        </w:rPr>
        <w:t>______________</w:t>
      </w:r>
    </w:p>
    <w:p w:rsidR="00473FF8" w:rsidRDefault="00A67739">
      <w:pPr>
        <w:pStyle w:val="ListDash2"/>
        <w:numPr>
          <w:ilvl w:val="0"/>
          <w:numId w:val="6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Други разноски и дневни на независимите лица___________________</w:t>
      </w:r>
    </w:p>
    <w:p w:rsidR="00473FF8" w:rsidRDefault="00A67739">
      <w:pPr>
        <w:pStyle w:val="ListDash2"/>
        <w:numPr>
          <w:ilvl w:val="0"/>
          <w:numId w:val="6"/>
        </w:numPr>
        <w:jc w:val="left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Разходи за писмени преводи_______________________________________</w:t>
      </w:r>
    </w:p>
    <w:p w:rsidR="00473FF8" w:rsidRDefault="00A67739">
      <w:pPr>
        <w:pStyle w:val="ListDash2"/>
        <w:numPr>
          <w:ilvl w:val="0"/>
          <w:numId w:val="6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Разходи за устни преводи ________________________________________</w:t>
      </w:r>
    </w:p>
    <w:p w:rsidR="00473FF8" w:rsidRDefault="00A67739">
      <w:pPr>
        <w:pStyle w:val="ListDash2"/>
        <w:numPr>
          <w:ilvl w:val="0"/>
          <w:numId w:val="6"/>
        </w:numPr>
        <w:jc w:val="left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Други административни разходи (включи</w:t>
      </w:r>
      <w:r>
        <w:rPr>
          <w:noProof/>
        </w:rPr>
        <w:t>телно разходите за секретариат) __________________________________________________________________</w:t>
      </w:r>
    </w:p>
    <w:p w:rsidR="00473FF8" w:rsidRDefault="00A67739">
      <w:pPr>
        <w:pStyle w:val="ListDash2"/>
        <w:rPr>
          <w:noProof/>
        </w:rPr>
      </w:pPr>
      <w:r>
        <w:rPr>
          <w:noProof/>
        </w:rPr>
        <w:t xml:space="preserve">Друга информация и договорености по отношение на разходите </w:t>
      </w:r>
      <w:r>
        <w:rPr>
          <w:i/>
          <w:noProof/>
        </w:rPr>
        <w:t>(да се уточни)</w:t>
      </w:r>
      <w:r>
        <w:rPr>
          <w:noProof/>
        </w:rPr>
        <w:t>:</w:t>
      </w:r>
    </w:p>
    <w:p w:rsidR="00473FF8" w:rsidRDefault="00A67739">
      <w:pPr>
        <w:pStyle w:val="ListDash2"/>
        <w:tabs>
          <w:tab w:val="left" w:pos="7938"/>
          <w:tab w:val="left" w:pos="8789"/>
        </w:tabs>
        <w:rPr>
          <w:noProof/>
        </w:rPr>
      </w:pPr>
      <w:r>
        <w:rPr>
          <w:noProof/>
        </w:rPr>
        <w:pict>
          <v:rect id="_x0000_i1108" style="width:375.9pt;height:1.7pt" o:hrpct="947" o:hralign="center" o:hrstd="t" o:hr="t" fillcolor="#a0a0a0" stroked="f"/>
        </w:pict>
      </w:r>
    </w:p>
    <w:p w:rsidR="00473FF8" w:rsidRDefault="00A67739">
      <w:pPr>
        <w:pStyle w:val="ListDash2"/>
        <w:tabs>
          <w:tab w:val="left" w:pos="8080"/>
        </w:tabs>
        <w:ind w:right="142"/>
        <w:rPr>
          <w:noProof/>
        </w:rPr>
      </w:pPr>
      <w:r>
        <w:rPr>
          <w:noProof/>
        </w:rPr>
        <w:pict>
          <v:rect id="_x0000_i1109" style="width:0;height:1.5pt" o:hralign="center" o:hrstd="t" o:hr="t" fillcolor="#a0a0a0" stroked="f"/>
        </w:pict>
      </w:r>
    </w:p>
    <w:p w:rsidR="00473FF8" w:rsidRDefault="00A67739">
      <w:pPr>
        <w:pStyle w:val="ListDash2"/>
        <w:tabs>
          <w:tab w:val="left" w:pos="8080"/>
        </w:tabs>
        <w:rPr>
          <w:noProof/>
        </w:rPr>
      </w:pPr>
      <w:r>
        <w:rPr>
          <w:noProof/>
        </w:rPr>
        <w:pict>
          <v:rect id="_x0000_i1110" style="width:0;height:1.5pt" o:hralign="center" o:hrstd="t" o:hr="t" fillcolor="#a0a0a0" stroked="f"/>
        </w:pict>
      </w:r>
    </w:p>
    <w:p w:rsidR="00473FF8" w:rsidRDefault="00A67739">
      <w:pPr>
        <w:pStyle w:val="ListDash2"/>
        <w:tabs>
          <w:tab w:val="left" w:pos="8931"/>
        </w:tabs>
        <w:rPr>
          <w:noProof/>
        </w:rPr>
      </w:pPr>
      <w:r>
        <w:rPr>
          <w:noProof/>
        </w:rPr>
        <w:pict>
          <v:rect id="_x0000_i1111" style="width:0;height:1.5pt" o:hralign="center" o:hrstd="t" o:hr="t" fillcolor="#a0a0a0" stroked="f"/>
        </w:pict>
      </w:r>
    </w:p>
    <w:p w:rsidR="00473FF8" w:rsidRDefault="00A67739">
      <w:pPr>
        <w:pStyle w:val="ListDash2"/>
        <w:rPr>
          <w:noProof/>
        </w:rPr>
      </w:pPr>
      <w:r>
        <w:rPr>
          <w:noProof/>
        </w:rPr>
        <w:pict>
          <v:rect id="_x0000_i1112" style="width:0;height:1.5pt" o:hralign="center" o:hrstd="t" o:hr="t" fillcolor="#a0a0a0" stroked="f"/>
        </w:pict>
      </w:r>
    </w:p>
    <w:p w:rsidR="00473FF8" w:rsidRDefault="00A67739">
      <w:pPr>
        <w:pStyle w:val="ListDash2"/>
        <w:rPr>
          <w:noProof/>
        </w:rPr>
      </w:pPr>
      <w:r>
        <w:rPr>
          <w:noProof/>
        </w:rPr>
        <w:pict>
          <v:rect id="_x0000_i1113" style="width:343.35pt;height:1.7pt" o:hrpct="865" o:hralign="center" o:hrstd="t" o:hr="t" fillcolor="#a0a0a0" stroked="f"/>
        </w:pict>
      </w:r>
    </w:p>
    <w:p w:rsidR="00473FF8" w:rsidRDefault="00A67739">
      <w:pPr>
        <w:pStyle w:val="Heading1"/>
        <w:rPr>
          <w:noProof/>
        </w:rPr>
      </w:pPr>
      <w:r>
        <w:rPr>
          <w:noProof/>
        </w:rPr>
        <w:t>Организация и функциониране</w:t>
      </w:r>
    </w:p>
    <w:p w:rsidR="00473FF8" w:rsidRDefault="00A67739">
      <w:pPr>
        <w:spacing w:before="150" w:after="150"/>
        <w:ind w:right="975"/>
        <w:rPr>
          <w:b/>
          <w:smallCaps/>
          <w:noProof/>
          <w:szCs w:val="18"/>
        </w:rPr>
      </w:pPr>
      <w:r>
        <w:rPr>
          <w:b/>
          <w:i/>
          <w:noProof/>
          <w:sz w:val="20"/>
        </w:rPr>
        <w:t xml:space="preserve">[Важно: </w:t>
      </w:r>
      <w:r>
        <w:rPr>
          <w:b/>
          <w:i/>
          <w:noProof/>
        </w:rPr>
        <w:t xml:space="preserve">полетата с текст с удебелен шрифт </w:t>
      </w:r>
      <w:r>
        <w:rPr>
          <w:b/>
          <w:i/>
          <w:noProof/>
        </w:rPr>
        <w:t>в настоящия раздел следва задължително да се попълнят]</w:t>
      </w:r>
    </w:p>
    <w:p w:rsidR="00473FF8" w:rsidRDefault="00A67739">
      <w:pPr>
        <w:jc w:val="left"/>
        <w:rPr>
          <w:b/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noProof/>
        </w:rPr>
        <w:t xml:space="preserve"> </w:t>
      </w:r>
      <w:r>
        <w:rPr>
          <w:b/>
          <w:noProof/>
        </w:rPr>
        <w:t>Място на провеждане на срещите на консултативната комисия или комисията за алтернативно разрешаване на спорове: __________________________</w:t>
      </w:r>
    </w:p>
    <w:p w:rsidR="00473FF8" w:rsidRDefault="00A67739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Възможност за провеждане на срещи извън мястото, където се помещава консултативната комисия или комисията за алтернативно разрешаване на спорове: _____________________________________________________</w:t>
      </w:r>
    </w:p>
    <w:p w:rsidR="00473FF8" w:rsidRDefault="00A67739">
      <w:pPr>
        <w:jc w:val="left"/>
        <w:rPr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b/>
          <w:noProof/>
        </w:rPr>
        <w:t xml:space="preserve"> Административни услуги, които може да са необходими з</w:t>
      </w:r>
      <w:r>
        <w:rPr>
          <w:b/>
          <w:noProof/>
        </w:rPr>
        <w:t>а осъществяване на дейността на консултативната комисия или комисията за алтернативно разрешаване на спорове:</w:t>
      </w:r>
      <w:r>
        <w:rPr>
          <w:noProof/>
        </w:rPr>
        <w:t xml:space="preserve"> ___________________________________________________________________________</w:t>
      </w:r>
    </w:p>
    <w:p w:rsidR="00473FF8" w:rsidRDefault="00A67739">
      <w:pPr>
        <w:jc w:val="left"/>
        <w:rPr>
          <w:b/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noProof/>
        </w:rPr>
        <w:t xml:space="preserve"> </w:t>
      </w:r>
      <w:r>
        <w:rPr>
          <w:b/>
          <w:noProof/>
        </w:rPr>
        <w:t>Общ работен език на процедурата за разрешаване на спорове: _________</w:t>
      </w:r>
      <w:r>
        <w:rPr>
          <w:b/>
          <w:noProof/>
        </w:rPr>
        <w:t>___________________</w:t>
      </w:r>
    </w:p>
    <w:p w:rsidR="00473FF8" w:rsidRDefault="00A67739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Евентуална необходимост от превод на документи (в цялост или частично): _______________________</w:t>
      </w:r>
    </w:p>
    <w:p w:rsidR="00473FF8" w:rsidRDefault="00A67739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Евентуална необходимост от превод на устни представяния: ______________________________</w:t>
      </w:r>
    </w:p>
    <w:p w:rsidR="00473FF8" w:rsidRDefault="00A67739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Изпращане на писмени съобщения между страните </w:t>
      </w:r>
      <w:r>
        <w:rPr>
          <w:noProof/>
        </w:rPr>
        <w:t xml:space="preserve">(вкл. средства за изпращане на документи по електронната поща, устна комуникация, конферентни връзки чрез </w:t>
      </w:r>
      <w:r>
        <w:rPr>
          <w:i/>
          <w:noProof/>
        </w:rPr>
        <w:t>Webex</w:t>
      </w:r>
      <w:r>
        <w:rPr>
          <w:noProof/>
        </w:rPr>
        <w:t>, специфични информационно-технологични инструменти и др.) _________________________________________________________________________</w:t>
      </w:r>
    </w:p>
    <w:p w:rsidR="00473FF8" w:rsidRDefault="00A67739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Практическ</w:t>
      </w:r>
      <w:r>
        <w:rPr>
          <w:noProof/>
        </w:rPr>
        <w:t>и подробности във връзка с писмените изявления и доказателствата (напр. начин на представяне, копия, номериране, позовавания):  ___________________________________________________________________________</w:t>
      </w:r>
    </w:p>
    <w:p w:rsidR="00473FF8" w:rsidRDefault="00A67739">
      <w:pPr>
        <w:jc w:val="left"/>
        <w:rPr>
          <w:b/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noProof/>
        </w:rPr>
        <w:t xml:space="preserve"> </w:t>
      </w:r>
      <w:r>
        <w:rPr>
          <w:b/>
          <w:noProof/>
        </w:rPr>
        <w:t>Препращане на писмени съобщения между страните (вк</w:t>
      </w:r>
      <w:r>
        <w:rPr>
          <w:b/>
          <w:noProof/>
        </w:rPr>
        <w:t>л. средства за изпращане на документи):</w:t>
      </w:r>
      <w:r>
        <w:rPr>
          <w:b/>
          <w:noProof/>
          <w:szCs w:val="18"/>
        </w:rPr>
        <w:br/>
      </w:r>
      <w:r>
        <w:rPr>
          <w:b/>
          <w:noProof/>
        </w:rPr>
        <w:t>___________________________________________________________________________</w:t>
      </w:r>
    </w:p>
    <w:p w:rsidR="00473FF8" w:rsidRDefault="00A67739">
      <w:pPr>
        <w:jc w:val="left"/>
        <w:rPr>
          <w:b/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noProof/>
        </w:rPr>
        <w:t xml:space="preserve"> </w:t>
      </w:r>
      <w:r>
        <w:rPr>
          <w:b/>
          <w:noProof/>
        </w:rPr>
        <w:t>Механизми за обмен на писмени изявления: ____________________________</w:t>
      </w:r>
    </w:p>
    <w:p w:rsidR="00473FF8" w:rsidRDefault="00A67739">
      <w:pPr>
        <w:jc w:val="left"/>
        <w:rPr>
          <w:b/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b/>
          <w:noProof/>
        </w:rPr>
        <w:t xml:space="preserve"> Механизми за искания на информация от консултативната комисия или </w:t>
      </w:r>
      <w:r>
        <w:rPr>
          <w:b/>
          <w:noProof/>
        </w:rPr>
        <w:t>комисията за алтернативно разрешаване на спорове и последващи отговори от страна на данъкоплатеца и компетентните органи: ______________________________________</w:t>
      </w:r>
    </w:p>
    <w:p w:rsidR="00473FF8" w:rsidRDefault="00A67739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Практически подробности във връзка с писмените изявления и доказателствата (напр. начин на пр</w:t>
      </w:r>
      <w:r>
        <w:rPr>
          <w:noProof/>
        </w:rPr>
        <w:t>едставяне, копия, номериране, позовавания): ___________________________________________________________________________</w:t>
      </w:r>
    </w:p>
    <w:p w:rsidR="00473FF8" w:rsidRDefault="00A67739">
      <w:pPr>
        <w:jc w:val="left"/>
        <w:rPr>
          <w:b/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b/>
          <w:noProof/>
        </w:rPr>
        <w:t xml:space="preserve"> Дали от дадена страна се очаква да предостави писмено доказателство: __________________</w:t>
      </w:r>
    </w:p>
    <w:p w:rsidR="00473FF8" w:rsidRDefault="00A67739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Експерти (ред и условия за  представяне на у</w:t>
      </w:r>
      <w:r>
        <w:rPr>
          <w:noProof/>
        </w:rPr>
        <w:t>стна и писмена позиция): ___________________________________________________________________________</w:t>
      </w:r>
    </w:p>
    <w:p w:rsidR="00473FF8" w:rsidRDefault="00A67739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Следва ли становищата за произхода и получаването на документите и относно точността на фотокопията да се приемат за точни: _____________________________</w:t>
      </w:r>
      <w:r>
        <w:rPr>
          <w:noProof/>
        </w:rPr>
        <w:t>________________</w:t>
      </w:r>
    </w:p>
    <w:p w:rsidR="00473FF8" w:rsidRDefault="00A67739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Следва ли обемисти и сложни документни доказателства да се представят чрез обобщения, таблици, диаграми или извадки: __________________________________</w:t>
      </w:r>
    </w:p>
    <w:p w:rsidR="00473FF8" w:rsidRDefault="00A67739">
      <w:pPr>
        <w:jc w:val="left"/>
        <w:rPr>
          <w:b/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b/>
          <w:noProof/>
        </w:rPr>
        <w:t xml:space="preserve"> Решение дали да се проведат изслушвания (и брой на изслушванията): ________________</w:t>
      </w:r>
      <w:r>
        <w:rPr>
          <w:b/>
          <w:noProof/>
        </w:rPr>
        <w:t>______________</w:t>
      </w:r>
    </w:p>
    <w:p w:rsidR="00473FF8" w:rsidRDefault="00A67739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Дали изслушванията да се проведат в един период или да се определят отделни периоди за изслушвания: _________</w:t>
      </w:r>
    </w:p>
    <w:p w:rsidR="00473FF8" w:rsidRDefault="00A67739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Дали следва да се въведе ограничение на общото време, с което да разполага всяка от страните за устните изслушвания и събеседва</w:t>
      </w:r>
      <w:r>
        <w:rPr>
          <w:noProof/>
        </w:rPr>
        <w:t>не със свидетели: _________________________________________</w:t>
      </w:r>
    </w:p>
    <w:p w:rsidR="00473FF8" w:rsidRDefault="00A67739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Редът, в който страните ще представят своите аргументи и доказателства: ______________</w:t>
      </w:r>
    </w:p>
    <w:p w:rsidR="00473FF8" w:rsidRDefault="00A67739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Продължителност на изслушванията: ___________________________________________________________________________</w:t>
      </w:r>
    </w:p>
    <w:p w:rsidR="00473FF8" w:rsidRDefault="00A67739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Договорености за записване на изслушванията: ______________________________________</w:t>
      </w:r>
    </w:p>
    <w:p w:rsidR="00473FF8" w:rsidRDefault="00A67739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Евентуални изисквания относно подаването или предоставяне</w:t>
      </w:r>
      <w:r>
        <w:rPr>
          <w:noProof/>
        </w:rPr>
        <w:t>то на позицията съответно на независимите лица и представителите на компетентните органи: ___________________________________________________________________________</w:t>
      </w:r>
    </w:p>
    <w:p w:rsidR="00473FF8" w:rsidRDefault="00A67739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Евентуални изисквания относно подаването или предоставянето на писменото становище: ___________________________________________________________________________</w:t>
      </w:r>
    </w:p>
    <w:p w:rsidR="00473FF8" w:rsidRDefault="00A67739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Други (</w:t>
      </w:r>
      <w:r>
        <w:rPr>
          <w:i/>
          <w:noProof/>
          <w:sz w:val="20"/>
        </w:rPr>
        <w:t>да се посочат, включително механизми във връзка с процедурата, представянето на доказа</w:t>
      </w:r>
      <w:r>
        <w:rPr>
          <w:i/>
          <w:noProof/>
          <w:sz w:val="20"/>
        </w:rPr>
        <w:t>телства</w:t>
      </w:r>
      <w:r>
        <w:rPr>
          <w:i/>
          <w:noProof/>
        </w:rPr>
        <w:t xml:space="preserve"> и логистиката, които може да се прилагат)</w:t>
      </w:r>
      <w:r>
        <w:rPr>
          <w:noProof/>
        </w:rPr>
        <w:t>: ___________________________________________________________________________</w:t>
      </w:r>
    </w:p>
    <w:p w:rsidR="00473FF8" w:rsidRDefault="00A67739">
      <w:pPr>
        <w:jc w:val="left"/>
        <w:rPr>
          <w:noProof/>
          <w:szCs w:val="18"/>
        </w:rPr>
      </w:pPr>
      <w:r>
        <w:rPr>
          <w:noProof/>
        </w:rPr>
        <w:t>___________________________________________________________________________</w:t>
      </w:r>
    </w:p>
    <w:p w:rsidR="00473FF8" w:rsidRDefault="00A67739">
      <w:pPr>
        <w:jc w:val="left"/>
        <w:rPr>
          <w:noProof/>
          <w:szCs w:val="18"/>
        </w:rPr>
      </w:pPr>
      <w:r>
        <w:rPr>
          <w:noProof/>
        </w:rPr>
        <w:t>_____________________________________________________</w:t>
      </w:r>
      <w:r>
        <w:rPr>
          <w:noProof/>
        </w:rPr>
        <w:t>______________________</w:t>
      </w:r>
    </w:p>
    <w:p w:rsidR="00473FF8" w:rsidRDefault="00A67739">
      <w:pPr>
        <w:pStyle w:val="Heading1"/>
        <w:rPr>
          <w:noProof/>
        </w:rPr>
      </w:pPr>
      <w:r>
        <w:rPr>
          <w:noProof/>
        </w:rPr>
        <w:t>Други</w:t>
      </w:r>
    </w:p>
    <w:p w:rsidR="00473FF8" w:rsidRDefault="00A67739">
      <w:pPr>
        <w:rPr>
          <w:b/>
          <w:noProof/>
        </w:rPr>
      </w:pPr>
      <w:r>
        <w:rPr>
          <w:noProof/>
        </w:rPr>
        <w:t>[</w:t>
      </w:r>
      <w:r>
        <w:rPr>
          <w:i/>
          <w:noProof/>
        </w:rPr>
        <w:t>да се попълни</w:t>
      </w:r>
      <w:r>
        <w:rPr>
          <w:noProof/>
        </w:rPr>
        <w:t>].</w:t>
      </w:r>
    </w:p>
    <w:p w:rsidR="00473FF8" w:rsidRDefault="00A67739">
      <w:pPr>
        <w:ind w:right="993"/>
        <w:rPr>
          <w:noProof/>
        </w:rPr>
      </w:pPr>
      <w:r>
        <w:rPr>
          <w:b/>
          <w:noProof/>
          <w:szCs w:val="18"/>
        </w:rPr>
        <w:pict>
          <v:rect id="_x0000_i1114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  <w:szCs w:val="18"/>
        </w:rPr>
        <w:pict>
          <v:rect id="_x0000_i1115" style="width:0;height:1.5pt" o:hralign="center" o:hrstd="t" o:hr="t" fillcolor="#a0a0a0" stroked="f"/>
        </w:pict>
      </w:r>
    </w:p>
    <w:p w:rsidR="00473FF8" w:rsidRDefault="00A67739">
      <w:pPr>
        <w:ind w:right="993"/>
        <w:rPr>
          <w:noProof/>
        </w:rPr>
      </w:pPr>
      <w:r>
        <w:rPr>
          <w:noProof/>
          <w:szCs w:val="18"/>
        </w:rPr>
        <w:pict>
          <v:rect id="_x0000_i1116" style="width:0;height:1.5pt" o:hralign="center" o:hrstd="t" o:hr="t" fillcolor="#a0a0a0" stroked="f"/>
        </w:pict>
      </w:r>
      <w:r>
        <w:rPr>
          <w:b/>
          <w:noProof/>
          <w:szCs w:val="18"/>
        </w:rPr>
        <w:pict>
          <v:rect id="_x0000_i1117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  <w:szCs w:val="18"/>
        </w:rPr>
        <w:pict>
          <v:rect id="_x0000_i1118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119" style="width:0;height:1.5pt" o:hralign="center" o:hrstd="t" o:hr="t" fillcolor="#a0a0a0" stroked="f"/>
        </w:pict>
      </w:r>
    </w:p>
    <w:p w:rsidR="00473FF8" w:rsidRDefault="00A67739">
      <w:pPr>
        <w:ind w:right="993"/>
        <w:rPr>
          <w:noProof/>
        </w:rPr>
      </w:pPr>
      <w:r>
        <w:rPr>
          <w:b/>
          <w:noProof/>
          <w:szCs w:val="18"/>
        </w:rPr>
        <w:pict>
          <v:rect id="_x0000_i1120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  <w:szCs w:val="18"/>
        </w:rPr>
        <w:pict>
          <v:rect id="_x0000_i1121" style="width:0;height:1.5pt" o:hralign="center" o:hrstd="t" o:hr="t" fillcolor="#a0a0a0" stroked="f"/>
        </w:pict>
      </w:r>
    </w:p>
    <w:p w:rsidR="00473FF8" w:rsidRDefault="00A67739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122" style="width:0;height:1.5pt" o:hralign="center" o:hrstd="t" o:hr="t" fillcolor="#a0a0a0" stroked="f"/>
        </w:pict>
      </w:r>
    </w:p>
    <w:p w:rsidR="00473FF8" w:rsidRDefault="00473FF8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473FF8" w:rsidRDefault="00A67739">
      <w:pPr>
        <w:rPr>
          <w:b/>
          <w:noProof/>
        </w:rPr>
      </w:pPr>
      <w:r>
        <w:rPr>
          <w:b/>
          <w:noProof/>
        </w:rPr>
        <w:t>Дата:</w:t>
      </w:r>
    </w:p>
    <w:p w:rsidR="00473FF8" w:rsidRDefault="00473FF8">
      <w:pPr>
        <w:rPr>
          <w:b/>
          <w:noProof/>
        </w:rPr>
      </w:pPr>
    </w:p>
    <w:p w:rsidR="00473FF8" w:rsidRDefault="00A67739">
      <w:pPr>
        <w:rPr>
          <w:noProof/>
          <w:szCs w:val="18"/>
        </w:rPr>
      </w:pPr>
      <w:r>
        <w:rPr>
          <w:b/>
          <w:noProof/>
        </w:rPr>
        <w:t>Подпис на представителите на компетентните органи на държавите членки:</w:t>
      </w:r>
    </w:p>
    <w:p w:rsidR="00473FF8" w:rsidRDefault="00473FF8">
      <w:pPr>
        <w:rPr>
          <w:noProof/>
        </w:rPr>
      </w:pPr>
    </w:p>
    <w:p w:rsidR="00473FF8" w:rsidRPr="00A67739" w:rsidRDefault="00A67739">
      <w:pPr>
        <w:rPr>
          <w:noProof/>
        </w:rPr>
      </w:pPr>
      <w:r>
        <w:rPr>
          <w:noProof/>
        </w:rPr>
        <w:t>______________________________                  ___________________________</w:t>
      </w:r>
    </w:p>
    <w:sectPr w:rsidR="00473FF8" w:rsidRPr="00A67739" w:rsidSect="00A67739">
      <w:footerReference w:type="default" r:id="rId19"/>
      <w:footerReference w:type="first" r:id="rId20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F8" w:rsidRDefault="00A67739">
      <w:pPr>
        <w:spacing w:before="0" w:after="0"/>
      </w:pPr>
      <w:r>
        <w:separator/>
      </w:r>
    </w:p>
  </w:endnote>
  <w:endnote w:type="continuationSeparator" w:id="0">
    <w:p w:rsidR="00473FF8" w:rsidRDefault="00A677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39" w:rsidRPr="00A67739" w:rsidRDefault="00A67739" w:rsidP="00A677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39" w:rsidRPr="00A67739" w:rsidRDefault="00A67739" w:rsidP="00A67739">
    <w:pPr>
      <w:pStyle w:val="Footer"/>
      <w:rPr>
        <w:rFonts w:ascii="Arial" w:hAnsi="Arial" w:cs="Arial"/>
        <w:b/>
        <w:sz w:val="48"/>
      </w:rPr>
    </w:pPr>
    <w:r w:rsidRPr="00A67739">
      <w:rPr>
        <w:rFonts w:ascii="Arial" w:hAnsi="Arial" w:cs="Arial"/>
        <w:b/>
        <w:sz w:val="48"/>
      </w:rPr>
      <w:t>BG</w:t>
    </w:r>
    <w:r w:rsidRPr="00A67739">
      <w:rPr>
        <w:rFonts w:ascii="Arial" w:hAnsi="Arial" w:cs="Arial"/>
        <w:b/>
        <w:sz w:val="48"/>
      </w:rPr>
      <w:tab/>
    </w:r>
    <w:r w:rsidRPr="00A67739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A67739">
      <w:tab/>
    </w:r>
    <w:proofErr w:type="spellStart"/>
    <w:r w:rsidRPr="00A67739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39" w:rsidRPr="00A67739" w:rsidRDefault="00A67739" w:rsidP="00A6773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39" w:rsidRPr="00A67739" w:rsidRDefault="00A67739" w:rsidP="00A67739">
    <w:pPr>
      <w:pStyle w:val="Footer"/>
      <w:rPr>
        <w:rFonts w:ascii="Arial" w:hAnsi="Arial" w:cs="Arial"/>
        <w:b/>
        <w:sz w:val="48"/>
      </w:rPr>
    </w:pPr>
    <w:r w:rsidRPr="00A67739">
      <w:rPr>
        <w:rFonts w:ascii="Arial" w:hAnsi="Arial" w:cs="Arial"/>
        <w:b/>
        <w:sz w:val="48"/>
      </w:rPr>
      <w:t>BG</w:t>
    </w:r>
    <w:r w:rsidRPr="00A67739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A67739">
      <w:tab/>
    </w:r>
    <w:r w:rsidRPr="00A67739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39" w:rsidRPr="00A67739" w:rsidRDefault="00A67739" w:rsidP="00A677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F8" w:rsidRDefault="00A67739">
      <w:pPr>
        <w:spacing w:before="0" w:after="0"/>
      </w:pPr>
      <w:r>
        <w:separator/>
      </w:r>
    </w:p>
  </w:footnote>
  <w:footnote w:type="continuationSeparator" w:id="0">
    <w:p w:rsidR="00473FF8" w:rsidRDefault="00A6773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39" w:rsidRPr="00A67739" w:rsidRDefault="00A67739" w:rsidP="00A677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39" w:rsidRPr="00A67739" w:rsidRDefault="00A67739" w:rsidP="00A677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39" w:rsidRPr="00A67739" w:rsidRDefault="00A67739" w:rsidP="00A677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F8625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BF659E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6D659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F90F5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D22E4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D128E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9E0CB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8347D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50320E5"/>
    <w:multiLevelType w:val="hybridMultilevel"/>
    <w:tmpl w:val="72F4533A"/>
    <w:lvl w:ilvl="0" w:tplc="6D50ED16">
      <w:start w:val="1"/>
      <w:numFmt w:val="decimal"/>
      <w:pStyle w:val="Style2"/>
      <w:lvlText w:val="%1."/>
      <w:lvlJc w:val="left"/>
      <w:pPr>
        <w:ind w:left="1080" w:hanging="360"/>
      </w:pPr>
      <w:rPr>
        <w:rFonts w:hint="default"/>
      </w:rPr>
    </w:lvl>
    <w:lvl w:ilvl="1" w:tplc="2DCA1808">
      <w:start w:val="1"/>
      <w:numFmt w:val="lowerLetter"/>
      <w:lvlText w:val="(%2)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 w:tplc="7D548FE2">
      <w:start w:val="1"/>
      <w:numFmt w:val="bullet"/>
      <w:lvlText w:val="-"/>
      <w:lvlJc w:val="left"/>
      <w:pPr>
        <w:ind w:left="2776" w:hanging="360"/>
      </w:pPr>
      <w:rPr>
        <w:rFonts w:ascii="Times New Roman" w:eastAsia="Times New Roman" w:hAnsi="Times New Roman" w:cs="Times New Roman" w:hint="default"/>
        <w:sz w:val="24"/>
      </w:rPr>
    </w:lvl>
    <w:lvl w:ilvl="3" w:tplc="2190EC54">
      <w:start w:val="3"/>
      <w:numFmt w:val="decimal"/>
      <w:lvlText w:val="(%4)"/>
      <w:lvlJc w:val="left"/>
      <w:pPr>
        <w:ind w:left="3316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4036" w:hanging="360"/>
      </w:pPr>
    </w:lvl>
    <w:lvl w:ilvl="5" w:tplc="0809001B" w:tentative="1">
      <w:start w:val="1"/>
      <w:numFmt w:val="lowerRoman"/>
      <w:lvlText w:val="%6."/>
      <w:lvlJc w:val="right"/>
      <w:pPr>
        <w:ind w:left="4756" w:hanging="180"/>
      </w:pPr>
    </w:lvl>
    <w:lvl w:ilvl="6" w:tplc="0809000F" w:tentative="1">
      <w:start w:val="1"/>
      <w:numFmt w:val="decimal"/>
      <w:lvlText w:val="%7."/>
      <w:lvlJc w:val="left"/>
      <w:pPr>
        <w:ind w:left="5476" w:hanging="360"/>
      </w:pPr>
    </w:lvl>
    <w:lvl w:ilvl="7" w:tplc="08090019" w:tentative="1">
      <w:start w:val="1"/>
      <w:numFmt w:val="lowerLetter"/>
      <w:lvlText w:val="%8."/>
      <w:lvlJc w:val="left"/>
      <w:pPr>
        <w:ind w:left="6196" w:hanging="360"/>
      </w:pPr>
    </w:lvl>
    <w:lvl w:ilvl="8" w:tplc="08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489D74ED"/>
    <w:multiLevelType w:val="singleLevel"/>
    <w:tmpl w:val="C2E2F936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96D67A1"/>
    <w:multiLevelType w:val="singleLevel"/>
    <w:tmpl w:val="9AC8831A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>
    <w:nsid w:val="748F59BA"/>
    <w:multiLevelType w:val="hybridMultilevel"/>
    <w:tmpl w:val="41CEFFB6"/>
    <w:lvl w:ilvl="0" w:tplc="83BC382C">
      <w:start w:val="1"/>
      <w:numFmt w:val="upperRoman"/>
      <w:pStyle w:val="Style1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8"/>
  </w:num>
  <w:num w:numId="6">
    <w:abstractNumId w:val="16"/>
  </w:num>
  <w:num w:numId="7">
    <w:abstractNumId w:val="24"/>
  </w:num>
  <w:num w:numId="8">
    <w:abstractNumId w:val="10"/>
    <w:lvlOverride w:ilvl="0">
      <w:lvl w:ilvl="0" w:tplc="6D50ED16">
        <w:start w:val="1"/>
        <w:numFmt w:val="decimal"/>
        <w:pStyle w:val="Style2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2DCA180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7D548FE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190EC5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14"/>
  </w:num>
  <w:num w:numId="19">
    <w:abstractNumId w:val="9"/>
  </w:num>
  <w:num w:numId="20">
    <w:abstractNumId w:val="22"/>
  </w:num>
  <w:num w:numId="21">
    <w:abstractNumId w:val="8"/>
  </w:num>
  <w:num w:numId="22">
    <w:abstractNumId w:val="15"/>
  </w:num>
  <w:num w:numId="23">
    <w:abstractNumId w:val="19"/>
  </w:num>
  <w:num w:numId="24">
    <w:abstractNumId w:val="20"/>
  </w:num>
  <w:num w:numId="25">
    <w:abstractNumId w:val="11"/>
  </w:num>
  <w:num w:numId="26">
    <w:abstractNumId w:val="17"/>
  </w:num>
  <w:num w:numId="2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10-05 17:18:0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4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8"/>
    <w:docVar w:name="DQCResult_UnknownFonts" w:val="0;0"/>
    <w:docVar w:name="DQCResult_UnknownStyles" w:val="0;121"/>
    <w:docVar w:name="DQCStatus" w:val="Yellow"/>
    <w:docVar w:name="DQCVersion" w:val="3"/>
    <w:docVar w:name="DQCWithWarnings" w:val="0"/>
    <w:docVar w:name="LW_ACCOMPAGNANT.CP" w:val="\u1082?\u1098?\u1084?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F3D09FBF242444E5B3BA6612DE261ACE"/>
    <w:docVar w:name="LW_CROSSREFERENCE" w:val="{SWD(2016) 343 final}_x000b_{SWD(2016) 344 final}"/>
    <w:docVar w:name="LW_DocType" w:val="ANNEX"/>
    <w:docVar w:name="LW_EMISSION" w:val="25.10.2016"/>
    <w:docVar w:name="LW_EMISSION_ISODATE" w:val="2016-10-25"/>
    <w:docVar w:name="LW_EMISSION_LOCATION" w:val="STR"/>
    <w:docVar w:name="LW_EMISSION_PREFIX" w:val="\u1057?\u1090?\u1088?\u1072?\u1089?\u1073?\u1091?\u1088?\u1075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4?\u1077?\u1093?\u1072?\u1085?\u1080?\u1079?\u1084?\u1080? \u1079?\u1072? \u1088?\u1072?\u1079?\u1088?\u1077?\u1096?\u1072?\u1074?\u1072?\u1085?\u1077? \u1085?\u1072? \u1089?\u1087?\u1086?\u1088?\u1086?\u1074?\u1077? \u1074?\u1098?\u1074? \u1074?\u1088?\u1098?\u1079?\u1082?\u1072? \u1089? \u1076?\u1074?\u1086?\u1081?\u1085?\u1086?\u1090?\u1086? \u1076?\u1072?\u1085?\u1098?\u1095?\u1085?\u1086? \u1086?\u1073?\u1083?\u1072?\u1075?\u1072?\u1085?\u1077? \u1074? \u1045?\u1074?\u1088?\u1086?\u1087?\u1077?\u1081?\u1089?\u1082?\u1080?\u1103? \u1089?\u1098?\u1102?\u1079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686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"/>
    <w:docVar w:name="LW_TYPEACTEPRINCIPAL.CP" w:val="\u1055?\u1088?\u1077?\u1076?\u1083?\u1086?\u1078?\u1077?\u1085?\u1080?\u1077? \u1079?\u1072? \u1044?\u1048?\u1056?\u1045?\u1050?\u1058?\u1048?\u1042?\u1040? \u1053?\u1040? \u1057?\u1066?\u1042?\u1045?\u1058?\u1040? "/>
  </w:docVars>
  <w:rsids>
    <w:rsidRoot w:val="00473FF8"/>
    <w:rsid w:val="00473FF8"/>
    <w:rsid w:val="00A6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ListDash2">
    <w:name w:val="List Dash 2"/>
    <w:basedOn w:val="Normal"/>
    <w:pPr>
      <w:numPr>
        <w:numId w:val="5"/>
      </w:numPr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Style1">
    <w:name w:val="Style1"/>
    <w:basedOn w:val="ListParagraph"/>
    <w:qFormat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50" w:after="150"/>
      <w:ind w:left="567" w:right="975" w:hanging="567"/>
    </w:pPr>
    <w:rPr>
      <w:b/>
      <w:smallCaps/>
      <w:szCs w:val="18"/>
    </w:rPr>
  </w:style>
  <w:style w:type="paragraph" w:customStyle="1" w:styleId="Style2">
    <w:name w:val="Style2"/>
    <w:basedOn w:val="ListParagraph"/>
    <w:pPr>
      <w:numPr>
        <w:numId w:val="8"/>
      </w:numPr>
      <w:spacing w:before="150" w:after="150"/>
      <w:ind w:right="975" w:hanging="720"/>
    </w:pPr>
    <w:rPr>
      <w:b/>
      <w:noProof/>
    </w:rPr>
  </w:style>
  <w:style w:type="paragraph" w:customStyle="1" w:styleId="TableGridHeading1">
    <w:name w:val="Table Grid + Heading 1"/>
    <w:basedOn w:val="Normal"/>
    <w:pPr>
      <w:spacing w:before="150" w:after="150"/>
      <w:ind w:right="975"/>
    </w:pPr>
    <w:rPr>
      <w:szCs w:val="18"/>
    </w:rPr>
  </w:style>
  <w:style w:type="paragraph" w:customStyle="1" w:styleId="Heading10">
    <w:name w:val="Heading1"/>
    <w:basedOn w:val="Style1"/>
    <w:pPr>
      <w:ind w:left="1080" w:hanging="720"/>
    </w:pPr>
  </w:style>
  <w:style w:type="paragraph" w:customStyle="1" w:styleId="Heading20">
    <w:name w:val="Heading2"/>
    <w:basedOn w:val="Style2"/>
  </w:style>
  <w:style w:type="paragraph" w:styleId="Header">
    <w:name w:val="header"/>
    <w:basedOn w:val="Normal"/>
    <w:link w:val="HeaderChar"/>
    <w:uiPriority w:val="99"/>
    <w:unhideWhenUsed/>
    <w:rsid w:val="00A67739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6773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67739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1"/>
      </w:numPr>
    </w:pPr>
  </w:style>
  <w:style w:type="paragraph" w:customStyle="1" w:styleId="Point1number">
    <w:name w:val="Point 1 (number)"/>
    <w:basedOn w:val="Normal"/>
    <w:pPr>
      <w:numPr>
        <w:ilvl w:val="2"/>
        <w:numId w:val="21"/>
      </w:numPr>
    </w:pPr>
  </w:style>
  <w:style w:type="paragraph" w:customStyle="1" w:styleId="Point2number">
    <w:name w:val="Point 2 (number)"/>
    <w:basedOn w:val="Normal"/>
    <w:pPr>
      <w:numPr>
        <w:ilvl w:val="4"/>
        <w:numId w:val="21"/>
      </w:numPr>
    </w:pPr>
  </w:style>
  <w:style w:type="paragraph" w:customStyle="1" w:styleId="Point3number">
    <w:name w:val="Point 3 (number)"/>
    <w:basedOn w:val="Normal"/>
    <w:pPr>
      <w:numPr>
        <w:ilvl w:val="6"/>
        <w:numId w:val="21"/>
      </w:numPr>
    </w:pPr>
  </w:style>
  <w:style w:type="paragraph" w:customStyle="1" w:styleId="Point0letter">
    <w:name w:val="Point 0 (letter)"/>
    <w:basedOn w:val="Normal"/>
    <w:pPr>
      <w:numPr>
        <w:ilvl w:val="1"/>
        <w:numId w:val="21"/>
      </w:numPr>
    </w:pPr>
  </w:style>
  <w:style w:type="paragraph" w:customStyle="1" w:styleId="Point1letter">
    <w:name w:val="Point 1 (letter)"/>
    <w:basedOn w:val="Normal"/>
    <w:pPr>
      <w:numPr>
        <w:ilvl w:val="3"/>
        <w:numId w:val="21"/>
      </w:numPr>
    </w:pPr>
  </w:style>
  <w:style w:type="paragraph" w:customStyle="1" w:styleId="Point2letter">
    <w:name w:val="Point 2 (letter)"/>
    <w:basedOn w:val="Normal"/>
    <w:pPr>
      <w:numPr>
        <w:ilvl w:val="5"/>
        <w:numId w:val="21"/>
      </w:numPr>
    </w:pPr>
  </w:style>
  <w:style w:type="paragraph" w:customStyle="1" w:styleId="Point3letter">
    <w:name w:val="Point 3 (letter)"/>
    <w:basedOn w:val="Normal"/>
    <w:pPr>
      <w:numPr>
        <w:ilvl w:val="7"/>
        <w:numId w:val="21"/>
      </w:numPr>
    </w:pPr>
  </w:style>
  <w:style w:type="paragraph" w:customStyle="1" w:styleId="Point4letter">
    <w:name w:val="Point 4 (letter)"/>
    <w:basedOn w:val="Normal"/>
    <w:pPr>
      <w:numPr>
        <w:ilvl w:val="8"/>
        <w:numId w:val="21"/>
      </w:numPr>
    </w:pPr>
  </w:style>
  <w:style w:type="paragraph" w:customStyle="1" w:styleId="Bullet0">
    <w:name w:val="Bullet 0"/>
    <w:basedOn w:val="Normal"/>
    <w:pPr>
      <w:numPr>
        <w:numId w:val="22"/>
      </w:numPr>
    </w:pPr>
  </w:style>
  <w:style w:type="paragraph" w:customStyle="1" w:styleId="Bullet1">
    <w:name w:val="Bullet 1"/>
    <w:basedOn w:val="Normal"/>
    <w:pPr>
      <w:numPr>
        <w:numId w:val="23"/>
      </w:numPr>
    </w:pPr>
  </w:style>
  <w:style w:type="paragraph" w:customStyle="1" w:styleId="Bullet2">
    <w:name w:val="Bullet 2"/>
    <w:basedOn w:val="Normal"/>
    <w:pPr>
      <w:numPr>
        <w:numId w:val="24"/>
      </w:numPr>
    </w:pPr>
  </w:style>
  <w:style w:type="paragraph" w:customStyle="1" w:styleId="Bullet3">
    <w:name w:val="Bullet 3"/>
    <w:basedOn w:val="Normal"/>
    <w:pPr>
      <w:numPr>
        <w:numId w:val="25"/>
      </w:numPr>
    </w:pPr>
  </w:style>
  <w:style w:type="paragraph" w:customStyle="1" w:styleId="Bullet4">
    <w:name w:val="Bullet 4"/>
    <w:basedOn w:val="Normal"/>
    <w:pPr>
      <w:numPr>
        <w:numId w:val="2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ListDash2">
    <w:name w:val="List Dash 2"/>
    <w:basedOn w:val="Normal"/>
    <w:pPr>
      <w:numPr>
        <w:numId w:val="5"/>
      </w:numPr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Style1">
    <w:name w:val="Style1"/>
    <w:basedOn w:val="ListParagraph"/>
    <w:qFormat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50" w:after="150"/>
      <w:ind w:left="567" w:right="975" w:hanging="567"/>
    </w:pPr>
    <w:rPr>
      <w:b/>
      <w:smallCaps/>
      <w:szCs w:val="18"/>
    </w:rPr>
  </w:style>
  <w:style w:type="paragraph" w:customStyle="1" w:styleId="Style2">
    <w:name w:val="Style2"/>
    <w:basedOn w:val="ListParagraph"/>
    <w:pPr>
      <w:numPr>
        <w:numId w:val="8"/>
      </w:numPr>
      <w:spacing w:before="150" w:after="150"/>
      <w:ind w:right="975" w:hanging="720"/>
    </w:pPr>
    <w:rPr>
      <w:b/>
      <w:noProof/>
    </w:rPr>
  </w:style>
  <w:style w:type="paragraph" w:customStyle="1" w:styleId="TableGridHeading1">
    <w:name w:val="Table Grid + Heading 1"/>
    <w:basedOn w:val="Normal"/>
    <w:pPr>
      <w:spacing w:before="150" w:after="150"/>
      <w:ind w:right="975"/>
    </w:pPr>
    <w:rPr>
      <w:szCs w:val="18"/>
    </w:rPr>
  </w:style>
  <w:style w:type="paragraph" w:customStyle="1" w:styleId="Heading10">
    <w:name w:val="Heading1"/>
    <w:basedOn w:val="Style1"/>
    <w:pPr>
      <w:ind w:left="1080" w:hanging="720"/>
    </w:pPr>
  </w:style>
  <w:style w:type="paragraph" w:customStyle="1" w:styleId="Heading20">
    <w:name w:val="Heading2"/>
    <w:basedOn w:val="Style2"/>
  </w:style>
  <w:style w:type="paragraph" w:styleId="Header">
    <w:name w:val="header"/>
    <w:basedOn w:val="Normal"/>
    <w:link w:val="HeaderChar"/>
    <w:uiPriority w:val="99"/>
    <w:unhideWhenUsed/>
    <w:rsid w:val="00A67739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6773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67739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1"/>
      </w:numPr>
    </w:pPr>
  </w:style>
  <w:style w:type="paragraph" w:customStyle="1" w:styleId="Point1number">
    <w:name w:val="Point 1 (number)"/>
    <w:basedOn w:val="Normal"/>
    <w:pPr>
      <w:numPr>
        <w:ilvl w:val="2"/>
        <w:numId w:val="21"/>
      </w:numPr>
    </w:pPr>
  </w:style>
  <w:style w:type="paragraph" w:customStyle="1" w:styleId="Point2number">
    <w:name w:val="Point 2 (number)"/>
    <w:basedOn w:val="Normal"/>
    <w:pPr>
      <w:numPr>
        <w:ilvl w:val="4"/>
        <w:numId w:val="21"/>
      </w:numPr>
    </w:pPr>
  </w:style>
  <w:style w:type="paragraph" w:customStyle="1" w:styleId="Point3number">
    <w:name w:val="Point 3 (number)"/>
    <w:basedOn w:val="Normal"/>
    <w:pPr>
      <w:numPr>
        <w:ilvl w:val="6"/>
        <w:numId w:val="21"/>
      </w:numPr>
    </w:pPr>
  </w:style>
  <w:style w:type="paragraph" w:customStyle="1" w:styleId="Point0letter">
    <w:name w:val="Point 0 (letter)"/>
    <w:basedOn w:val="Normal"/>
    <w:pPr>
      <w:numPr>
        <w:ilvl w:val="1"/>
        <w:numId w:val="21"/>
      </w:numPr>
    </w:pPr>
  </w:style>
  <w:style w:type="paragraph" w:customStyle="1" w:styleId="Point1letter">
    <w:name w:val="Point 1 (letter)"/>
    <w:basedOn w:val="Normal"/>
    <w:pPr>
      <w:numPr>
        <w:ilvl w:val="3"/>
        <w:numId w:val="21"/>
      </w:numPr>
    </w:pPr>
  </w:style>
  <w:style w:type="paragraph" w:customStyle="1" w:styleId="Point2letter">
    <w:name w:val="Point 2 (letter)"/>
    <w:basedOn w:val="Normal"/>
    <w:pPr>
      <w:numPr>
        <w:ilvl w:val="5"/>
        <w:numId w:val="21"/>
      </w:numPr>
    </w:pPr>
  </w:style>
  <w:style w:type="paragraph" w:customStyle="1" w:styleId="Point3letter">
    <w:name w:val="Point 3 (letter)"/>
    <w:basedOn w:val="Normal"/>
    <w:pPr>
      <w:numPr>
        <w:ilvl w:val="7"/>
        <w:numId w:val="21"/>
      </w:numPr>
    </w:pPr>
  </w:style>
  <w:style w:type="paragraph" w:customStyle="1" w:styleId="Point4letter">
    <w:name w:val="Point 4 (letter)"/>
    <w:basedOn w:val="Normal"/>
    <w:pPr>
      <w:numPr>
        <w:ilvl w:val="8"/>
        <w:numId w:val="21"/>
      </w:numPr>
    </w:pPr>
  </w:style>
  <w:style w:type="paragraph" w:customStyle="1" w:styleId="Bullet0">
    <w:name w:val="Bullet 0"/>
    <w:basedOn w:val="Normal"/>
    <w:pPr>
      <w:numPr>
        <w:numId w:val="22"/>
      </w:numPr>
    </w:pPr>
  </w:style>
  <w:style w:type="paragraph" w:customStyle="1" w:styleId="Bullet1">
    <w:name w:val="Bullet 1"/>
    <w:basedOn w:val="Normal"/>
    <w:pPr>
      <w:numPr>
        <w:numId w:val="23"/>
      </w:numPr>
    </w:pPr>
  </w:style>
  <w:style w:type="paragraph" w:customStyle="1" w:styleId="Bullet2">
    <w:name w:val="Bullet 2"/>
    <w:basedOn w:val="Normal"/>
    <w:pPr>
      <w:numPr>
        <w:numId w:val="24"/>
      </w:numPr>
    </w:pPr>
  </w:style>
  <w:style w:type="paragraph" w:customStyle="1" w:styleId="Bullet3">
    <w:name w:val="Bullet 3"/>
    <w:basedOn w:val="Normal"/>
    <w:pPr>
      <w:numPr>
        <w:numId w:val="25"/>
      </w:numPr>
    </w:pPr>
  </w:style>
  <w:style w:type="paragraph" w:customStyle="1" w:styleId="Bullet4">
    <w:name w:val="Bullet 4"/>
    <w:basedOn w:val="Normal"/>
    <w:pPr>
      <w:numPr>
        <w:numId w:val="2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9A4D38037E8E064B9AB4DD92FD798682" ma:contentTypeVersion="1" ma:contentTypeDescription="Create a new document in this library." ma:contentTypeScope="" ma:versionID="26f6938dd2f9ef8cff9d10d04eaa8746">
  <xsd:schema xmlns:xsd="http://www.w3.org/2001/XMLSchema" xmlns:xs="http://www.w3.org/2001/XMLSchema" xmlns:p="http://schemas.microsoft.com/office/2006/metadata/properties" xmlns:ns3="2034c5a8-16c9-4395-aa5f-bdb6e7f52619" targetNamespace="http://schemas.microsoft.com/office/2006/metadata/properties" ma:root="true" ma:fieldsID="0c6857498ea97d15e40cdc43dd99db40" ns3:_="">
    <xsd:import namespace="2034c5a8-16c9-4395-aa5f-bdb6e7f52619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4c5a8-16c9-4395-aa5f-bdb6e7f52619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2034c5a8-16c9-4395-aa5f-bdb6e7f52619" xsi:nil="true"/>
    <EC_Collab_DocumentLanguage xmlns="2034c5a8-16c9-4395-aa5f-bdb6e7f52619">EN</EC_Collab_DocumentLanguage>
    <EC_Collab_Status xmlns="2034c5a8-16c9-4395-aa5f-bdb6e7f52619">Not Started</EC_Collab_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C345-CA55-41A4-A1D4-3DCCDF878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4c5a8-16c9-4395-aa5f-bdb6e7f52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121D3-77D1-472D-AD64-27EEF1A31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68E0F-893F-453C-A50A-0315871D3379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2034c5a8-16c9-4395-aa5f-bdb6e7f52619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730BD9-4C18-42C9-8666-4CBD258B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11</TotalTime>
  <Pages>11</Pages>
  <Words>1345</Words>
  <Characters>10464</Characters>
  <Application>Microsoft Office Word</Application>
  <DocSecurity>0</DocSecurity>
  <Lines>396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Stefanie Heilemann</cp:lastModifiedBy>
  <cp:revision>11</cp:revision>
  <cp:lastPrinted>2016-10-05T13:53:00Z</cp:lastPrinted>
  <dcterms:created xsi:type="dcterms:W3CDTF">2016-10-05T15:17:00Z</dcterms:created>
  <dcterms:modified xsi:type="dcterms:W3CDTF">2016-11-07T16:34:00Z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ContentTypeId">
    <vt:lpwstr>0x010100258AA79CEB83498886A3A08681123250009A4D38037E8E064B9AB4DD92FD798682</vt:lpwstr>
  </property>
  <property fmtid="{D5CDD505-2E9C-101B-9397-08002B2CF9AE}" pid="13" name="DQCStatus">
    <vt:lpwstr>Yellow (DQC version 03)</vt:lpwstr>
  </property>
</Properties>
</file>