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023B686C9284448BB4F03828092C358" style="width:450.25pt;height:321.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pStyle w:val="Heading1"/>
        <w:numPr>
          <w:ilvl w:val="0"/>
          <w:numId w:val="24"/>
        </w:numPr>
        <w:rPr>
          <w:noProof/>
        </w:rPr>
      </w:pPr>
      <w:bookmarkStart w:id="1" w:name="_GoBack"/>
      <w:bookmarkEnd w:id="1"/>
      <w:r>
        <w:rPr>
          <w:noProof/>
        </w:rPr>
        <w:lastRenderedPageBreak/>
        <w:t>ВЪВЕДЕНИЕ</w:t>
      </w:r>
    </w:p>
    <w:p>
      <w:pPr>
        <w:rPr>
          <w:noProof/>
        </w:rPr>
      </w:pPr>
      <w:r>
        <w:rPr>
          <w:noProof/>
        </w:rPr>
        <w:t xml:space="preserve">Данъчното облагане е основно направление в усилията на ЕС за изграждане на по-силна, по-конкурентоспособна и по-справедлива икономика с ясно социално измерение.  Европа се нуждае от данъчна система, съобразена с вътрешния ѝ пазар, която стимулира икономическия растеж и конкурентоспособността, привлича инвестиции, допринася за създаването на работни места, насърчава иновациите и утвърждава европейския социален модел. Данъчното облагане следва да осигури стабилни постъпления в подкрепа на публичните инвестиции и благоприятстващите растежа политики. Чрез него следва да се гарантира, че всички дружества се ползват от равнопоставени условия на конкуренция и правна сигурност и срещат минимални препятствия при трансграничната си дейност. То следва да бъде част от една по-широка данъчна система, на която гражданите се доверяват, защото е справедлива и посреща социално-икономическите потребности на обществото.  Затова приоритетите на ЕС в областта на данъчното облагане са съсредоточени върху тези цели. </w:t>
      </w:r>
    </w:p>
    <w:p>
      <w:pPr>
        <w:pStyle w:val="Heading1"/>
        <w:numPr>
          <w:ilvl w:val="0"/>
          <w:numId w:val="24"/>
        </w:numPr>
        <w:rPr>
          <w:noProof/>
        </w:rPr>
      </w:pPr>
      <w:r>
        <w:rPr>
          <w:noProof/>
        </w:rPr>
        <w:t>НЕЗАБАВНИ РЕШЕНИЯ ЗА НЕПОСРЕДСТВЕНИТЕ ПОТРЕБНОСТИ: РЕФОРМИРАНЕ НА КОРПОРАТИВНОТО ДАНЪЧНО ОБЛАГАНЕ</w:t>
      </w:r>
    </w:p>
    <w:p>
      <w:pPr>
        <w:rPr>
          <w:noProof/>
        </w:rPr>
      </w:pPr>
      <w:r>
        <w:rPr>
          <w:noProof/>
        </w:rPr>
        <w:t>Комисията изготви амбициозна програма, чрез която корпоративното данъчно облагане да стане по-справедливо, по-ефикасно, по-адаптирано към съвременната икономика, за да посреща по-добре новите предизвикателства в тази област. Изпълнението на този план напредва бързо и много от основните цели вече са постигнати. Всички включени в Плана за действие на Комисията за справедливо и ефективно данъчно облагане</w:t>
      </w:r>
      <w:r>
        <w:rPr>
          <w:rStyle w:val="FootnoteReference"/>
          <w:noProof/>
        </w:rPr>
        <w:footnoteReference w:id="1"/>
      </w:r>
      <w:r>
        <w:rPr>
          <w:noProof/>
        </w:rPr>
        <w:t xml:space="preserve"> инициативи стартираха, а държавите членки приеха редица нови предложения. Комисията разширява обхвата на дейността си и извън рамките на плана за действие. Както се посочва в Съобщението относно по-нататъшни мерки за увеличаване на прозрачността и за борба с отклонението от данъчно облагане и избягването на данъци, публикувано след разкритията във връзка с „Панамските документи“, Комисията изразява готовност за разработването на бързи и ефективни решения на възникващите проблеми</w:t>
      </w:r>
      <w:r>
        <w:rPr>
          <w:noProof/>
          <w:vertAlign w:val="superscript"/>
        </w:rPr>
        <w:footnoteReference w:id="2"/>
      </w:r>
      <w:r>
        <w:rPr>
          <w:noProof/>
        </w:rPr>
        <w:t>. Освен това с цел да съхрани справедливата и конкурентна среда за всички дружества в ЕС Комисията проведе разследвания на държавната помощ във връзка с предоставянето от определени държави членки на предимства за избрани многонационални дружества</w:t>
      </w:r>
      <w:r>
        <w:rPr>
          <w:noProof/>
          <w:vertAlign w:val="superscript"/>
        </w:rPr>
        <w:footnoteReference w:id="3"/>
      </w:r>
      <w:r>
        <w:rPr>
          <w:noProof/>
        </w:rPr>
        <w:t>.</w:t>
      </w:r>
    </w:p>
    <w:p>
      <w:pPr>
        <w:autoSpaceDE w:val="0"/>
        <w:autoSpaceDN w:val="0"/>
        <w:adjustRightInd w:val="0"/>
        <w:spacing w:after="0"/>
        <w:rPr>
          <w:noProof/>
        </w:rPr>
      </w:pPr>
      <w:r>
        <w:rPr>
          <w:b/>
          <w:noProof/>
        </w:rPr>
        <w:t>Първите действия на Комисията бяха насочени към повишаване на данъчната прозрачност като необходима основа за по-нататъшни реформи.</w:t>
      </w:r>
      <w:r>
        <w:rPr>
          <w:noProof/>
        </w:rPr>
        <w:t xml:space="preserve"> В рамките на 12 месеца държавите членки постигнаха съгласие по предложенията за автоматичен обмен на информация относно данъчните становища</w:t>
      </w:r>
      <w:r>
        <w:rPr>
          <w:noProof/>
          <w:vertAlign w:val="superscript"/>
        </w:rPr>
        <w:footnoteReference w:id="4"/>
      </w:r>
      <w:r>
        <w:rPr>
          <w:noProof/>
        </w:rPr>
        <w:t xml:space="preserve"> и отчитането от </w:t>
      </w:r>
      <w:r>
        <w:rPr>
          <w:noProof/>
        </w:rPr>
        <w:lastRenderedPageBreak/>
        <w:t>многонационалните дружества на данъчна информация по държави</w:t>
      </w:r>
      <w:r>
        <w:rPr>
          <w:noProof/>
          <w:vertAlign w:val="superscript"/>
        </w:rPr>
        <w:footnoteReference w:id="5"/>
      </w:r>
      <w:r>
        <w:rPr>
          <w:noProof/>
        </w:rPr>
        <w:t>. В резултат на това прозрачността и сътрудничеството между данъчните органи в областта на корпоративното данъчно облагане ще достигнат единствено по рода си равнище. Комисията предложи също така публично отчитане по държави за многонационалните дружества, за да предостави на гражданите по-голям контрол върху данъчните практики на дружествата. Предложението, което понастоящем е предмет на преговори между Съвета и Европейския парламент, следва да допринесе за възстановяване на доверието на обществеността в корпоративното данъчно облагане и да гарантира на дружествата, че няма да се съобразяват с множество различни национални правила за публично оповестяване на информация. Очаква се преди края на годината да бъде постигнато съгласие по предложението за предоставяне на достъп на данъчните органи до националната информация относно борбата с изпирането на пари</w:t>
      </w:r>
      <w:r>
        <w:rPr>
          <w:noProof/>
          <w:vertAlign w:val="superscript"/>
        </w:rPr>
        <w:footnoteReference w:id="6"/>
      </w:r>
      <w:r>
        <w:rPr>
          <w:noProof/>
        </w:rPr>
        <w:t xml:space="preserve">. Европейският парламент и Съветът също така започнаха работа по позициите си относно предложените изменения на Четвъртата директива за борба с изпирането на пари, като се очаква работата да напредне бързо, за да могат тристранните срещи да започнат до началото на 2017 г. Освен това Комисията започна да проучва най-подходящите възможности за прилагане на автоматичния обмен на информация относно действителните собственици на европейско равнище, както и най-добрия начин за засилване на надзора върху субектите, създаващи възможности и стимули за прилагането на схеми за агресивно данъчно планиране. По-голямата данъчна прозрачност в цяла Европа ще допринесе за разкриването на случаите на агресивно данъчно планиране и вредни данъчни практики и за стабилизирането на средата за корпоративно данъчно облагане, основана на откритост и доверие.  </w:t>
      </w:r>
    </w:p>
    <w:p>
      <w:pPr>
        <w:rPr>
          <w:noProof/>
        </w:rPr>
      </w:pPr>
      <w:r>
        <w:rPr>
          <w:b/>
          <w:noProof/>
        </w:rPr>
        <w:t>Успоредно с това Комисията се стреми да гарантира, че всички дружества, извършващи стопанска дейност в ЕС, плащат данъците си на мястото, на което се реализират печалбите и стойността.</w:t>
      </w:r>
      <w:r>
        <w:rPr>
          <w:noProof/>
        </w:rPr>
        <w:t xml:space="preserve"> Този принцип е от съществено значение за постигането на справедливо и ефективно данъчно облагане, но той може да бъде реализиран ефективно в рамките на единния пазар единствено чрез общи и координирани мерки. Затова Комисията предложи нова Директива за борба с избягването на данъци</w:t>
      </w:r>
      <w:r>
        <w:rPr>
          <w:noProof/>
          <w:vertAlign w:val="superscript"/>
        </w:rPr>
        <w:footnoteReference w:id="7"/>
      </w:r>
      <w:r>
        <w:rPr>
          <w:noProof/>
        </w:rPr>
        <w:t xml:space="preserve">, в която са включени правно обвързващи мерки за борба със злоупотребите, валидни за целия ЕС, с цел да се сложи край на някои от най-разпространените форми на свиване на данъчната основа и прехвърляне на печалби. Това законодателство, което държавите членки приеха през юли 2016 г., им даде възможност да изпълнят координирано, последователно и навреме ангажиментите, поети в рамките на проекта на ОИСР/Г-20 относно свиването на данъчната основа и прехвърлянето на печалби („BEPS“). Преференциалните режими на държавите членки и правилата относно трансферното ценообразуване също са в процес на преразглеждане с цел намиране на общ подход на ЕС по отношение на новите международни стандарти. Това е от решаващо значение за обезпечаването на сигурност за дружествата при провеждането на реформите, както и за да се предотврати появата на нови пропуски в единния пазар. </w:t>
      </w:r>
    </w:p>
    <w:p>
      <w:pPr>
        <w:rPr>
          <w:noProof/>
        </w:rPr>
      </w:pPr>
      <w:r>
        <w:rPr>
          <w:b/>
          <w:noProof/>
        </w:rPr>
        <w:t xml:space="preserve">И накрая, Комисията представи мерки за насърчаване на доброто управление в областта на данъчното облагане в световен мащаб с цел осигуряване на справедливи и равнопоставени условия на конкуренция между ЕС и международните му партньори. </w:t>
      </w:r>
      <w:r>
        <w:rPr>
          <w:noProof/>
        </w:rPr>
        <w:t>Държавите членки одобриха новата външна стратегия за ефективно данъчно облагане</w:t>
      </w:r>
      <w:r>
        <w:rPr>
          <w:noProof/>
          <w:vertAlign w:val="superscript"/>
        </w:rPr>
        <w:footnoteReference w:id="8"/>
      </w:r>
      <w:r>
        <w:rPr>
          <w:noProof/>
        </w:rPr>
        <w:t xml:space="preserve">, представена от Комисията през януари 2016 г., чиято цел е да осигури защита от рисковете, идващи от чужбина, които могат да доведат до свиване на данъчните основи. Възлов елемент на тази стратегия е новата процедура по съставянето на общ за ЕС списък на данъчните юрисдикции, които не оказват съдействие. Стремежът е всички юрисдикции на трети държави да бъдат насърчени да спазват международните стандарти за добро управление в областта на данъчното облагане. Първите стъпки по изготвянето на общия списък на ЕС вече са факт и се очаква той да бъде готов през 2017 г. Той ще бъде мощен инструмент, който държавите членки могат да използват в подхода си към държавите, които не желаят да се съобразяват с правилата в данъчната област. Финансовият регламент на ЕС също беше преразгледан с оглед предотвратяване на възможностите средствата на ЕС да преминават през данъчни убежища, а в момента се работи по укрепването на клаузите за добро управление в областта на данъчното облагане в споразуменията на ЕС с трети държави. </w:t>
      </w:r>
    </w:p>
    <w:p>
      <w:pPr>
        <w:pStyle w:val="Heading1"/>
        <w:numPr>
          <w:ilvl w:val="0"/>
          <w:numId w:val="24"/>
        </w:numPr>
        <w:rPr>
          <w:noProof/>
        </w:rPr>
      </w:pPr>
      <w:r>
        <w:rPr>
          <w:noProof/>
        </w:rPr>
        <w:t>ПОЗИТИВНА ПРОГРАМА, ОРИЕНТИРАНА КЪМ БЪДЕЩЕТО</w:t>
      </w:r>
    </w:p>
    <w:p>
      <w:pPr>
        <w:rPr>
          <w:noProof/>
        </w:rPr>
      </w:pPr>
      <w:r>
        <w:rPr>
          <w:noProof/>
        </w:rPr>
        <w:t xml:space="preserve">Разгледаните по-горе инициативи са от първостепенно значение за защитата на данъчните основи на държавите членки, за осигуряване на равнопоставени условия на конкуренция за дружествата и за гарантиране на справедливо и ефективно данъчно облагане за всички данъкоплатци. Тези инициативи са насочени към най-належащите понастоящем проблеми в областта на корпоративното данъчно облагане. В дългосрочен план обаче е необходимо да се постигне повече. Краткосрочните мерки могат бързо да се окажат неактуални, тъй като стопанските модели и техниките за данъчно планиране се развиват по-бързо, отколкото се намират решения. Освен това частичните актуализации на международното, европейското или националното данъчно законодателство са източник на сътресения както за данъчните администрации, така и за дружествата, които трябва да се приспособят към тях. За да се стимулират заетостта, растежът и инвестициите, е необходимо създаването на благоприятна данъчна среда за стопанската дейност чрез намаляване на разходите за спазване на изискванията и на административната тежест, както и чрез обезпечаване на данъчна сигурност. Неотдавна лидерите на страните от Г-20 признаха значението на данъчната сигурност, която днес придобива ново световно измерение, като стимул за инвестициите и растежа. Държавите членки трябва да намерят равновесието между прилагането на необходимите реформи и осигуряването на стабилна, ясна и предвидима данъчна среда за дружествата. </w:t>
      </w:r>
    </w:p>
    <w:p>
      <w:pPr>
        <w:rPr>
          <w:noProof/>
        </w:rPr>
      </w:pPr>
      <w:r>
        <w:rPr>
          <w:noProof/>
        </w:rPr>
        <w:t>ЕС се нуждае от положителна и ориентирана към бъдещето рамка за корпоративно данъчно облагане.  Тя трябва да благоприятства постигането на растеж, да бъде ефективна и справедлива, както и да бъде изцяло в подкрепа на по-широките политически приоритети на ЕС, както днес, така и в бъдеще. Това са аргументите, на които се опира предложението на Комисията за възобновяване на проекта за общата консолидирана основа за облагане с корпоративен данък (ОКООКД). ОКООКД може да даде отговор на двете фундаментални потребности на европейските дружества и граждани днес — устойчив растеж и социална справедливост — като същевременно заздрави цялостния икономически и социален модел. Анализът показва, че ОКООКД може да доведе до ръст на инвестициите в ЕС с до 3,4 % и да увеличи растежа с 1,2 %</w:t>
      </w:r>
      <w:r>
        <w:rPr>
          <w:rStyle w:val="FootnoteReference"/>
          <w:noProof/>
        </w:rPr>
        <w:footnoteReference w:id="9"/>
      </w:r>
      <w:r>
        <w:rPr>
          <w:noProof/>
        </w:rPr>
        <w:t xml:space="preserve">. </w:t>
      </w:r>
    </w:p>
    <w:p>
      <w:pPr>
        <w:rPr>
          <w:noProof/>
        </w:rPr>
      </w:pPr>
      <w:r>
        <w:rPr>
          <w:noProof/>
        </w:rPr>
        <w:t xml:space="preserve">За първи път въвеждането на ОКООКД бе предложено от Комисията през 2011 г. с цел да се укрепи функционирането на единния пазар в помощ на дружествата. Предложението бе амбициозно и мащабно, но именно неговата величина стана причина за застой в преговорите в рамките на Съвета. Европейският парламент, дружествата, заинтересованите страни и много държави членки обаче продължиха активно да подкрепят идеята за ОКООКД предвид многото ползи, които тя предлага. Освен това през последните няколко години стана ясно, че ОКООКД предлага нещо повече от благоприятна за стопанската дейност данъчна система, укрепваща единния пазар. </w:t>
      </w:r>
    </w:p>
    <w:p>
      <w:pPr>
        <w:rPr>
          <w:noProof/>
        </w:rPr>
      </w:pPr>
      <w:r>
        <w:rPr>
          <w:noProof/>
        </w:rPr>
        <w:t xml:space="preserve">Поради това в плана за действие от юни 2015 г. Комисията обяви, че ще даде нов тласък на този важен проект посредством по-лесноосъществим процес, съставен от два етапа.  Първата стъпка обхваща създаването на общата данъчна основа. След реализирането на тази фаза ще започне по-сложният втори етап, обхващащ данъчната консолидация. Много от най-важните предимства на ОКООКД са свързани именно с него.  Затова тази втора стъпка към възобновяването на проекта за ОКООКД не може да се пренебрегне, нито да се спре. Работата по настоящия пакет ще завърши едва след като ОКООКД бъде реализирана в нейната цялост. </w:t>
      </w:r>
    </w:p>
    <w:p>
      <w:pPr>
        <w:rPr>
          <w:noProof/>
        </w:rPr>
      </w:pPr>
      <w:r>
        <w:rPr>
          <w:noProof/>
        </w:rPr>
        <w:t xml:space="preserve">Възобновяването на инициативата за ОКООКД дава възможност първоначалното предложение да бъде актуализирано и приведено в съответствие с новите предизвикателства, възникващи в сферата на данъчното облагане в световен мащаб.  Най-явната промяна е, че ОКООКД ще бъде задължителна за всички представящи финансови отчети групи с консолидирани приходи над 750 милиона евро. Така би следвало максимално да се оползотвори потенциала ѝ като инструмент срещу избягването на данъци. Това също така означава, че дружествата ще знаят в каква позиция се намират, що се отнася до правилата на ЕС за борба със злоупотребите, и по този начин няма да се налага да въвеждат ненужни корекции. Сама по себе си ОКООКД ще означава по-предвидима среда за дружествата в ЕС. </w:t>
      </w:r>
    </w:p>
    <w:p>
      <w:pPr>
        <w:rPr>
          <w:noProof/>
        </w:rPr>
      </w:pPr>
      <w:r>
        <w:rPr>
          <w:noProof/>
        </w:rPr>
        <w:t xml:space="preserve">Комисията включи в предложението и два нови елемента, насочени пряко към подкрепа на по-широката икономическа програма на ЕС. За разходите за научноизследователска и развойна дейност (НИРД) ще бъде предоставено свръхприспадане с цел да се насърчат НИРД и иновациите като основни двигатели на растежа. Освен това, за да се стимулира предприемачеството, на малките и иновативни дружества, които нямат свързани дружества, ще бъде предоставено още по-голямо свръхприспадане. Чрез ОКООКД се дава решение и на проблема с изкривяващото въздействие на преференциалното третиране на дълга в сравнение със собствения капитал, за да се допринесе за укрепването на съюза на капиталовите пазари и осигуряването на по-голяма финансова стабилност в ЕС. </w:t>
      </w:r>
    </w:p>
    <w:p>
      <w:pPr>
        <w:pStyle w:val="Heading1"/>
        <w:numPr>
          <w:ilvl w:val="0"/>
          <w:numId w:val="24"/>
        </w:numPr>
        <w:rPr>
          <w:noProof/>
        </w:rPr>
      </w:pPr>
      <w:r>
        <w:rPr>
          <w:noProof/>
        </w:rPr>
        <w:t xml:space="preserve">МОДЕРНА, ОПРОСТЕНА, СИГУРНА: ПО-ДОБРА И ПО-ЕФЕКТИВНА ДАНЪЧНА СРЕДА ЗА ДРУЖЕСТВАТА </w:t>
      </w:r>
    </w:p>
    <w:p>
      <w:pPr>
        <w:rPr>
          <w:noProof/>
        </w:rPr>
      </w:pPr>
      <w:r>
        <w:rPr>
          <w:noProof/>
        </w:rPr>
        <w:t>Дружествата в единния пазар се нуждаят от опростена, стабилна и обезпечена с правна сигурност среда, в която да се развиват. Данъчните пречки, свързани с трансграничната дейност, трябва да са минимални, а дружествата не следва да бъдат обременявани с ненужни административни тежести и разходи. ЕС се нуждае от рамка за корпоративно данъчно облагане, която отговаря на съвременната стопанска действителност в 21-ви век и която насърчава предприемачеството, привлича инвеститорите и улеснява всички дружества, както големите, така и малките.</w:t>
      </w:r>
    </w:p>
    <w:p>
      <w:pPr>
        <w:rPr>
          <w:b/>
          <w:noProof/>
        </w:rPr>
      </w:pPr>
      <w:r>
        <w:rPr>
          <w:b/>
          <w:noProof/>
        </w:rPr>
        <w:t xml:space="preserve">4.1 Единна система за корпоративно данъчно облагане за единния пазар  </w:t>
      </w:r>
    </w:p>
    <w:p>
      <w:pPr>
        <w:rPr>
          <w:noProof/>
        </w:rPr>
      </w:pPr>
      <w:r>
        <w:rPr>
          <w:b/>
          <w:noProof/>
        </w:rPr>
        <w:t xml:space="preserve">ОКООКД ще допринесе за значително подобряване на функционирането на единния пазар от данъчна гледна точка. </w:t>
      </w:r>
      <w:r>
        <w:rPr>
          <w:noProof/>
        </w:rPr>
        <w:t xml:space="preserve">Трансграничните дружества ще спечелят от прилагането на единен набор от правила за изчисляване на облагаемите си печалби в ЕС в сравнение със спазването на различни национални системи. Те ще могат да подават единна данъчна декларация за всички свои дейности в ЕС чрез система за „обслужване на едно гише“ в една-единствена държава членка, вместо да се обръщат към множество данъчни органи. Консолидацията означава също така, че загубите в една държава членка ще могат автоматично да се прихващат срещу печалбите в друга, като по този начин трансграничните дружества получават същото третиране, както изцяло националните дружества. </w:t>
      </w:r>
    </w:p>
    <w:p>
      <w:pPr>
        <w:rPr>
          <w:noProof/>
        </w:rPr>
      </w:pPr>
      <w:r>
        <w:rPr>
          <w:noProof/>
        </w:rPr>
        <w:t xml:space="preserve">В предложената директива за възобновяване на проекта за ОКООКД Комисията запази амбициозния подход към консолидацията, възприет в първоначалното предложение. Поради прилагането на двустепенния подход обаче реализирането на ползите няма да бъде незабавно. За да компенсира това, Комисията предлага докато консолидацията бъде одобрена дружествата да се ползват от опростена и стабилна система за временно трансгранично компенсиране на загубите в рамките на общата основа. </w:t>
      </w:r>
    </w:p>
    <w:p>
      <w:pPr>
        <w:rPr>
          <w:noProof/>
        </w:rPr>
      </w:pPr>
      <w:r>
        <w:rPr>
          <w:b/>
          <w:noProof/>
        </w:rPr>
        <w:t>ОКООКД ще бъде ясна, стабилна и обвързана с правото на ЕС.</w:t>
      </w:r>
      <w:r>
        <w:rPr>
          <w:noProof/>
        </w:rPr>
        <w:t xml:space="preserve"> Тя ще бъде съгласувана единодушно от всички държави членки, което ще осигури стабилна, неподатлива на непрекъснати промени система. Това ще гарантира изключително високо равнище на данъчна сигурност за дружествата. Когато разширяват дейността си зад граница, те няма да се съобразяват с разнородните данъчни правила на всяка държава членка. Повече няма да се стремят да разбират различните подходи на държавите членки при облагането на някои доходи. Ще бъде сложен край на високите административни и съдебни разноски, свързани със сложното трансферно ценообразуване. С ОКООКД основните данъчни пречки за дружествата в днешния единен пазар ще бъдат премахнати. </w:t>
      </w:r>
    </w:p>
    <w:p>
      <w:pPr>
        <w:rPr>
          <w:noProof/>
        </w:rPr>
      </w:pPr>
      <w:r>
        <w:rPr>
          <w:b/>
          <w:noProof/>
        </w:rPr>
        <w:t xml:space="preserve">ОКООКД предлага големи ползи както за малките и средните предприятия (МСП), така и за големите дружества в ЕС. </w:t>
      </w:r>
      <w:r>
        <w:rPr>
          <w:noProof/>
        </w:rPr>
        <w:t xml:space="preserve">ОКООКД ще бъде задължителна само за най-големите дружества. МСП и стартиращите дружества обаче могат да изберат да се присъединят към системата, ако желаят да се възползват от възможностите за опростяване и намаляване на разходите, които тя предлага. Оценките сочат, че понастоящем около 30 % от платените данъци се изразходват от МСП за разходи за спазване на изискванията, а този дял е дори още по-голям, ако решат да разширят дейността си зад граница. ОКООКД ще доведе до съществено намаляване на тези разходи, както и на разходите по учредяване на дъщерно дружество в друга държава членка. Тези икономии, заедно с рационализираните правила и опростеното подаване на данъчните декларации, ще насърчи малките и нововъзникващите дружества да се разрастват и да разширяват дейността си в единния пазар. </w:t>
      </w:r>
    </w:p>
    <w:p>
      <w:pPr>
        <w:pStyle w:val="Heading2"/>
        <w:numPr>
          <w:ilvl w:val="0"/>
          <w:numId w:val="0"/>
        </w:numPr>
        <w:rPr>
          <w:b w:val="0"/>
          <w:noProof/>
        </w:rPr>
      </w:pPr>
      <w:r>
        <w:rPr>
          <w:noProof/>
        </w:rPr>
        <w:t xml:space="preserve">4.2 По-добри инструменти за избягване на двойното данъчно облагане </w:t>
      </w:r>
    </w:p>
    <w:p>
      <w:pPr>
        <w:rPr>
          <w:noProof/>
        </w:rPr>
      </w:pPr>
      <w:r>
        <w:rPr>
          <w:b/>
          <w:noProof/>
        </w:rPr>
        <w:t>Дружествата трябва да плащат полагащия им се справедлив дял от данъците на мястото, на което реализират печалбите си, но не трябва да плащат повече от това.</w:t>
      </w:r>
      <w:r>
        <w:rPr>
          <w:noProof/>
        </w:rPr>
        <w:t xml:space="preserve"> Една от най-съществените данъчни пречки в единния пазар е двойното данъчно облагане.</w:t>
      </w:r>
    </w:p>
    <w:p>
      <w:pPr>
        <w:rPr>
          <w:noProof/>
        </w:rPr>
      </w:pPr>
      <w:r>
        <w:rPr>
          <w:noProof/>
        </w:rPr>
        <w:t xml:space="preserve">Разногласията между държавите членки относно това кой има право да облага с данък определени печалби често водят до двойно или неколкократно облагане на дружествата за един и същ доход. По последни данни споровете във връзка с двойното данъчно облагане в ЕС в момента са около 900, на стойност 10,5 милиарда евро. Повечето държави членки са сключили помежду си двустранни данъчни спогодби за избягване на двойното данъчно облагане, като прилагат и съответни процедури за разрешаване на спорове. Тези процедури обаче са дълги и скъпи и не винаги водят до постигането на споразумение. Многостранната Арбитражна конвенция, договорена между държавите членки, до известна степен смекчава съществуващите трудности.  Нейният обхват обаче е ограничен до спорове във връзка с трансферното ценообразуване и не предвижда възможност за отмяна на тълкуването на разпоредбите.  </w:t>
      </w:r>
    </w:p>
    <w:p>
      <w:pPr>
        <w:rPr>
          <w:b/>
          <w:noProof/>
        </w:rPr>
      </w:pPr>
      <w:r>
        <w:rPr>
          <w:b/>
          <w:noProof/>
        </w:rPr>
        <w:t>За дружествата, участващи в системата на ОКООКД, двойното данъчно облагане като цяло следва да остане в миналото.</w:t>
      </w:r>
      <w:r>
        <w:rPr>
          <w:noProof/>
        </w:rPr>
        <w:t xml:space="preserve"> Единният набор от правила за изчисляване на печалбите на дружествата, съчетан с новата формула за разпределяне, която определя точно правата за данъчно облагане, ще създаде яснота за това кои печалби трябва да се облагат и къде. Все още обаче е възможно да възникнат случаи на двойно данъчно облагане, например когато са налице договорености за трансферно ценообразуване между субект — член на група, в рамките на ЕС и извън него, или за дружества, които не участват в системата на ОКООКД. В тези случаи ще бъде необходима по-ефикасна система за разрешаване на спорове във връзка с двойното данъчно облагане.  Освен това докато ОКООКД бъде съгласувана, е необходима ефективна система за разрешаване на споровете във връзка с двойното данъчно облагане, която да бъде с по-широк обхват. </w:t>
      </w:r>
    </w:p>
    <w:p>
      <w:pPr>
        <w:rPr>
          <w:noProof/>
        </w:rPr>
      </w:pPr>
      <w:r>
        <w:rPr>
          <w:b/>
          <w:noProof/>
        </w:rPr>
        <w:t xml:space="preserve">Днес Комисията предложи Директива за подобряване на механизмите за разрешаване на спорове във връзка с двойното данъчно облагане в ЕС с цел постигане на по-справедлива, сигурна и стабилна данъчна среда. </w:t>
      </w:r>
      <w:r>
        <w:rPr>
          <w:noProof/>
        </w:rPr>
        <w:t xml:space="preserve">Новите правила ще гарантират, че случаите на двойно данъчно облагане, които възникнат между държавите членки, се разрешават по-бързо и по-убедително. Ако държавите членки не могат да постигнат съгласие относно решаването на даден случай, данъкоплатецът може да поиска от националния съд в своята държава членка да учреди арбитражен комитет, който да се произнесе с окончателно, обвързващо решение по случая в рамките на определен период от време. Така ще се избегне създаването на несигурност за засегнатите дружества. За по-широк кръг от случаи ще могат да се използват и механизмите за разрешаване на спорове, предвидени в днешното предложение. Подобренията на тези механизми ще спестят както на дружествата, така и на администрациите много време, средства и ресурси и ще засилят данъчната сигурност за дружествата в ЕС.  </w:t>
      </w:r>
    </w:p>
    <w:p>
      <w:pPr>
        <w:pStyle w:val="Heading1"/>
        <w:numPr>
          <w:ilvl w:val="0"/>
          <w:numId w:val="24"/>
        </w:numPr>
        <w:rPr>
          <w:noProof/>
          <w:szCs w:val="24"/>
        </w:rPr>
      </w:pPr>
      <w:r>
        <w:rPr>
          <w:noProof/>
        </w:rPr>
        <w:t xml:space="preserve">ПРОЗРАЧНО, ЕФЕКТИВНО, ПОСЛЕДОВАТЕЛНО: ПО-СПРАВЕДЛИВО ДАНЪЧНО ОБЛАГАНЕ ЗА ВСИЧКИ  </w:t>
      </w:r>
    </w:p>
    <w:p>
      <w:pPr>
        <w:rPr>
          <w:noProof/>
        </w:rPr>
      </w:pPr>
      <w:r>
        <w:rPr>
          <w:noProof/>
        </w:rPr>
        <w:t xml:space="preserve">Справедливостта се превърна в основно изискване на политиката в областта на корпоративното данъчно облагане както в Европа, така и в международен план. Дружествата, които се възползват от единния пазар, трябва да плащат данъци там, където реализират печалбите си, и всички те следва да бъдат третирани по неутрален начин за данъчни цели. ЕС се нуждае от система за корпоративно данъчно облагане, която гарантира стабилна защита срещу злоупотреби с корпоративното данъчно облагане, равнопоставени условия на конкуренция за дружествата, както и справедливо поделяне на тежестта за всички данъкоплатци. </w:t>
      </w:r>
    </w:p>
    <w:p>
      <w:pPr>
        <w:rPr>
          <w:b/>
          <w:noProof/>
        </w:rPr>
      </w:pPr>
      <w:r>
        <w:rPr>
          <w:b/>
          <w:noProof/>
        </w:rPr>
        <w:t xml:space="preserve">5.1 По-справедлива система за корпоративно данъчно облагане </w:t>
      </w:r>
    </w:p>
    <w:p>
      <w:pPr>
        <w:rPr>
          <w:b/>
          <w:noProof/>
        </w:rPr>
      </w:pPr>
      <w:r>
        <w:rPr>
          <w:b/>
          <w:noProof/>
        </w:rPr>
        <w:t>ОКООКД е израз на една справедлива система за корпоративно данъчно облагане</w:t>
      </w:r>
      <w:r>
        <w:rPr>
          <w:noProof/>
        </w:rPr>
        <w:t xml:space="preserve">. Тя ще даде решения за преодоляването на важни слабости в настоящата данъчна рамка, които дават възможност за агресивно данъчно планиране. Поради факта, че всички държави членки ще прилагат едни и същи правила за изчисляване на облагаемите печалби на дружествата, общата основа ще премахне пропуските и несъответствията между националните данъчни системи, които се използват от лицата, избягващи данъци. Трансферното ценообразуване, което представлява около 70 % от общия размер на прехвърлените печалби, ще бъде премахнато. Освен това с цел укрепване на капацитета за борба с избягването на данъци ОКООКД ще бъде задължителна за най-големите дружества, извършващи дейност в ЕС. </w:t>
      </w:r>
    </w:p>
    <w:p>
      <w:pPr>
        <w:rPr>
          <w:noProof/>
        </w:rPr>
      </w:pPr>
      <w:r>
        <w:rPr>
          <w:b/>
          <w:noProof/>
        </w:rPr>
        <w:t xml:space="preserve">Стимулите за вредна данъчна конкуренция между държавите членки ще бъдат премахнати. </w:t>
      </w:r>
      <w:r>
        <w:rPr>
          <w:noProof/>
        </w:rPr>
        <w:t xml:space="preserve">Повече няма да е необходимо държавите членки да заделят значителни ресурси за преследването на мобилни данъчни основи, тъй като при ОКООКД печалбите ще се разпределят така, че данъчното облагане по-добре да отразява мястото, където се извършва действителната стопанска дейност. Това ще даде възможност на държавите членки да пренасочат ресурсите си към благоприятстващо растежа данъчно облагане, което насърчава инвестициите и постигането на заетост и служи на по-широките социално-икономически нужди.  </w:t>
      </w:r>
    </w:p>
    <w:p>
      <w:pPr>
        <w:rPr>
          <w:noProof/>
        </w:rPr>
      </w:pPr>
      <w:r>
        <w:rPr>
          <w:b/>
          <w:noProof/>
        </w:rPr>
        <w:t xml:space="preserve">С ОКООКД ще се осигури пълна прозрачност на всяка от националните данъчни системи на държавите членки и на техните ефективни данъчни ставки. </w:t>
      </w:r>
      <w:r>
        <w:rPr>
          <w:noProof/>
        </w:rPr>
        <w:t xml:space="preserve">Държавите членки имат суверенното право да определят собствените си данъчни ставки и ОКООКД не пречи на това по никакъв начин. Чрез нея ще се гарантира, че щом държавата определи данъчната си ставка, тази ставка ще се прилага ефективно за всички дружества. Скритите преференциални режими и вредните данъчни становища вече няма да са възможни. Това следва да увеличи доверието на гражданите в системата на данъчното облагане на дружествата и да осигури по-равнопоставени условия на конкуренция за всички дружества в рамките на единния пазар. </w:t>
      </w:r>
    </w:p>
    <w:p>
      <w:pPr>
        <w:rPr>
          <w:b/>
          <w:noProof/>
        </w:rPr>
      </w:pPr>
      <w:r>
        <w:rPr>
          <w:b/>
          <w:noProof/>
        </w:rPr>
        <w:t xml:space="preserve">5.2 Допълнителни мерки за борба със злоупотребите </w:t>
      </w:r>
    </w:p>
    <w:p>
      <w:pPr>
        <w:rPr>
          <w:noProof/>
        </w:rPr>
      </w:pPr>
      <w:r>
        <w:rPr>
          <w:noProof/>
        </w:rPr>
        <w:t xml:space="preserve">ОКООКД съдържа разпоредби за борба със злоупотребите, чиято цел е да защитят държавите членки от свиване на данъчната основа и прехвърляне на печалби както в рамките на ЕС, така и по отношение на трети държави. Това ще затвърди въздействието ѝ като инструмент за предотвратяване на избягването на данъци. Мерките за борба със злоупотребите в рамките на ОКООКД са отражение на мерките, предвидени в Директивата срещу избягването на данъци, които бяха договорени от държавите членки през юли 2016 г. Това ще гарантира, че за всички дружества се прилагат еднакви правила за борба със злоупотребите, независимо дали участват в системата на ОКООКД или не. </w:t>
      </w:r>
    </w:p>
    <w:p>
      <w:pPr>
        <w:rPr>
          <w:b/>
          <w:noProof/>
        </w:rPr>
      </w:pPr>
      <w:r>
        <w:rPr>
          <w:b/>
          <w:noProof/>
        </w:rPr>
        <w:t>Комисията днес представи и друго предложение — за преодоляване на несъответствията при хибридни субекти и инструменти, включващи трети държави</w:t>
      </w:r>
      <w:r>
        <w:rPr>
          <w:noProof/>
        </w:rPr>
        <w:t>, с цел по-нататъшно укрепване на разпоредбите на ЕС за борба със злоупотребите и преодоляване на външните рискове.</w:t>
      </w:r>
      <w:r>
        <w:rPr>
          <w:b/>
          <w:noProof/>
        </w:rPr>
        <w:t xml:space="preserve"> </w:t>
      </w:r>
      <w:r>
        <w:rPr>
          <w:noProof/>
        </w:rPr>
        <w:t xml:space="preserve">В Директивата срещу избягването на данъци вече са включени някои мерки относно несъответствията при хибридни субекти и инструменти в рамките на ЕС, чрез които се премахва основният канал за свиването на данъчната основа и прехвърлянето на печалби. Тези несъответствия обаче не са ограничени само до единния пазар и е необходимо да се намери решение за противодействие на външните рискове. При съгласуването на Директивата срещу избягването на данъци държавите членки поискаха Комисията да представи друго предложение, с което да се гарантират ефективни мерки за преодоляване на този проблем. Ето защо Комисията предложи нови мерки, насочени към широк кръг от несъответствия, включително несъответствията по отношение на хибридните места на стопанска дейност, привнесените несъответствия, несъответствията при хибридни трансфери и при дружества с двойно установяване, както в рамките на ЕС, така и по отношение на трети държави. Разпоредбите на новото предложение, както и предвидените в Директивата срещу избягването на данъци мерки са в съответствие с подхода на ОИСР по проекта „BEPS“. </w:t>
      </w:r>
    </w:p>
    <w:p>
      <w:pPr>
        <w:pStyle w:val="Heading1"/>
        <w:numPr>
          <w:ilvl w:val="0"/>
          <w:numId w:val="24"/>
        </w:numPr>
        <w:rPr>
          <w:noProof/>
        </w:rPr>
      </w:pPr>
      <w:r>
        <w:rPr>
          <w:noProof/>
        </w:rPr>
        <w:t>СТАБИЛНА, БЛАГОПРИЯТНА И ЕДНОЗНАЧНА: МОДЕРНА ДАНЪЧНА СИСТЕМА ЗА ЖИЗНЕСПОСОБНА ИКОНОМИКА</w:t>
      </w:r>
    </w:p>
    <w:p>
      <w:pPr>
        <w:rPr>
          <w:noProof/>
        </w:rPr>
      </w:pPr>
      <w:r>
        <w:rPr>
          <w:noProof/>
        </w:rPr>
        <w:t xml:space="preserve">ЕС се нуждае от система за корпоративно данъчно облагане, насочена към изграждането на по-конкурентоспособен, иновативен и икономически стабилен Европейски съюз. За постигането на растеж и привличането на инвестиции е необходима среда, която насърчава бизнеса, стимулира продуктивното финансиране и поощрява благоприятстващите растежа дейности, каквито са научните изследвания и иновациите. ОКООКД ще превърне ЕС в изключително привлекателен пазар за инвестиции, като осигури на дружествата стабилна и предвидима нормативна уредба, равнопоставени условия на конкуренция, намалени разходи и облекчена административна тежест. За да подсили предложението за ОКООКД, Комисията включи в него и нови разпоредби, насочени специално към дейностите, стимулиращи растежа.  </w:t>
      </w:r>
    </w:p>
    <w:p>
      <w:pPr>
        <w:rPr>
          <w:b/>
          <w:noProof/>
        </w:rPr>
      </w:pPr>
      <w:r>
        <w:rPr>
          <w:b/>
          <w:noProof/>
        </w:rPr>
        <w:t>6.1 Повече стимули за иновациите</w:t>
      </w:r>
    </w:p>
    <w:p>
      <w:pPr>
        <w:rPr>
          <w:noProof/>
        </w:rPr>
      </w:pPr>
      <w:r>
        <w:rPr>
          <w:b/>
          <w:noProof/>
        </w:rPr>
        <w:t xml:space="preserve">ОКООКД ще осигури подкрепа за научноизследователската и развойната дейност като основополагащ фактор за растежа и конкурентоспособността. </w:t>
      </w:r>
      <w:r>
        <w:rPr>
          <w:noProof/>
        </w:rPr>
        <w:t xml:space="preserve">В сравнение с други развити икономики ЕС понастоящем изостава, що се отнася до инвестициите в научни изследвания и иновации. Въпреки че почти всички държави членки предоставят данъчни стимули за НИРД, не всички са ефективни, а някои дори се използват от по-големите дружества с цел избягване на данъци. Освен това наличието на различни стимули в националните данъчни системи усложнява данъчната среда за дружествата, инвестиращи в НИРД. </w:t>
      </w:r>
    </w:p>
    <w:p>
      <w:pPr>
        <w:rPr>
          <w:b/>
          <w:noProof/>
        </w:rPr>
      </w:pPr>
      <w:r>
        <w:rPr>
          <w:b/>
          <w:noProof/>
        </w:rPr>
        <w:t xml:space="preserve">ОКООКД предвижда данъчно приспадане в рамките на целия ЕС за дружествата, които инвестират в същинска научноизследователска дейност. </w:t>
      </w:r>
      <w:r>
        <w:rPr>
          <w:noProof/>
        </w:rPr>
        <w:t xml:space="preserve">Възможността за данъчно приспадане ще бъде още по-голяма за стартиращите дружества поради важната им роля за създаването на работни места, насърчаването на здравословна конкуренция и прокарването на по-ефективни стопански модели. Данъчният стимул за НИРД ще даде тласък за развитие на дружествата с по-малък бюджет и ще насърчи разрастването на нововъзникващите иновативни дружества. Той е разработен въз основа на модел за най-добри практики, което го прави неизползваем за целите на избягването на данъци.    </w:t>
      </w:r>
    </w:p>
    <w:p>
      <w:pPr>
        <w:rPr>
          <w:b/>
          <w:noProof/>
        </w:rPr>
      </w:pPr>
      <w:r>
        <w:rPr>
          <w:b/>
          <w:noProof/>
        </w:rPr>
        <w:t>6.2 Данъчна среда, благоприятстваща инвестициите</w:t>
      </w:r>
    </w:p>
    <w:p>
      <w:pPr>
        <w:rPr>
          <w:b/>
          <w:noProof/>
        </w:rPr>
      </w:pPr>
      <w:r>
        <w:rPr>
          <w:b/>
          <w:noProof/>
        </w:rPr>
        <w:t>ОКООКД включва и мерки за коригиране на изкривяванията в действащите данъчни системи, които могат да дестабилизират икономиката.</w:t>
      </w:r>
      <w:r>
        <w:rPr>
          <w:noProof/>
        </w:rPr>
        <w:t xml:space="preserve"> Повечето системи за корпоративно данъчно облагане на държавите членки благоприятстват дълговото финансиране чрез възможността за приспадане на лихвените плащания, но подобен данъчен режим не се предоставя за собствения капитал. Вследствие на това преференциално третиране дружествата предпочитат финансирането чрез дълг, което на свой ред ги прави по-уязвими, докато икономиките стават по-податливи на сътресения. Това пречи на европейските дружества да формират стабилна капиталова база. То изкривява структурата на финансовия пазар по посока на дълговите инструменти и може да възпрепятства ефективното финансиране на капиталовия пазар.</w:t>
      </w:r>
      <w:r>
        <w:rPr>
          <w:b/>
          <w:noProof/>
        </w:rPr>
        <w:t xml:space="preserve"> </w:t>
      </w:r>
      <w:r>
        <w:rPr>
          <w:noProof/>
        </w:rPr>
        <w:t xml:space="preserve"> Това от своя страна противоречи на фундаменталните цели на съюза на капиталовите пазари и на изискванията на банковия съюз по отношение на капиталовата база.</w:t>
      </w:r>
      <w:r>
        <w:rPr>
          <w:b/>
          <w:noProof/>
        </w:rPr>
        <w:t xml:space="preserve"> </w:t>
      </w:r>
    </w:p>
    <w:p>
      <w:pPr>
        <w:rPr>
          <w:noProof/>
          <w:szCs w:val="24"/>
        </w:rPr>
      </w:pPr>
      <w:r>
        <w:rPr>
          <w:b/>
          <w:noProof/>
        </w:rPr>
        <w:t>ОКООКД ще премахне изкривяванията, породени от префернциалното третиране на дълга, посредством данъчно облекчение за растеж и инвестиции (ДОРИ).</w:t>
      </w:r>
      <w:r>
        <w:rPr>
          <w:noProof/>
        </w:rPr>
        <w:t xml:space="preserve"> Данъчното облекчение ще гарантира, че за собствения капитал и за дълга се прилагат данъчни стимули на еднакво равнище, създавайки по-неутрална данъчна среда, която поощрява инвестициите.  ДОРИ ще послужи на дружествата, които укрепват структурите си за финансиране и участват на капиталовите пазари</w:t>
      </w:r>
      <w:r>
        <w:rPr>
          <w:rStyle w:val="FootnoteReference"/>
          <w:noProof/>
        </w:rPr>
        <w:footnoteReference w:id="10"/>
      </w:r>
      <w:r>
        <w:rPr>
          <w:noProof/>
        </w:rPr>
        <w:t xml:space="preserve">. За МСП, които често срещат трудности при получаването на заеми, тази нова разпоредба ще бъде от особена полза. Като се има предвид положителното въздействие, което ДОРИ ще окаже както върху дружествата, така и върху икономиката като цяло, Комисията приканва държавите членки да обмислят възможността да използват това данъчно облекчение и за дружества извън системата на ОКООКД. </w:t>
      </w:r>
    </w:p>
    <w:p>
      <w:pPr>
        <w:pStyle w:val="ListParagraph"/>
        <w:rPr>
          <w:b/>
          <w:noProof/>
          <w:szCs w:val="24"/>
        </w:rPr>
      </w:pPr>
    </w:p>
    <w:p>
      <w:pPr>
        <w:pStyle w:val="ListParagraph"/>
        <w:numPr>
          <w:ilvl w:val="0"/>
          <w:numId w:val="24"/>
        </w:numPr>
        <w:rPr>
          <w:b/>
          <w:noProof/>
          <w:szCs w:val="24"/>
        </w:rPr>
      </w:pPr>
      <w:r>
        <w:rPr>
          <w:b/>
          <w:noProof/>
        </w:rPr>
        <w:t>ЗАКЛЮЧЕНИЕ</w:t>
      </w:r>
    </w:p>
    <w:p>
      <w:pPr>
        <w:rPr>
          <w:noProof/>
        </w:rPr>
      </w:pPr>
      <w:r>
        <w:rPr>
          <w:noProof/>
        </w:rPr>
        <w:t xml:space="preserve">Комисията предлага цялостен отговор на настоящите и нововъзникващите предизвикателства в областта на корпоративното данъчно облагане и възприема нов положителен подход към данъчното облагане на дружествата в бъдеще. ОКООКД ще доведе до съществени подобрения на рамката за корпоративно данъчно облагане в ЕС, които ще намерят израз в опростяването, данъчната сигурност и справедливостта. Чрез общата основа ще се гарантира, че корпоративното данъчно облагане е съобразено със съвременната икономика и служи за постигането на целта за по-здрав и по-конкурентоспособен единен пазар. Предложението относно решаването на спорове във връзка с двойното данъчно облагане и предложението за преодоляване на несъответствията при хибридни субекти и инструменти с трети държави, които Комисията също представи днес, допълнително ще спомогнат за изграждането на по-справедлива и по-ефикасна система за корпоративно данъчно облагане в ЕС. Поради това Комисията призовава държавите членки по-скоро да постигнат съгласие по всички предложения, представени днес, за да могат дружествата, администрациите, гражданите и европейската икономика да започнат да черпят в пълна степен от преимуществата на тази справедлива, конкурентоспособна и стабилна среда за корпоративно данъчно облагане. </w:t>
      </w: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11967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COM (2015) 302 final</w:t>
      </w:r>
    </w:p>
  </w:footnote>
  <w:footnote w:id="2">
    <w:p>
      <w:pPr>
        <w:rPr>
          <w:sz w:val="20"/>
        </w:rPr>
      </w:pPr>
      <w:r>
        <w:rPr>
          <w:rStyle w:val="FootnoteReference"/>
          <w:rFonts w:asciiTheme="minorHAnsi" w:hAnsiTheme="minorHAnsi"/>
          <w:sz w:val="20"/>
        </w:rPr>
        <w:footnoteRef/>
      </w:r>
      <w:r>
        <w:rPr>
          <w:rFonts w:asciiTheme="minorHAnsi" w:hAnsiTheme="minorHAnsi"/>
          <w:sz w:val="20"/>
        </w:rPr>
        <w:t xml:space="preserve"> </w:t>
      </w:r>
      <w:r>
        <w:rPr>
          <w:sz w:val="20"/>
        </w:rPr>
        <w:t>COM (2016) 451 final</w:t>
      </w:r>
    </w:p>
  </w:footnote>
  <w:footnote w:id="3">
    <w:p>
      <w:pPr>
        <w:pStyle w:val="FootnoteText"/>
      </w:pPr>
      <w:r>
        <w:rPr>
          <w:rStyle w:val="FootnoteReference"/>
        </w:rPr>
        <w:footnoteRef/>
      </w:r>
      <w:r>
        <w:t xml:space="preserve"> Вж. съобщението относно понятието за държавна помощ § 169—174:</w:t>
      </w:r>
    </w:p>
    <w:p>
      <w:pPr>
        <w:pStyle w:val="FootnoteText"/>
        <w:rPr>
          <w:color w:val="1F497D"/>
        </w:rPr>
      </w:pPr>
      <w:hyperlink r:id="rId1">
        <w:r>
          <w:rPr>
            <w:rStyle w:val="Hyperlink"/>
          </w:rPr>
          <w:t>http://ec.europa.eu/competition/state_aid/modernisation/notice_of_aid_en.pdf</w:t>
        </w:r>
      </w:hyperlink>
    </w:p>
  </w:footnote>
  <w:footnote w:id="4">
    <w:p>
      <w:pPr>
        <w:pStyle w:val="FootnoteText"/>
      </w:pPr>
      <w:r>
        <w:rPr>
          <w:rStyle w:val="FootnoteReference"/>
        </w:rPr>
        <w:footnoteRef/>
      </w:r>
      <w:r>
        <w:t xml:space="preserve"> Директива (ЕС) 2015/2376 на Съвета </w:t>
      </w:r>
    </w:p>
  </w:footnote>
  <w:footnote w:id="5">
    <w:p>
      <w:pPr>
        <w:pStyle w:val="FootnoteText"/>
      </w:pPr>
      <w:r>
        <w:rPr>
          <w:rStyle w:val="FootnoteReference"/>
        </w:rPr>
        <w:footnoteRef/>
      </w:r>
      <w:r>
        <w:t xml:space="preserve"> Директива (ЕС) 2016/881 на Съвета</w:t>
      </w:r>
    </w:p>
  </w:footnote>
  <w:footnote w:id="6">
    <w:p>
      <w:pPr>
        <w:pStyle w:val="FootnoteText"/>
      </w:pPr>
      <w:r>
        <w:rPr>
          <w:rStyle w:val="FootnoteReference"/>
        </w:rPr>
        <w:footnoteRef/>
      </w:r>
      <w:r>
        <w:t xml:space="preserve"> COM (2016) 452 final</w:t>
      </w:r>
    </w:p>
  </w:footnote>
  <w:footnote w:id="7">
    <w:p>
      <w:pPr>
        <w:pStyle w:val="FootnoteText"/>
      </w:pPr>
      <w:r>
        <w:rPr>
          <w:rStyle w:val="FootnoteReference"/>
        </w:rPr>
        <w:footnoteRef/>
      </w:r>
      <w:r>
        <w:t xml:space="preserve"> Директива (ЕС) 2016/1164 на Съвета</w:t>
      </w:r>
    </w:p>
  </w:footnote>
  <w:footnote w:id="8">
    <w:p>
      <w:pPr>
        <w:pStyle w:val="FootnoteText"/>
      </w:pPr>
      <w:r>
        <w:rPr>
          <w:rStyle w:val="FootnoteReference"/>
        </w:rPr>
        <w:footnoteRef/>
      </w:r>
      <w:r>
        <w:t xml:space="preserve"> COM (2016) 24 final</w:t>
      </w:r>
    </w:p>
  </w:footnote>
  <w:footnote w:id="9">
    <w:p>
      <w:pPr>
        <w:pStyle w:val="FootnoteText"/>
      </w:pPr>
      <w:r>
        <w:rPr>
          <w:rStyle w:val="FootnoteReference"/>
        </w:rPr>
        <w:footnoteRef/>
      </w:r>
      <w:r>
        <w:t xml:space="preserve"> Оценка на въздействието относно общата консолидирана основа за облагане с корпоративен данък (ОКООКД) [SWD (2016) 341]</w:t>
      </w:r>
    </w:p>
  </w:footnote>
  <w:footnote w:id="10">
    <w:p>
      <w:pPr>
        <w:pStyle w:val="FootnoteText"/>
      </w:pPr>
      <w:r>
        <w:rPr>
          <w:rStyle w:val="FootnoteReference"/>
        </w:rPr>
        <w:footnoteRef/>
      </w:r>
      <w:r>
        <w:t xml:space="preserve">   </w:t>
      </w:r>
      <w:r>
        <w:tab/>
        <w:t xml:space="preserve">Поради по-високия риск при финансирането със собствен капитал в сравнение с дълговото финансиране, при определянето на размера на приспадането към доходността ще се добавя рискова премия. Тъй като увеличенията на капиталовата база могат да бъдат за 10 години назад, референтната доходност при приспадането ще бъде доходността въз основа на 10-годишните държавни облигации в еврозоната.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4C07772"/>
    <w:multiLevelType w:val="hybridMultilevel"/>
    <w:tmpl w:val="3B327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9">
    <w:nsid w:val="64CB1E6D"/>
    <w:multiLevelType w:val="hybridMultilevel"/>
    <w:tmpl w:val="EE921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1">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AB55682"/>
    <w:multiLevelType w:val="multilevel"/>
    <w:tmpl w:val="FA5C5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5"/>
  </w:num>
  <w:num w:numId="4">
    <w:abstractNumId w:val="13"/>
  </w:num>
  <w:num w:numId="5">
    <w:abstractNumId w:val="7"/>
  </w:num>
  <w:num w:numId="6">
    <w:abstractNumId w:val="12"/>
  </w:num>
  <w:num w:numId="7">
    <w:abstractNumId w:val="18"/>
  </w:num>
  <w:num w:numId="8">
    <w:abstractNumId w:val="20"/>
  </w:num>
  <w:num w:numId="9">
    <w:abstractNumId w:val="10"/>
  </w:num>
  <w:num w:numId="10">
    <w:abstractNumId w:val="17"/>
  </w:num>
  <w:num w:numId="11">
    <w:abstractNumId w:val="16"/>
  </w:num>
  <w:num w:numId="12">
    <w:abstractNumId w:val="14"/>
  </w:num>
  <w:num w:numId="13">
    <w:abstractNumId w:val="15"/>
  </w:num>
  <w:num w:numId="14">
    <w:abstractNumId w:val="6"/>
  </w:num>
  <w:num w:numId="15">
    <w:abstractNumId w:val="11"/>
  </w:num>
  <w:num w:numId="16">
    <w:abstractNumId w:val="4"/>
  </w:num>
  <w:num w:numId="17">
    <w:abstractNumId w:val="8"/>
  </w:num>
  <w:num w:numId="18">
    <w:abstractNumId w:val="21"/>
  </w:num>
  <w:num w:numId="19">
    <w:abstractNumId w:val="9"/>
  </w:num>
  <w:num w:numId="20">
    <w:abstractNumId w:val="23"/>
  </w:num>
  <w:num w:numId="21">
    <w:abstractNumId w:val="3"/>
  </w:num>
  <w:num w:numId="22">
    <w:abstractNumId w:val="2"/>
  </w:num>
  <w:num w:numId="23">
    <w:abstractNumId w:val="22"/>
  </w:num>
  <w:num w:numId="24">
    <w:abstractNumId w:val="19"/>
  </w:num>
  <w:num w:numId="25">
    <w:abstractNumId w:val="5"/>
  </w:num>
  <w:num w:numId="26">
    <w:abstractNumId w:val="5"/>
  </w:num>
  <w:num w:numId="27">
    <w:abstractNumId w:val="5"/>
  </w:num>
  <w:num w:numId="2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023B686C9284448BB4F03828092C358"/>
    <w:docVar w:name="LW_CROSSREFERENCE" w:val="&lt;UNUSED&gt;"/>
    <w:docVar w:name="LW_DocType" w:val="REP"/>
    <w:docVar w:name="LW_EMISSION" w:val="25.10.2016"/>
    <w:docVar w:name="LW_EMISSION_ISODATE" w:val="2016-10-25"/>
    <w:docVar w:name="LW_EMISSION_LOCATION" w:val="STR"/>
    <w:docVar w:name="LW_EMISSION_PREFIX" w:val="Страсбург, "/>
    <w:docVar w:name="LW_EMISSION_SUFFIX" w:val=" \u1075?."/>
    <w:docVar w:name="LW_ID_DOCTYPE_NONLW" w:val="CP-012"/>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682"/>
    <w:docVar w:name="LW_REF.INTERNE" w:val="&lt;UNUSED&gt;"/>
    <w:docVar w:name="LW_SOUS.TITRE.OBJ.CP" w:val="&lt;UNUSED&gt;"/>
    <w:docVar w:name="LW_SUPERTITRE" w:val="&lt;UNUSED&gt;"/>
    <w:docVar w:name="LW_TITRE.OBJ.CP" w:val="\u1048?\u1079?\u1075?\u1088?\u1072?\u1078?\u1076?\u1072?\u1085?\u1077? \u1085?\u1072? \u1089?\u1087?\u1088?\u1072?\u1074?\u1077?\u1076?\u1083?\u1080?\u1074?\u1072?, \u1082?\u1086?\u1085?\u1082?\u1091?\u1088?\u1077?\u1085?\u1090?\u1086?\u1089?\u1087?\u1086?\u1089?\u1086?\u1073?\u1085?\u1072? \u1080? \u1089?\u1090?\u1072?\u1073?\u1080?\u1083?\u1085?\u1072? \u1076?\u1072?\u1085?\u1098?\u1095?\u1085?\u1072? \u1089?\u1080?\u1089?\u1090?\u1077?\u1084?\u1072? \u1079?\u1072? \u1045?\u1057? "/>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1"/>
      </w:numPr>
    </w:p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TypedudocumentChar">
    <w:name w:val="Type du document Char"/>
    <w:basedOn w:val="DefaultParagraphFont"/>
    <w:link w:val="Typedudocument"/>
    <w:rPr>
      <w:rFonts w:eastAsiaTheme="minorHAnsi"/>
      <w:b/>
      <w:sz w:val="24"/>
      <w:szCs w:val="22"/>
      <w:lang w:eastAsia="bg-BG"/>
    </w:rPr>
  </w:style>
  <w:style w:type="character" w:customStyle="1" w:styleId="FooterCoverPageChar">
    <w:name w:val="Footer Cover Page Char"/>
    <w:basedOn w:val="TypedudocumentChar"/>
    <w:link w:val="FooterCoverPage"/>
    <w:rPr>
      <w:rFonts w:eastAsiaTheme="minorHAnsi"/>
      <w:b w:val="0"/>
      <w:sz w:val="24"/>
      <w:szCs w:val="22"/>
      <w:lang w:eastAsia="bg-BG"/>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rPr>
  </w:style>
  <w:style w:type="character" w:customStyle="1" w:styleId="HeaderCoverPageChar">
    <w:name w:val="Header Cover Page Char"/>
    <w:basedOn w:val="TypedudocumentChar"/>
    <w:link w:val="HeaderCoverPage"/>
    <w:rPr>
      <w:rFonts w:eastAsiaTheme="minorHAnsi"/>
      <w:b w:val="0"/>
      <w:sz w:val="24"/>
      <w:szCs w:val="22"/>
      <w:lang w:eastAsia="bg-BG"/>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paragraph" w:styleId="Revision">
    <w:name w:val="Revision"/>
    <w:hidden/>
    <w:uiPriority w:val="99"/>
    <w:semiHidden/>
    <w:rPr>
      <w:sz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1"/>
      </w:numPr>
    </w:p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TypedudocumentChar">
    <w:name w:val="Type du document Char"/>
    <w:basedOn w:val="DefaultParagraphFont"/>
    <w:link w:val="Typedudocument"/>
    <w:rPr>
      <w:rFonts w:eastAsiaTheme="minorHAnsi"/>
      <w:b/>
      <w:sz w:val="24"/>
      <w:szCs w:val="22"/>
      <w:lang w:eastAsia="bg-BG"/>
    </w:rPr>
  </w:style>
  <w:style w:type="character" w:customStyle="1" w:styleId="FooterCoverPageChar">
    <w:name w:val="Footer Cover Page Char"/>
    <w:basedOn w:val="TypedudocumentChar"/>
    <w:link w:val="FooterCoverPage"/>
    <w:rPr>
      <w:rFonts w:eastAsiaTheme="minorHAnsi"/>
      <w:b w:val="0"/>
      <w:sz w:val="24"/>
      <w:szCs w:val="22"/>
      <w:lang w:eastAsia="bg-BG"/>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rPr>
  </w:style>
  <w:style w:type="character" w:customStyle="1" w:styleId="HeaderCoverPageChar">
    <w:name w:val="Header Cover Page Char"/>
    <w:basedOn w:val="TypedudocumentChar"/>
    <w:link w:val="HeaderCoverPage"/>
    <w:rPr>
      <w:rFonts w:eastAsiaTheme="minorHAnsi"/>
      <w:b w:val="0"/>
      <w:sz w:val="24"/>
      <w:szCs w:val="22"/>
      <w:lang w:eastAsia="bg-BG"/>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paragraph" w:styleId="Revision">
    <w:name w:val="Revision"/>
    <w:hidden/>
    <w:uiPriority w:val="99"/>
    <w:semiHidden/>
    <w:rPr>
      <w:sz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9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competition/state_aid/modernisation/notice_of_aid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C2B55-DCB4-453C-9103-7009D3C2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66</TotalTime>
  <Pages>11</Pages>
  <Words>4101</Words>
  <Characters>24569</Characters>
  <Application>Microsoft Office Word</Application>
  <DocSecurity>0</DocSecurity>
  <PresentationFormat>Microsoft Word 14.0</PresentationFormat>
  <Lines>416</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24</cp:revision>
  <cp:lastPrinted>2016-10-17T09:09:00Z</cp:lastPrinted>
  <dcterms:created xsi:type="dcterms:W3CDTF">2016-10-20T09:27:00Z</dcterms:created>
  <dcterms:modified xsi:type="dcterms:W3CDTF">2016-11-07T10:47:00Z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4.6.4.0000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40001</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Bert Zuijdendorp</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