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D9" w:rsidRDefault="0015618C">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0D0C355917CA4774802181011BAF2E28" style="width:450.75pt;height:393.75pt">
            <v:imagedata r:id="rId7" o:title=""/>
          </v:shape>
        </w:pict>
      </w:r>
    </w:p>
    <w:bookmarkEnd w:id="0"/>
    <w:p w:rsidR="009439D9" w:rsidRDefault="009439D9">
      <w:pPr>
        <w:rPr>
          <w:noProof/>
        </w:rPr>
        <w:sectPr w:rsidR="009439D9">
          <w:headerReference w:type="even" r:id="rId8"/>
          <w:headerReference w:type="default" r:id="rId9"/>
          <w:footerReference w:type="even" r:id="rId10"/>
          <w:footerReference w:type="default" r:id="rId11"/>
          <w:headerReference w:type="first" r:id="rId12"/>
          <w:footerReference w:type="first" r:id="rId13"/>
          <w:pgSz w:w="11900" w:h="16840" w:code="9"/>
          <w:pgMar w:top="1134" w:right="1417" w:bottom="1134" w:left="1417" w:header="709" w:footer="709" w:gutter="0"/>
          <w:pgNumType w:start="0"/>
          <w:cols w:space="720"/>
          <w:docGrid w:linePitch="326"/>
        </w:sectPr>
      </w:pPr>
    </w:p>
    <w:p w:rsidR="009439D9" w:rsidRDefault="004164D9">
      <w:pPr>
        <w:spacing w:after="0" w:line="240" w:lineRule="auto"/>
        <w:jc w:val="center"/>
        <w:rPr>
          <w:rFonts w:ascii="Times New Roman" w:eastAsia="Calibri" w:hAnsi="Times New Roman" w:cs="Times New Roman"/>
          <w:b/>
          <w:bCs/>
          <w:noProof/>
        </w:rPr>
      </w:pPr>
      <w:r>
        <w:rPr>
          <w:rFonts w:ascii="Times New Roman" w:eastAsia="Calibri" w:hAnsi="Times New Roman" w:cs="Times New Roman"/>
          <w:b/>
          <w:noProof/>
        </w:rPr>
        <w:lastRenderedPageBreak/>
        <w:t>ANNEX I - KEY ISSUES AND EVENTS UNTIL END OF 2016</w:t>
      </w:r>
    </w:p>
    <w:p w:rsidR="009439D9" w:rsidRDefault="009439D9">
      <w:pPr>
        <w:spacing w:after="0" w:line="240" w:lineRule="auto"/>
        <w:jc w:val="both"/>
        <w:rPr>
          <w:rFonts w:ascii="Times New Roman" w:eastAsia="Calibri" w:hAnsi="Times New Roman" w:cs="Times New Roman"/>
          <w:b/>
          <w:bCs/>
          <w:noProof/>
        </w:rPr>
      </w:pPr>
    </w:p>
    <w:p w:rsidR="009439D9" w:rsidRDefault="004164D9">
      <w:pPr>
        <w:spacing w:after="120" w:line="240" w:lineRule="auto"/>
        <w:ind w:left="720" w:hanging="720"/>
        <w:jc w:val="both"/>
        <w:rPr>
          <w:rFonts w:ascii="Times New Roman" w:eastAsia="Calibri" w:hAnsi="Times New Roman" w:cs="Times New Roman"/>
          <w:b/>
          <w:noProof/>
        </w:rPr>
      </w:pPr>
      <w:r>
        <w:rPr>
          <w:rFonts w:ascii="Times New Roman" w:eastAsia="Calibri" w:hAnsi="Times New Roman" w:cs="Times New Roman"/>
          <w:b/>
          <w:noProof/>
        </w:rPr>
        <w:t>IMPLEMENTATION OF THE PARTNERSHIP FRAMEWORK</w:t>
      </w:r>
    </w:p>
    <w:p w:rsidR="009439D9" w:rsidRDefault="004164D9">
      <w:pPr>
        <w:spacing w:after="60" w:line="240" w:lineRule="auto"/>
        <w:jc w:val="both"/>
        <w:rPr>
          <w:rFonts w:ascii="Times New Roman" w:eastAsia="Calibri" w:hAnsi="Times New Roman" w:cs="Times New Roman"/>
          <w:b/>
          <w:noProof/>
        </w:rPr>
      </w:pPr>
      <w:r>
        <w:rPr>
          <w:rFonts w:ascii="Times New Roman" w:eastAsia="Calibri" w:hAnsi="Times New Roman" w:cs="Times New Roman"/>
          <w:b/>
          <w:noProof/>
        </w:rPr>
        <w:t>EU Cooperation among Member States and with third countries</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 xml:space="preserve">Continued engagement with high level visits to all five priority countries, with an increased engagement with Nigeria, Senegal and Ethiopia.  </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Deployment of the European Migration Liaison Officers.</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Member States to welcome identification missions.</w:t>
      </w:r>
    </w:p>
    <w:p w:rsidR="009439D9" w:rsidRDefault="004164D9">
      <w:pPr>
        <w:spacing w:after="12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Strengthened EU agencies' involvement on the ground (European Border and Coast Guard and EUROPOL).</w:t>
      </w:r>
    </w:p>
    <w:p w:rsidR="009439D9" w:rsidRDefault="004164D9">
      <w:pPr>
        <w:spacing w:after="60" w:line="240" w:lineRule="auto"/>
        <w:jc w:val="both"/>
        <w:rPr>
          <w:rFonts w:ascii="Times New Roman" w:eastAsia="Calibri" w:hAnsi="Times New Roman" w:cs="Times New Roman"/>
          <w:b/>
          <w:noProof/>
        </w:rPr>
      </w:pPr>
      <w:r>
        <w:rPr>
          <w:rFonts w:ascii="Times New Roman" w:eastAsia="Calibri" w:hAnsi="Times New Roman" w:cs="Times New Roman"/>
          <w:b/>
          <w:noProof/>
        </w:rPr>
        <w:t>Priority Countries – actions</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 xml:space="preserve">- </w:t>
      </w:r>
      <w:r>
        <w:rPr>
          <w:rFonts w:ascii="Times New Roman" w:eastAsia="Calibri" w:hAnsi="Times New Roman" w:cs="Times New Roman"/>
          <w:noProof/>
        </w:rPr>
        <w:tab/>
      </w:r>
      <w:r>
        <w:rPr>
          <w:rFonts w:ascii="Times New Roman" w:eastAsia="Calibri" w:hAnsi="Times New Roman" w:cs="Times New Roman"/>
          <w:noProof/>
          <w:u w:val="single"/>
        </w:rPr>
        <w:t>Niger</w:t>
      </w:r>
      <w:r>
        <w:rPr>
          <w:rFonts w:ascii="Times New Roman" w:eastAsia="Calibri" w:hAnsi="Times New Roman" w:cs="Times New Roman"/>
          <w:noProof/>
        </w:rPr>
        <w:t>: Fully operational capacity for the field office in Agadez. Support to the implementation of the Action Plan against smuggling in the Agadez region. Focus of EU support on the dedicated agency to combat human trafficking. Delivery of training and equipment</w:t>
      </w:r>
      <w:r w:rsidRPr="00711053">
        <w:rPr>
          <w:rFonts w:ascii="Times New Roman" w:eastAsia="Calibri" w:hAnsi="Times New Roman" w:cs="Times New Roman"/>
          <w:noProof/>
        </w:rPr>
        <w:t>.</w:t>
      </w:r>
      <w:r>
        <w:rPr>
          <w:rFonts w:ascii="Times New Roman" w:eastAsia="Calibri" w:hAnsi="Times New Roman" w:cs="Times New Roman"/>
          <w:noProof/>
        </w:rPr>
        <w:tab/>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r>
      <w:r>
        <w:rPr>
          <w:rFonts w:ascii="Times New Roman" w:eastAsia="Calibri" w:hAnsi="Times New Roman" w:cs="Times New Roman"/>
          <w:noProof/>
          <w:u w:val="single"/>
        </w:rPr>
        <w:t>Nigeria</w:t>
      </w:r>
      <w:r>
        <w:rPr>
          <w:rFonts w:ascii="Times New Roman" w:eastAsia="Calibri" w:hAnsi="Times New Roman" w:cs="Times New Roman"/>
          <w:noProof/>
        </w:rPr>
        <w:t>: Make progress on the EU Readmission Agreement negotiations with a view to a swift conclusion. Identification missions.</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r>
      <w:r>
        <w:rPr>
          <w:rFonts w:ascii="Times New Roman" w:eastAsia="Calibri" w:hAnsi="Times New Roman" w:cs="Times New Roman"/>
          <w:noProof/>
          <w:u w:val="single"/>
        </w:rPr>
        <w:t>Senegal</w:t>
      </w:r>
      <w:r>
        <w:rPr>
          <w:rFonts w:ascii="Times New Roman" w:eastAsia="Calibri" w:hAnsi="Times New Roman" w:cs="Times New Roman"/>
          <w:noProof/>
        </w:rPr>
        <w:t>: Conclusion of the working arrangements with European Border and Coast Guard.  Identification missions.</w:t>
      </w:r>
      <w:r>
        <w:rPr>
          <w:noProof/>
        </w:rPr>
        <w:t xml:space="preserve"> </w:t>
      </w:r>
      <w:r>
        <w:rPr>
          <w:rFonts w:ascii="Times New Roman" w:hAnsi="Times New Roman" w:cs="Times New Roman"/>
          <w:noProof/>
        </w:rPr>
        <w:t>Cooperation on travel documents.</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r>
      <w:r>
        <w:rPr>
          <w:rFonts w:ascii="Times New Roman" w:eastAsia="Calibri" w:hAnsi="Times New Roman" w:cs="Times New Roman"/>
          <w:noProof/>
          <w:u w:val="single"/>
        </w:rPr>
        <w:t>Mali</w:t>
      </w:r>
      <w:r>
        <w:rPr>
          <w:rFonts w:ascii="Times New Roman" w:eastAsia="Calibri" w:hAnsi="Times New Roman" w:cs="Times New Roman"/>
          <w:noProof/>
        </w:rPr>
        <w:t>: Finalisation of agreement on Standard Operating Procedures. Identification missions.</w:t>
      </w:r>
      <w:r>
        <w:rPr>
          <w:noProof/>
        </w:rPr>
        <w:t xml:space="preserve"> </w:t>
      </w:r>
      <w:r>
        <w:rPr>
          <w:rFonts w:ascii="Times New Roman" w:eastAsia="Calibri" w:hAnsi="Times New Roman" w:cs="Times New Roman"/>
          <w:noProof/>
        </w:rPr>
        <w:t xml:space="preserve"> </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r>
      <w:r>
        <w:rPr>
          <w:rFonts w:ascii="Times New Roman" w:eastAsia="Calibri" w:hAnsi="Times New Roman" w:cs="Times New Roman"/>
          <w:noProof/>
          <w:u w:val="single"/>
        </w:rPr>
        <w:t>Ethiopia</w:t>
      </w:r>
      <w:r>
        <w:rPr>
          <w:rFonts w:ascii="Times New Roman" w:eastAsia="Calibri" w:hAnsi="Times New Roman" w:cs="Times New Roman"/>
          <w:noProof/>
        </w:rPr>
        <w:t>: Finalisation of the procedure for the pending cases. Setting in place an agreed procedure for agreeing and implementing returns.</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r>
      <w:r>
        <w:rPr>
          <w:rFonts w:ascii="Times New Roman" w:eastAsia="Calibri" w:hAnsi="Times New Roman" w:cs="Times New Roman"/>
          <w:noProof/>
          <w:u w:val="single"/>
        </w:rPr>
        <w:t>Jordan/Lebanon:</w:t>
      </w:r>
      <w:r>
        <w:rPr>
          <w:rFonts w:ascii="Times New Roman" w:eastAsia="Calibri" w:hAnsi="Times New Roman" w:cs="Times New Roman"/>
          <w:noProof/>
        </w:rPr>
        <w:t xml:space="preserve"> Endorsement of the Compacts by the Association Councils. Start of the negotiation on the EU-Jordan Readmission and Visa Facilitation Agreements. Conclusion of the negotiation on the EU-Lebanon Mobility Partnership.</w:t>
      </w:r>
    </w:p>
    <w:p w:rsidR="009439D9" w:rsidRDefault="004164D9">
      <w:pPr>
        <w:spacing w:after="120" w:line="240" w:lineRule="auto"/>
        <w:ind w:left="284" w:hanging="284"/>
        <w:jc w:val="both"/>
        <w:rPr>
          <w:rFonts w:ascii="Times New Roman" w:eastAsia="Calibri" w:hAnsi="Times New Roman" w:cs="Times New Roman"/>
          <w:noProof/>
          <w:u w:val="single"/>
        </w:rPr>
      </w:pPr>
      <w:r>
        <w:rPr>
          <w:rFonts w:ascii="Times New Roman" w:eastAsia="Calibri" w:hAnsi="Times New Roman" w:cs="Times New Roman"/>
          <w:noProof/>
        </w:rPr>
        <w:t>-</w:t>
      </w:r>
      <w:r>
        <w:rPr>
          <w:rFonts w:ascii="Times New Roman" w:eastAsia="Calibri" w:hAnsi="Times New Roman" w:cs="Times New Roman"/>
          <w:noProof/>
        </w:rPr>
        <w:tab/>
        <w:t>24 projects funded by the EU Trust Fund for Africa, representing over EUR 425 million, will be launched in the five priority countries.</w:t>
      </w:r>
    </w:p>
    <w:p w:rsidR="009439D9" w:rsidRDefault="004164D9">
      <w:pPr>
        <w:spacing w:after="60" w:line="240" w:lineRule="auto"/>
        <w:ind w:left="720" w:hanging="720"/>
        <w:jc w:val="both"/>
        <w:rPr>
          <w:rFonts w:ascii="Times New Roman" w:eastAsia="Calibri" w:hAnsi="Times New Roman" w:cs="Times New Roman"/>
          <w:b/>
          <w:noProof/>
        </w:rPr>
      </w:pPr>
      <w:r>
        <w:rPr>
          <w:rFonts w:ascii="Times New Roman" w:eastAsia="Calibri" w:hAnsi="Times New Roman" w:cs="Times New Roman"/>
          <w:b/>
          <w:noProof/>
        </w:rPr>
        <w:t>Reporting</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The Commission's Second Report on implementation before the December European Council.</w:t>
      </w:r>
    </w:p>
    <w:p w:rsidR="009439D9" w:rsidRDefault="004164D9">
      <w:pPr>
        <w:spacing w:after="0" w:line="240" w:lineRule="auto"/>
        <w:ind w:left="426" w:hanging="436"/>
        <w:jc w:val="both"/>
        <w:rPr>
          <w:rFonts w:ascii="Times New Roman" w:eastAsia="Calibri" w:hAnsi="Times New Roman" w:cs="Times New Roman"/>
          <w:noProof/>
        </w:rPr>
      </w:pPr>
      <w:r>
        <w:rPr>
          <w:rFonts w:ascii="Times New Roman" w:eastAsia="Calibri" w:hAnsi="Times New Roman" w:cs="Times New Roman"/>
          <w:noProof/>
        </w:rPr>
        <w:t xml:space="preserve"> </w:t>
      </w:r>
    </w:p>
    <w:p w:rsidR="009439D9" w:rsidRDefault="004164D9">
      <w:pPr>
        <w:spacing w:after="120" w:line="240" w:lineRule="auto"/>
        <w:ind w:left="720" w:hanging="720"/>
        <w:jc w:val="both"/>
        <w:rPr>
          <w:rFonts w:ascii="Times New Roman" w:eastAsia="Calibri" w:hAnsi="Times New Roman" w:cs="Times New Roman"/>
          <w:b/>
          <w:noProof/>
        </w:rPr>
      </w:pPr>
      <w:r>
        <w:rPr>
          <w:rFonts w:ascii="Times New Roman" w:eastAsia="Calibri" w:hAnsi="Times New Roman" w:cs="Times New Roman"/>
          <w:b/>
          <w:noProof/>
        </w:rPr>
        <w:t xml:space="preserve">VALLETTA ACTION PLAN </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Launching of initiatives and projects to implement the 16 priority actions and significant progress to be made on the 89 other actions of the Valletta Action Plan.</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All relevant Member States to report on their contribution to the Valletta Action Plan for the Senior Officials Meeting of February 2017 (in October 2016) to allow for a mapping of all actions of the VJAP including multilateral and bilateral actions as well as those taken at a national level by African partners.</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Harness opportunities offered for legal migration channels, ERASMUS opportunities and others policies and tools.</w:t>
      </w:r>
    </w:p>
    <w:p w:rsidR="009439D9" w:rsidRDefault="009439D9">
      <w:pPr>
        <w:spacing w:after="0" w:line="240" w:lineRule="auto"/>
        <w:ind w:left="284" w:hanging="284"/>
        <w:jc w:val="both"/>
        <w:rPr>
          <w:rFonts w:ascii="Times New Roman" w:eastAsia="Calibri" w:hAnsi="Times New Roman" w:cs="Times New Roman"/>
          <w:b/>
          <w:noProof/>
        </w:rPr>
      </w:pPr>
    </w:p>
    <w:p w:rsidR="009439D9" w:rsidRDefault="004164D9">
      <w:pPr>
        <w:spacing w:after="120" w:line="240" w:lineRule="auto"/>
        <w:ind w:left="720" w:hanging="720"/>
        <w:jc w:val="both"/>
        <w:rPr>
          <w:rFonts w:ascii="Times New Roman" w:eastAsia="Calibri" w:hAnsi="Times New Roman" w:cs="Times New Roman"/>
          <w:b/>
          <w:noProof/>
        </w:rPr>
      </w:pPr>
      <w:r>
        <w:rPr>
          <w:rFonts w:ascii="Times New Roman" w:eastAsia="Calibri" w:hAnsi="Times New Roman" w:cs="Times New Roman"/>
          <w:b/>
          <w:noProof/>
        </w:rPr>
        <w:t xml:space="preserve">EXTERNAL INVESTMENT PLAN </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The European Parliament and the Council are invited to adopt the legislative proposals by March 2017.</w:t>
      </w:r>
    </w:p>
    <w:p w:rsidR="009439D9" w:rsidRDefault="009439D9">
      <w:pPr>
        <w:spacing w:after="0" w:line="240" w:lineRule="auto"/>
        <w:ind w:left="284" w:hanging="284"/>
        <w:jc w:val="both"/>
        <w:rPr>
          <w:rFonts w:ascii="Times New Roman" w:eastAsia="Calibri" w:hAnsi="Times New Roman" w:cs="Times New Roman"/>
          <w:noProof/>
        </w:rPr>
      </w:pPr>
    </w:p>
    <w:p w:rsidR="009439D9" w:rsidRDefault="004164D9">
      <w:pPr>
        <w:spacing w:after="120" w:line="240" w:lineRule="auto"/>
        <w:ind w:left="720" w:hanging="720"/>
        <w:jc w:val="both"/>
        <w:rPr>
          <w:rFonts w:ascii="Times New Roman" w:eastAsia="Calibri" w:hAnsi="Times New Roman" w:cs="Times New Roman"/>
          <w:b/>
          <w:noProof/>
        </w:rPr>
      </w:pPr>
      <w:r>
        <w:rPr>
          <w:rFonts w:ascii="Times New Roman" w:eastAsia="Calibri" w:hAnsi="Times New Roman" w:cs="Times New Roman"/>
          <w:b/>
          <w:noProof/>
        </w:rPr>
        <w:t>EU TRUST FUND FOR AFRICA</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b/>
          <w:noProof/>
        </w:rPr>
        <w:t>-</w:t>
      </w:r>
      <w:r>
        <w:rPr>
          <w:rFonts w:ascii="Times New Roman" w:eastAsia="Calibri" w:hAnsi="Times New Roman" w:cs="Times New Roman"/>
          <w:noProof/>
        </w:rPr>
        <w:tab/>
        <w:t xml:space="preserve">The EU Trust Fund for Africa has signed contracts in support of the actions foreseen in the Valletta Action Plan for almost EUR 400 million. By the end of 2016, more than 90% of the funds made available so far will have been contracted. </w:t>
      </w:r>
    </w:p>
    <w:p w:rsidR="009439D9" w:rsidRDefault="004164D9">
      <w:pPr>
        <w:spacing w:after="0" w:line="240" w:lineRule="auto"/>
        <w:ind w:left="284" w:hanging="284"/>
        <w:jc w:val="both"/>
        <w:rPr>
          <w:rFonts w:ascii="Times New Roman" w:eastAsia="Calibri" w:hAnsi="Times New Roman" w:cs="Times New Roman"/>
          <w:noProof/>
        </w:rPr>
      </w:pPr>
      <w:r>
        <w:rPr>
          <w:rFonts w:ascii="Times New Roman" w:eastAsia="Calibri" w:hAnsi="Times New Roman" w:cs="Times New Roman"/>
          <w:noProof/>
        </w:rPr>
        <w:t>-</w:t>
      </w:r>
      <w:r>
        <w:rPr>
          <w:rFonts w:ascii="Times New Roman" w:eastAsia="Calibri" w:hAnsi="Times New Roman" w:cs="Times New Roman"/>
          <w:noProof/>
        </w:rPr>
        <w:tab/>
        <w:t>Increase the funding to the EU Trust Fund for Africa by a further EUR 0.5 billion from the European Development Fund reserve to finance actions of these migration partnerships.</w:t>
      </w:r>
    </w:p>
    <w:p w:rsidR="009439D9" w:rsidRDefault="004164D9">
      <w:pPr>
        <w:spacing w:after="120" w:line="240" w:lineRule="auto"/>
        <w:ind w:left="284" w:hanging="284"/>
        <w:jc w:val="both"/>
        <w:rPr>
          <w:noProof/>
        </w:rPr>
      </w:pPr>
      <w:r>
        <w:rPr>
          <w:rFonts w:ascii="Times New Roman" w:eastAsia="Calibri" w:hAnsi="Times New Roman" w:cs="Times New Roman"/>
          <w:noProof/>
        </w:rPr>
        <w:t>-</w:t>
      </w:r>
      <w:r>
        <w:rPr>
          <w:rFonts w:ascii="Times New Roman" w:eastAsia="Calibri" w:hAnsi="Times New Roman" w:cs="Times New Roman"/>
          <w:noProof/>
        </w:rPr>
        <w:tab/>
        <w:t>Identification and development of projects to address key challenges in the priority countries.</w:t>
      </w:r>
    </w:p>
    <w:sectPr w:rsidR="009439D9">
      <w:headerReference w:type="even" r:id="rId14"/>
      <w:headerReference w:type="default" r:id="rId15"/>
      <w:footerReference w:type="even" r:id="rId16"/>
      <w:footerReference w:type="default" r:id="rId17"/>
      <w:headerReference w:type="first" r:id="rId18"/>
      <w:footerReference w:type="first" r:id="rId19"/>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9D9" w:rsidRDefault="004164D9">
      <w:pPr>
        <w:spacing w:after="0" w:line="240" w:lineRule="auto"/>
      </w:pPr>
      <w:r>
        <w:separator/>
      </w:r>
    </w:p>
  </w:endnote>
  <w:endnote w:type="continuationSeparator" w:id="0">
    <w:p w:rsidR="009439D9" w:rsidRDefault="004164D9">
      <w:pPr>
        <w:spacing w:after="0" w:line="240" w:lineRule="auto"/>
      </w:pPr>
      <w:r>
        <w:continuationSeparator/>
      </w:r>
    </w:p>
  </w:endnote>
  <w:endnote w:type="continuationNotice" w:id="1">
    <w:p w:rsidR="009439D9" w:rsidRDefault="009439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9439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4164D9">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rsidR="0015618C">
      <w:fldChar w:fldCharType="begin"/>
    </w:r>
    <w:r w:rsidR="0015618C">
      <w:instrText xml:space="preserve"> DOCVARIABLE "LW_Confidence" \* MERGEFORMAT </w:instrText>
    </w:r>
    <w:r w:rsidR="0015618C">
      <w:fldChar w:fldCharType="separate"/>
    </w:r>
    <w:r w:rsidR="0015618C">
      <w:t xml:space="preserve"> </w:t>
    </w:r>
    <w:r w:rsidR="0015618C">
      <w:fldChar w:fldCharType="end"/>
    </w:r>
    <w:r>
      <w:tab/>
    </w:r>
    <w:proofErr w:type="spellStart"/>
    <w:r>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9439D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9439D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4164D9">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4164D9">
    <w:pPr>
      <w:pStyle w:val="Footer"/>
      <w:jc w:val="center"/>
    </w:pPr>
    <w:r>
      <w:fldChar w:fldCharType="begin"/>
    </w:r>
    <w:r>
      <w:instrText xml:space="preserve"> PAGE   \* MERGEFORMAT </w:instrText>
    </w:r>
    <w:r>
      <w:fldChar w:fldCharType="separate"/>
    </w:r>
    <w:r w:rsidR="0015618C">
      <w:rPr>
        <w:noProof/>
      </w:rPr>
      <w:t>2</w:t>
    </w:r>
    <w:r>
      <w:rPr>
        <w:noProof/>
      </w:rPr>
      <w:fldChar w:fldCharType="end"/>
    </w:r>
  </w:p>
  <w:p w:rsidR="009439D9" w:rsidRDefault="00943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9D9" w:rsidRDefault="004164D9">
      <w:pPr>
        <w:spacing w:after="0" w:line="240" w:lineRule="auto"/>
      </w:pPr>
      <w:r>
        <w:separator/>
      </w:r>
    </w:p>
  </w:footnote>
  <w:footnote w:type="continuationSeparator" w:id="0">
    <w:p w:rsidR="009439D9" w:rsidRDefault="004164D9">
      <w:pPr>
        <w:spacing w:after="0" w:line="240" w:lineRule="auto"/>
      </w:pPr>
      <w:r>
        <w:continuationSeparator/>
      </w:r>
    </w:p>
  </w:footnote>
  <w:footnote w:type="continuationNotice" w:id="1">
    <w:p w:rsidR="009439D9" w:rsidRDefault="009439D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943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9439D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9439D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9439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9439D9">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9D9" w:rsidRDefault="009439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to the "/>
    <w:docVar w:name="LW_ANNEX_NBR_FIRST" w:val="1"/>
    <w:docVar w:name="LW_ANNEX_NBR_LAST" w:val="1"/>
    <w:docVar w:name="LW_CONFIDENCE" w:val=" "/>
    <w:docVar w:name="LW_CONST_RESTREINT_UE" w:val="RESTREINT UE"/>
    <w:docVar w:name="LW_CORRIGENDUM" w:val="&lt;UNUSED&gt;"/>
    <w:docVar w:name="LW_COVERPAGE_GUID" w:val="0D0C355917CA4774802181011BAF2E28"/>
    <w:docVar w:name="LW_CROSSREFERENCE" w:val="&lt;UNUSED&gt;"/>
    <w:docVar w:name="LW_DocType" w:val="NORMAL"/>
    <w:docVar w:name="LW_EMISSION" w:val="18.10.2016"/>
    <w:docVar w:name="LW_EMISSION_ISODATE" w:val="2016-10-18"/>
    <w:docVar w:name="LW_EMISSION_LOCATION" w:val="BRX"/>
    <w:docVar w:name="LW_EMISSION_PREFIX" w:val="Brussels, "/>
    <w:docVar w:name="LW_EMISSION_SUFFIX" w:val=" "/>
    <w:docVar w:name="LW_ID_DOCTYPE_NONLW" w:val="CP-039"/>
    <w:docVar w:name="LW_LANGUE" w:val="EN"/>
    <w:docVar w:name="LW_MARKING" w:val="&lt;UNUSED&gt;"/>
    <w:docVar w:name="LW_NOM.INST" w:val="EUROPEAN COMMISSION"/>
    <w:docVar w:name="LW_NOM.INST_JOINTDOC" w:val="&lt;EMPTY&gt;"/>
    <w:docVar w:name="LW_OBJETACTEPRINCIPAL.CP" w:val="First Progress Report on the Partnership Framework with third countries under the European Agenda on Migration"/>
    <w:docVar w:name="LW_PART_NBR" w:val="1"/>
    <w:docVar w:name="LW_PART_NBR_TOTAL" w:val="1"/>
    <w:docVar w:name="LW_REF.INST.NEW" w:val="COM"/>
    <w:docVar w:name="LW_REF.INST.NEW_ADOPTED" w:val="final"/>
    <w:docVar w:name="LW_REF.INST.NEW_TEXT" w:val="(2016) 700"/>
    <w:docVar w:name="LW_REF.INTERNE" w:val="&lt;UNUSED&gt;"/>
    <w:docVar w:name="LW_SUPERTITRE" w:val="&lt;UNUSED&gt;"/>
    <w:docVar w:name="LW_TITRE.OBJ.CP" w:val="&lt;UNUSED&gt;"/>
    <w:docVar w:name="LW_TYPE.DOC.CP" w:val="ANNEX_x000b_"/>
    <w:docVar w:name="LW_TYPEACTEPRINCIPAL.CP" w:val="COMMUNICATION FROM THE COMMISSION TO THE EUROPEAN PARLIAMENT, THE EUROPEAN COUNCIL AND THE COUNCIL"/>
  </w:docVars>
  <w:rsids>
    <w:rsidRoot w:val="009439D9"/>
    <w:rsid w:val="0015618C"/>
    <w:rsid w:val="004164D9"/>
    <w:rsid w:val="00711053"/>
    <w:rsid w:val="009439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2665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BARTKIEWICZ Ligia (SG)</dc:creator>
  <cp:lastModifiedBy>BARTH Carmen (SG)</cp:lastModifiedBy>
  <cp:revision>10</cp:revision>
  <cp:lastPrinted>2016-10-18T06:24:00Z</cp:lastPrinted>
  <dcterms:created xsi:type="dcterms:W3CDTF">2016-10-17T16:55:00Z</dcterms:created>
  <dcterms:modified xsi:type="dcterms:W3CDTF">2016-10-18T06:28:00Z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Classification">
    <vt:lpwstr> </vt:lpwstr>
  </property>
  <property fmtid="{D5CDD505-2E9C-101B-9397-08002B2CF9AE}" pid="7" name="DocStatus">
    <vt:lpwstr>Green</vt:lpwstr>
  </property>
</Properties>
</file>