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01" w:rsidRDefault="00BD5941">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396AE8BFD749E3A20B08532695FC20" style="width:450.45pt;height:393.4pt">
            <v:imagedata r:id="rId8" o:title=""/>
          </v:shape>
        </w:pict>
      </w:r>
    </w:p>
    <w:bookmarkEnd w:id="0"/>
    <w:p w:rsidR="00796401" w:rsidRDefault="00796401">
      <w:pPr>
        <w:rPr>
          <w:noProof/>
        </w:rPr>
        <w:sectPr w:rsidR="00796401">
          <w:headerReference w:type="even" r:id="rId9"/>
          <w:headerReference w:type="default" r:id="rId10"/>
          <w:footerReference w:type="even" r:id="rId11"/>
          <w:footerReference w:type="default" r:id="rId12"/>
          <w:headerReference w:type="first" r:id="rId13"/>
          <w:footerReference w:type="first" r:id="rId14"/>
          <w:pgSz w:w="11900" w:h="16840" w:code="9"/>
          <w:pgMar w:top="1134" w:right="1417" w:bottom="1134" w:left="1417" w:header="709" w:footer="709" w:gutter="0"/>
          <w:pgNumType w:start="0"/>
          <w:cols w:space="720"/>
          <w:docGrid w:linePitch="326"/>
        </w:sectPr>
      </w:pPr>
    </w:p>
    <w:p w:rsidR="00796401" w:rsidRDefault="00796401">
      <w:pPr>
        <w:jc w:val="center"/>
        <w:rPr>
          <w:rFonts w:ascii="Times New Roman" w:hAnsi="Times New Roman" w:cs="Times New Roman"/>
          <w:b/>
          <w:noProof/>
          <w:sz w:val="24"/>
          <w:szCs w:val="24"/>
        </w:rPr>
      </w:pPr>
    </w:p>
    <w:tbl>
      <w:tblPr>
        <w:tblStyle w:val="TableGrid"/>
        <w:tblW w:w="9498" w:type="dxa"/>
        <w:tblLook w:val="04A0" w:firstRow="1" w:lastRow="0" w:firstColumn="1" w:lastColumn="0" w:noHBand="0" w:noVBand="1"/>
      </w:tblPr>
      <w:tblGrid>
        <w:gridCol w:w="4749"/>
        <w:gridCol w:w="4749"/>
      </w:tblGrid>
      <w:tr w:rsidR="00796401">
        <w:trPr>
          <w:trHeight w:val="279"/>
        </w:trPr>
        <w:tc>
          <w:tcPr>
            <w:tcW w:w="9498" w:type="dxa"/>
            <w:gridSpan w:val="2"/>
            <w:shd w:val="clear" w:color="auto" w:fill="D9D9D9" w:themeFill="background1" w:themeFillShade="D9"/>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8"/>
                <w:szCs w:val="28"/>
              </w:rPr>
              <w:t>Niger</w:t>
            </w:r>
          </w:p>
        </w:tc>
      </w:tr>
      <w:tr w:rsidR="00796401">
        <w:trPr>
          <w:trHeight w:val="543"/>
        </w:trPr>
        <w:tc>
          <w:tcPr>
            <w:tcW w:w="4749" w:type="dxa"/>
            <w:shd w:val="clear" w:color="auto" w:fill="F2F2F2" w:themeFill="background1" w:themeFillShade="F2"/>
          </w:tcPr>
          <w:p w:rsidR="00796401" w:rsidRDefault="00796401">
            <w:pPr>
              <w:jc w:val="center"/>
              <w:rPr>
                <w:rFonts w:ascii="Times New Roman" w:hAnsi="Times New Roman" w:cs="Times New Roman"/>
                <w:b/>
                <w:noProof/>
                <w:sz w:val="20"/>
                <w:szCs w:val="20"/>
              </w:rPr>
            </w:pPr>
          </w:p>
          <w:p w:rsidR="00796401" w:rsidRDefault="002F7326">
            <w:pPr>
              <w:jc w:val="center"/>
              <w:rPr>
                <w:rFonts w:ascii="Times New Roman" w:hAnsi="Times New Roman" w:cs="Times New Roman"/>
                <w:b/>
                <w:noProof/>
                <w:sz w:val="20"/>
                <w:szCs w:val="20"/>
              </w:rPr>
            </w:pPr>
            <w:r>
              <w:rPr>
                <w:rFonts w:ascii="Times New Roman" w:hAnsi="Times New Roman" w:cs="Times New Roman"/>
                <w:b/>
                <w:noProof/>
                <w:sz w:val="20"/>
                <w:szCs w:val="20"/>
              </w:rPr>
              <w:t>ACTION AND PROGRESS JUNE-OCTOBER 2016</w:t>
            </w:r>
          </w:p>
        </w:tc>
        <w:tc>
          <w:tcPr>
            <w:tcW w:w="4749" w:type="dxa"/>
            <w:shd w:val="clear" w:color="auto" w:fill="F2F2F2" w:themeFill="background1" w:themeFillShade="F2"/>
          </w:tcPr>
          <w:p w:rsidR="00796401" w:rsidRDefault="00796401">
            <w:pPr>
              <w:jc w:val="center"/>
              <w:rPr>
                <w:rFonts w:ascii="Times New Roman" w:hAnsi="Times New Roman" w:cs="Times New Roman"/>
                <w:b/>
                <w:noProof/>
                <w:sz w:val="20"/>
                <w:szCs w:val="20"/>
              </w:rPr>
            </w:pPr>
          </w:p>
          <w:p w:rsidR="00796401" w:rsidRDefault="002F7326">
            <w:pPr>
              <w:jc w:val="center"/>
              <w:rPr>
                <w:rFonts w:ascii="Times New Roman" w:hAnsi="Times New Roman" w:cs="Times New Roman"/>
                <w:b/>
                <w:noProof/>
                <w:sz w:val="20"/>
                <w:szCs w:val="20"/>
              </w:rPr>
            </w:pPr>
            <w:r>
              <w:rPr>
                <w:rFonts w:ascii="Times New Roman" w:hAnsi="Times New Roman" w:cs="Times New Roman"/>
                <w:b/>
                <w:noProof/>
                <w:sz w:val="20"/>
                <w:szCs w:val="20"/>
              </w:rPr>
              <w:t xml:space="preserve">NEXT STEPS </w:t>
            </w:r>
          </w:p>
        </w:tc>
      </w:tr>
      <w:tr w:rsidR="00796401">
        <w:trPr>
          <w:trHeight w:val="279"/>
        </w:trPr>
        <w:tc>
          <w:tcPr>
            <w:tcW w:w="4749" w:type="dxa"/>
          </w:tcPr>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Joint migration declaration and HR/VP Mogherini meeting with Minister of Foreign Affairs at EU G5 Ministerial (June)</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Visit of Commissioner Stylianides (July)</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Visit of Minister for Economic Cooperation and Development of Germany (August)</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United Nations General Assembly (in margins)  several EU Member States, HR/VP Mogherini and Commissioner Avramopoulos (September)</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Cadre de Concertation co-chaired by the Minister of Interior and the Head of the EU Delegation, with attendance high level officials from the Member States (October)</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Visit of Chancellor of Germany (October)</w:t>
            </w:r>
          </w:p>
          <w:p w:rsidR="00796401" w:rsidRDefault="00796401">
            <w:pPr>
              <w:rPr>
                <w:rFonts w:ascii="Times New Roman" w:hAnsi="Times New Roman" w:cs="Times New Roman"/>
                <w:noProof/>
                <w:sz w:val="20"/>
                <w:szCs w:val="20"/>
              </w:rPr>
            </w:pPr>
          </w:p>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Key progress by Nigerien authorities</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Establishment of a local coordination platform on migration ("Cadre de Concertation"), and first meeting on 6 October 2016, with the participation of senior officials from Member States.</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Creation of dedicated agency to combat human trafficking.</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 xml:space="preserve">Finalisation of Action Plan to fight against smuggling, decrease irregular migration, and provide alternative economic opportunities. </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Significant action against migrant smuggling.</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 xml:space="preserve">Application of stricter measures to control irregular migrants going to Libya or Algeria. Awareness campaigns directed towards potential migrants. </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 xml:space="preserve">Several hundreds of irregular migrants returned to Agadez. </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Significant increase in voluntary returns (from 1,721 returns in 2015 to more than 3,020 in the first 8 months of 2016).</w:t>
            </w:r>
          </w:p>
          <w:p w:rsidR="00796401" w:rsidRDefault="00796401">
            <w:pPr>
              <w:rPr>
                <w:rFonts w:ascii="Times New Roman" w:hAnsi="Times New Roman" w:cs="Times New Roman"/>
                <w:noProof/>
                <w:sz w:val="20"/>
                <w:szCs w:val="20"/>
              </w:rPr>
            </w:pPr>
          </w:p>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EU support</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 xml:space="preserve">Field office established in Agadez (under CSDP mission to Niger (EUCAP Sahel Niger)), providing training and advice. </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 xml:space="preserve">Support of border management and action against criminal networks, as well as addressing the root causes of irregular migration, such as through youth job creation. </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 xml:space="preserve">EU Trust Fund for Africa projects on Migrant Resource and Response Mechanism, capacity building, and support to the economy of Agadez. </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The four transit centres for migrants in Niger supported by the EU, with 1,500 places in total, have assisted over 12,000 migrants from November 2015 to July 2016.</w:t>
            </w:r>
          </w:p>
          <w:p w:rsidR="00796401" w:rsidRDefault="002F7326">
            <w:pPr>
              <w:pStyle w:val="ListParagraph"/>
              <w:numPr>
                <w:ilvl w:val="0"/>
                <w:numId w:val="9"/>
              </w:numPr>
              <w:rPr>
                <w:rFonts w:ascii="Times New Roman" w:hAnsi="Times New Roman"/>
                <w:noProof/>
                <w:sz w:val="20"/>
                <w:szCs w:val="20"/>
              </w:rPr>
            </w:pPr>
            <w:r>
              <w:rPr>
                <w:rFonts w:ascii="Times New Roman" w:hAnsi="Times New Roman"/>
                <w:noProof/>
                <w:sz w:val="20"/>
                <w:szCs w:val="20"/>
              </w:rPr>
              <w:t>Member States' support has included the provision of key equipment to assist the Niger authorities.</w:t>
            </w:r>
            <w:r>
              <w:rPr>
                <w:rFonts w:ascii="Times New Roman" w:hAnsi="Times New Roman"/>
                <w:noProof/>
                <w:sz w:val="20"/>
                <w:szCs w:val="20"/>
              </w:rPr>
              <w:tab/>
            </w:r>
          </w:p>
        </w:tc>
        <w:tc>
          <w:tcPr>
            <w:tcW w:w="4749" w:type="dxa"/>
          </w:tcPr>
          <w:p w:rsidR="00796401" w:rsidRDefault="002F7326">
            <w:pPr>
              <w:pStyle w:val="ListParagraph"/>
              <w:numPr>
                <w:ilvl w:val="0"/>
                <w:numId w:val="4"/>
              </w:numPr>
              <w:rPr>
                <w:rFonts w:ascii="Times New Roman" w:hAnsi="Times New Roman"/>
                <w:noProof/>
                <w:sz w:val="20"/>
                <w:szCs w:val="20"/>
              </w:rPr>
            </w:pPr>
            <w:r>
              <w:rPr>
                <w:rFonts w:ascii="Times New Roman" w:hAnsi="Times New Roman"/>
                <w:noProof/>
                <w:sz w:val="20"/>
                <w:szCs w:val="20"/>
              </w:rPr>
              <w:t>Establishment of a dedicated office to enhance national risk analysis capacity and regional cooperation and exchange of information.</w:t>
            </w:r>
          </w:p>
          <w:p w:rsidR="00796401" w:rsidRDefault="002F7326">
            <w:pPr>
              <w:pStyle w:val="ListParagraph"/>
              <w:numPr>
                <w:ilvl w:val="0"/>
                <w:numId w:val="4"/>
              </w:numPr>
              <w:rPr>
                <w:rFonts w:ascii="Times New Roman" w:hAnsi="Times New Roman"/>
                <w:noProof/>
                <w:sz w:val="20"/>
                <w:szCs w:val="20"/>
              </w:rPr>
            </w:pPr>
            <w:r>
              <w:rPr>
                <w:rFonts w:ascii="Times New Roman" w:hAnsi="Times New Roman"/>
                <w:noProof/>
                <w:sz w:val="20"/>
                <w:szCs w:val="20"/>
              </w:rPr>
              <w:t>Continued engagement through the "Cadre de Concertation" and with high level visits.</w:t>
            </w:r>
          </w:p>
          <w:p w:rsidR="00796401" w:rsidRDefault="002F7326">
            <w:pPr>
              <w:pStyle w:val="ListParagraph"/>
              <w:numPr>
                <w:ilvl w:val="0"/>
                <w:numId w:val="4"/>
              </w:numPr>
              <w:rPr>
                <w:rFonts w:ascii="Times New Roman" w:hAnsi="Times New Roman"/>
                <w:noProof/>
                <w:sz w:val="20"/>
                <w:szCs w:val="20"/>
              </w:rPr>
            </w:pPr>
            <w:r>
              <w:rPr>
                <w:rFonts w:ascii="Times New Roman" w:hAnsi="Times New Roman"/>
                <w:noProof/>
                <w:sz w:val="20"/>
                <w:szCs w:val="20"/>
              </w:rPr>
              <w:t>Full operational capacity for the field office in Agadez and stronger CSDP cooperation.</w:t>
            </w:r>
          </w:p>
          <w:p w:rsidR="00796401" w:rsidRDefault="002F7326">
            <w:pPr>
              <w:pStyle w:val="ListParagraph"/>
              <w:numPr>
                <w:ilvl w:val="0"/>
                <w:numId w:val="4"/>
              </w:numPr>
              <w:rPr>
                <w:rFonts w:ascii="Times New Roman" w:hAnsi="Times New Roman"/>
                <w:noProof/>
                <w:sz w:val="20"/>
                <w:szCs w:val="20"/>
              </w:rPr>
            </w:pPr>
            <w:r>
              <w:rPr>
                <w:rFonts w:ascii="Times New Roman" w:hAnsi="Times New Roman"/>
                <w:noProof/>
                <w:sz w:val="20"/>
                <w:szCs w:val="20"/>
              </w:rPr>
              <w:t>Deployment of the European Migration Liaison Officer.</w:t>
            </w:r>
          </w:p>
          <w:p w:rsidR="00796401" w:rsidRDefault="002F7326">
            <w:pPr>
              <w:pStyle w:val="ListParagraph"/>
              <w:numPr>
                <w:ilvl w:val="0"/>
                <w:numId w:val="4"/>
              </w:numPr>
              <w:rPr>
                <w:rFonts w:ascii="Times New Roman" w:hAnsi="Times New Roman"/>
                <w:noProof/>
                <w:sz w:val="20"/>
                <w:szCs w:val="20"/>
              </w:rPr>
            </w:pPr>
            <w:r>
              <w:rPr>
                <w:rFonts w:ascii="Times New Roman" w:eastAsia="Calibri" w:hAnsi="Times New Roman"/>
                <w:noProof/>
                <w:sz w:val="20"/>
                <w:szCs w:val="20"/>
              </w:rPr>
              <w:t>Focus of EU support on the dedicated agency to combat human trafficking.</w:t>
            </w:r>
          </w:p>
          <w:p w:rsidR="00796401" w:rsidRDefault="002F7326">
            <w:pPr>
              <w:pStyle w:val="ListParagraph"/>
              <w:numPr>
                <w:ilvl w:val="0"/>
                <w:numId w:val="4"/>
              </w:numPr>
              <w:rPr>
                <w:rFonts w:ascii="Times New Roman" w:hAnsi="Times New Roman"/>
                <w:noProof/>
                <w:sz w:val="20"/>
                <w:szCs w:val="20"/>
              </w:rPr>
            </w:pPr>
            <w:r>
              <w:rPr>
                <w:rFonts w:ascii="Times New Roman" w:hAnsi="Times New Roman"/>
                <w:noProof/>
                <w:sz w:val="20"/>
                <w:szCs w:val="20"/>
              </w:rPr>
              <w:t>Support to communities and individuals affected by the smuggling and trafficking business by providing alternative livelihood opportunities.</w:t>
            </w:r>
          </w:p>
          <w:p w:rsidR="00796401" w:rsidRDefault="002F7326">
            <w:pPr>
              <w:pStyle w:val="ListParagraph"/>
              <w:numPr>
                <w:ilvl w:val="0"/>
                <w:numId w:val="4"/>
              </w:numPr>
              <w:rPr>
                <w:rFonts w:ascii="Times New Roman" w:hAnsi="Times New Roman"/>
                <w:noProof/>
                <w:sz w:val="20"/>
                <w:szCs w:val="20"/>
              </w:rPr>
            </w:pPr>
            <w:r>
              <w:rPr>
                <w:rFonts w:ascii="Times New Roman" w:eastAsia="Calibri" w:hAnsi="Times New Roman"/>
                <w:noProof/>
                <w:sz w:val="20"/>
                <w:szCs w:val="20"/>
              </w:rPr>
              <w:t>Support to the implementation of the Action Plan against smuggling in the Agadez region.</w:t>
            </w:r>
          </w:p>
          <w:p w:rsidR="00796401" w:rsidRDefault="002F7326">
            <w:pPr>
              <w:pStyle w:val="ListParagraph"/>
              <w:numPr>
                <w:ilvl w:val="0"/>
                <w:numId w:val="4"/>
              </w:numPr>
              <w:rPr>
                <w:rFonts w:ascii="Times New Roman" w:hAnsi="Times New Roman"/>
                <w:noProof/>
                <w:sz w:val="20"/>
                <w:szCs w:val="20"/>
              </w:rPr>
            </w:pPr>
            <w:r>
              <w:rPr>
                <w:rFonts w:ascii="Times New Roman" w:hAnsi="Times New Roman"/>
                <w:noProof/>
                <w:sz w:val="20"/>
                <w:szCs w:val="20"/>
              </w:rPr>
              <w:t>Stepped up financial assistance for reintegration of returning migrants and host communities.</w:t>
            </w:r>
          </w:p>
          <w:p w:rsidR="00796401" w:rsidRDefault="002F7326">
            <w:pPr>
              <w:pStyle w:val="ListParagraph"/>
              <w:numPr>
                <w:ilvl w:val="0"/>
                <w:numId w:val="4"/>
              </w:numPr>
              <w:rPr>
                <w:rFonts w:ascii="Times New Roman" w:hAnsi="Times New Roman"/>
                <w:noProof/>
                <w:sz w:val="20"/>
                <w:szCs w:val="20"/>
              </w:rPr>
            </w:pPr>
            <w:r>
              <w:rPr>
                <w:rFonts w:ascii="Times New Roman" w:eastAsia="Calibri" w:hAnsi="Times New Roman"/>
                <w:noProof/>
                <w:sz w:val="20"/>
                <w:szCs w:val="20"/>
              </w:rPr>
              <w:t>Continued delivery of training and equipment.</w:t>
            </w:r>
            <w:r>
              <w:rPr>
                <w:rFonts w:ascii="Times New Roman" w:hAnsi="Times New Roman"/>
                <w:noProof/>
                <w:sz w:val="20"/>
                <w:szCs w:val="20"/>
              </w:rPr>
              <w:t xml:space="preserve"> </w:t>
            </w:r>
          </w:p>
          <w:p w:rsidR="00796401" w:rsidRDefault="00796401">
            <w:pPr>
              <w:rPr>
                <w:rFonts w:ascii="Times New Roman" w:hAnsi="Times New Roman" w:cs="Times New Roman"/>
                <w:noProof/>
                <w:sz w:val="20"/>
                <w:szCs w:val="20"/>
              </w:rPr>
            </w:pPr>
          </w:p>
          <w:p w:rsidR="00796401" w:rsidRDefault="00796401">
            <w:pPr>
              <w:rPr>
                <w:rFonts w:ascii="Times New Roman" w:hAnsi="Times New Roman" w:cs="Times New Roman"/>
                <w:noProof/>
                <w:sz w:val="20"/>
                <w:szCs w:val="20"/>
              </w:rPr>
            </w:pPr>
          </w:p>
        </w:tc>
      </w:tr>
    </w:tbl>
    <w:p w:rsidR="00796401" w:rsidRDefault="00796401">
      <w:pPr>
        <w:rPr>
          <w:noProof/>
        </w:rPr>
      </w:pPr>
    </w:p>
    <w:tbl>
      <w:tblPr>
        <w:tblStyle w:val="TableGrid"/>
        <w:tblW w:w="9498" w:type="dxa"/>
        <w:tblLook w:val="04A0" w:firstRow="1" w:lastRow="0" w:firstColumn="1" w:lastColumn="0" w:noHBand="0" w:noVBand="1"/>
      </w:tblPr>
      <w:tblGrid>
        <w:gridCol w:w="4749"/>
        <w:gridCol w:w="4749"/>
      </w:tblGrid>
      <w:tr w:rsidR="00796401">
        <w:trPr>
          <w:trHeight w:val="264"/>
        </w:trPr>
        <w:tc>
          <w:tcPr>
            <w:tcW w:w="9498" w:type="dxa"/>
            <w:gridSpan w:val="2"/>
            <w:shd w:val="clear" w:color="auto" w:fill="D9D9D9" w:themeFill="background1" w:themeFillShade="D9"/>
          </w:tcPr>
          <w:p w:rsidR="00796401" w:rsidRDefault="002F7326">
            <w:pPr>
              <w:jc w:val="center"/>
              <w:rPr>
                <w:rFonts w:ascii="Times New Roman" w:hAnsi="Times New Roman" w:cs="Times New Roman"/>
                <w:b/>
                <w:noProof/>
                <w:sz w:val="28"/>
                <w:szCs w:val="28"/>
              </w:rPr>
            </w:pPr>
            <w:r>
              <w:rPr>
                <w:rFonts w:ascii="Times New Roman" w:hAnsi="Times New Roman" w:cs="Times New Roman"/>
                <w:b/>
                <w:noProof/>
                <w:sz w:val="28"/>
                <w:szCs w:val="28"/>
              </w:rPr>
              <w:t>Nigeria</w:t>
            </w:r>
          </w:p>
        </w:tc>
      </w:tr>
      <w:tr w:rsidR="00796401">
        <w:trPr>
          <w:trHeight w:val="543"/>
        </w:trPr>
        <w:tc>
          <w:tcPr>
            <w:tcW w:w="4749" w:type="dxa"/>
            <w:shd w:val="clear" w:color="auto" w:fill="F2F2F2" w:themeFill="background1" w:themeFillShade="F2"/>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4"/>
                <w:szCs w:val="24"/>
              </w:rPr>
              <w:t>Action and progress June-October 2016</w:t>
            </w:r>
          </w:p>
        </w:tc>
        <w:tc>
          <w:tcPr>
            <w:tcW w:w="4749" w:type="dxa"/>
            <w:shd w:val="clear" w:color="auto" w:fill="F2F2F2" w:themeFill="background1" w:themeFillShade="F2"/>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4"/>
                <w:szCs w:val="24"/>
              </w:rPr>
              <w:t xml:space="preserve">Next steps </w:t>
            </w:r>
          </w:p>
        </w:tc>
      </w:tr>
      <w:tr w:rsidR="00796401">
        <w:trPr>
          <w:trHeight w:val="279"/>
        </w:trPr>
        <w:tc>
          <w:tcPr>
            <w:tcW w:w="4749" w:type="dxa"/>
          </w:tcPr>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Visit of Minister of Foreign Affairs of Italy (August)</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United Nations General Assembly bilateral meetings, several EU Member States (September)</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Visit of Minister of Foreign Affairs of Germany (October)</w:t>
            </w:r>
          </w:p>
          <w:p w:rsidR="00796401" w:rsidRDefault="00796401">
            <w:pPr>
              <w:pStyle w:val="ListParagraph"/>
              <w:ind w:left="360"/>
              <w:rPr>
                <w:rFonts w:ascii="Times New Roman" w:hAnsi="Times New Roman"/>
                <w:noProof/>
                <w:sz w:val="20"/>
                <w:szCs w:val="20"/>
              </w:rPr>
            </w:pPr>
          </w:p>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Key progress by Nigerian authorities</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Appointment of points of contact in areas including readmission and smuggling.</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Work to enhance best practices for joint return operations.</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 xml:space="preserve">Nigerian participation at a European Border and Coast Guard event on return. </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Identification missions to Member States have been planned for November.</w:t>
            </w:r>
          </w:p>
          <w:p w:rsidR="00796401" w:rsidRDefault="00796401">
            <w:pPr>
              <w:spacing w:after="120"/>
              <w:jc w:val="both"/>
              <w:rPr>
                <w:rFonts w:ascii="Times New Roman" w:eastAsia="Calibri" w:hAnsi="Times New Roman" w:cs="Times New Roman"/>
                <w:noProof/>
                <w:sz w:val="20"/>
                <w:szCs w:val="20"/>
              </w:rPr>
            </w:pPr>
          </w:p>
          <w:p w:rsidR="00796401" w:rsidRDefault="002F7326">
            <w:pPr>
              <w:spacing w:after="120"/>
              <w:jc w:val="both"/>
              <w:rPr>
                <w:rFonts w:ascii="Times New Roman" w:hAnsi="Times New Roman" w:cs="Times New Roman"/>
                <w:i/>
                <w:noProof/>
                <w:sz w:val="20"/>
                <w:szCs w:val="20"/>
              </w:rPr>
            </w:pPr>
            <w:r>
              <w:rPr>
                <w:rFonts w:ascii="Times New Roman" w:hAnsi="Times New Roman" w:cs="Times New Roman"/>
                <w:i/>
                <w:noProof/>
                <w:sz w:val="20"/>
                <w:szCs w:val="20"/>
              </w:rPr>
              <w:t>EU support</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The EU Trust Fund for Africa has mobilised projects addressing specific migration management issues, as well as the root causes of irregular migration. A project contributing to better migration management and facilitating return and sustainable reintegration is in the pipeline.</w:t>
            </w:r>
          </w:p>
          <w:p w:rsidR="00796401" w:rsidRDefault="00796401">
            <w:pPr>
              <w:rPr>
                <w:rFonts w:ascii="Times New Roman" w:hAnsi="Times New Roman" w:cs="Times New Roman"/>
                <w:noProof/>
                <w:sz w:val="20"/>
                <w:szCs w:val="20"/>
              </w:rPr>
            </w:pPr>
          </w:p>
        </w:tc>
        <w:tc>
          <w:tcPr>
            <w:tcW w:w="4749" w:type="dxa"/>
          </w:tcPr>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Make progress on the Readmission Agreement negotiations with a view to a swift conclusion.</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Further improve operational cooperation on return and readmission, including through identification missions.</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Strengthen the work on the fight against trafficking and smuggling.</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Increase initiatives in the field of business cooperation also with a view to addressing root causes.</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 xml:space="preserve">Deployment of the European Migration Liaison Officer. </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 xml:space="preserve">Launch an EU Cooperation Platform on migrant smuggling. </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Harness opportunities offered for legal migration channels, ERASMUS opportunities and other policies and tools.</w:t>
            </w:r>
          </w:p>
          <w:p w:rsidR="00796401" w:rsidRDefault="00796401">
            <w:pPr>
              <w:rPr>
                <w:rFonts w:ascii="Times New Roman" w:hAnsi="Times New Roman" w:cs="Times New Roman"/>
                <w:noProof/>
                <w:sz w:val="20"/>
                <w:szCs w:val="20"/>
              </w:rPr>
            </w:pPr>
          </w:p>
        </w:tc>
      </w:tr>
    </w:tbl>
    <w:p w:rsidR="00796401" w:rsidRDefault="00796401">
      <w:pPr>
        <w:rPr>
          <w:noProof/>
        </w:rPr>
      </w:pPr>
    </w:p>
    <w:p w:rsidR="00796401" w:rsidRDefault="002F7326">
      <w:pPr>
        <w:rPr>
          <w:noProof/>
        </w:rPr>
      </w:pPr>
      <w:r>
        <w:rPr>
          <w:noProof/>
        </w:rPr>
        <w:br w:type="page"/>
      </w:r>
    </w:p>
    <w:tbl>
      <w:tblPr>
        <w:tblStyle w:val="TableGrid"/>
        <w:tblW w:w="9498" w:type="dxa"/>
        <w:tblLook w:val="04A0" w:firstRow="1" w:lastRow="0" w:firstColumn="1" w:lastColumn="0" w:noHBand="0" w:noVBand="1"/>
      </w:tblPr>
      <w:tblGrid>
        <w:gridCol w:w="4749"/>
        <w:gridCol w:w="4749"/>
      </w:tblGrid>
      <w:tr w:rsidR="00796401">
        <w:trPr>
          <w:trHeight w:val="264"/>
        </w:trPr>
        <w:tc>
          <w:tcPr>
            <w:tcW w:w="9498" w:type="dxa"/>
            <w:gridSpan w:val="2"/>
            <w:shd w:val="clear" w:color="auto" w:fill="D9D9D9" w:themeFill="background1" w:themeFillShade="D9"/>
          </w:tcPr>
          <w:p w:rsidR="00796401" w:rsidRDefault="002F7326">
            <w:pPr>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Senegal</w:t>
            </w:r>
          </w:p>
        </w:tc>
      </w:tr>
      <w:tr w:rsidR="00796401">
        <w:trPr>
          <w:trHeight w:val="556"/>
        </w:trPr>
        <w:tc>
          <w:tcPr>
            <w:tcW w:w="4749" w:type="dxa"/>
            <w:shd w:val="clear" w:color="auto" w:fill="F2F2F2" w:themeFill="background1" w:themeFillShade="F2"/>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4"/>
                <w:szCs w:val="24"/>
              </w:rPr>
              <w:t>Action and progress June-October 2016</w:t>
            </w:r>
          </w:p>
        </w:tc>
        <w:tc>
          <w:tcPr>
            <w:tcW w:w="4749" w:type="dxa"/>
            <w:shd w:val="clear" w:color="auto" w:fill="F2F2F2" w:themeFill="background1" w:themeFillShade="F2"/>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4"/>
                <w:szCs w:val="24"/>
              </w:rPr>
              <w:t xml:space="preserve">Next steps </w:t>
            </w:r>
          </w:p>
        </w:tc>
      </w:tr>
      <w:tr w:rsidR="00796401">
        <w:trPr>
          <w:trHeight w:val="264"/>
        </w:trPr>
        <w:tc>
          <w:tcPr>
            <w:tcW w:w="4749" w:type="dxa"/>
          </w:tcPr>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Visit of Commissioner Avramopoulos (July)</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Visit of Minister for Economic Cooperation and Development of Germany (August)</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United Nations General Assembly bilateral meetings, several EU Member States (September)</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Visit of Minister of Interior of France (October).</w:t>
            </w:r>
          </w:p>
          <w:p w:rsidR="00796401" w:rsidRDefault="00796401">
            <w:pPr>
              <w:pStyle w:val="ListParagraph"/>
              <w:ind w:left="360"/>
              <w:rPr>
                <w:rFonts w:ascii="Times New Roman" w:hAnsi="Times New Roman"/>
                <w:noProof/>
                <w:sz w:val="20"/>
                <w:szCs w:val="20"/>
              </w:rPr>
            </w:pPr>
          </w:p>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Key progress by Senegalese authorities</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 xml:space="preserve">Negotiations between the European Border and Coast Guard and the Senegalese authorities on improved working arrangements on returns are well advanced. </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Senegal has agreed to host an international conference on migration in Dakar in October, and the Third International Forum on Peace and Security in Africa in December.</w:t>
            </w:r>
          </w:p>
          <w:p w:rsidR="00796401" w:rsidRDefault="00796401">
            <w:pPr>
              <w:spacing w:after="120"/>
              <w:jc w:val="both"/>
              <w:rPr>
                <w:rFonts w:ascii="Times New Roman" w:hAnsi="Times New Roman" w:cs="Times New Roman"/>
                <w:i/>
                <w:noProof/>
                <w:sz w:val="20"/>
                <w:szCs w:val="20"/>
              </w:rPr>
            </w:pPr>
          </w:p>
          <w:p w:rsidR="00796401" w:rsidRDefault="002F7326">
            <w:pPr>
              <w:jc w:val="both"/>
              <w:rPr>
                <w:rFonts w:ascii="Times New Roman" w:hAnsi="Times New Roman" w:cs="Times New Roman"/>
                <w:i/>
                <w:noProof/>
                <w:sz w:val="20"/>
                <w:szCs w:val="20"/>
              </w:rPr>
            </w:pPr>
            <w:r>
              <w:rPr>
                <w:rFonts w:ascii="Times New Roman" w:hAnsi="Times New Roman" w:cs="Times New Roman"/>
                <w:i/>
                <w:noProof/>
                <w:sz w:val="20"/>
                <w:szCs w:val="20"/>
              </w:rPr>
              <w:t>EU support</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 xml:space="preserve">Projects for creating jobs for youth have been adopted under the EU Trust Fund for Africa. </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 xml:space="preserve">Senegal also benefits from a regional project supporting law enforcement entities. </w:t>
            </w:r>
          </w:p>
          <w:p w:rsidR="00796401" w:rsidRDefault="002F7326">
            <w:pPr>
              <w:pStyle w:val="ListParagraph"/>
              <w:numPr>
                <w:ilvl w:val="0"/>
                <w:numId w:val="11"/>
              </w:numPr>
              <w:ind w:left="360"/>
              <w:rPr>
                <w:rFonts w:ascii="Times New Roman" w:hAnsi="Times New Roman"/>
                <w:noProof/>
                <w:sz w:val="20"/>
                <w:szCs w:val="20"/>
              </w:rPr>
            </w:pPr>
            <w:r>
              <w:rPr>
                <w:rFonts w:ascii="Times New Roman" w:hAnsi="Times New Roman"/>
                <w:noProof/>
                <w:sz w:val="20"/>
                <w:szCs w:val="20"/>
              </w:rPr>
              <w:t xml:space="preserve">Projects contributing to better migration management and facilitating return, to support consolidation of civil register systems and creating economic and employment opportunities in regions with a high migration potential are in the pipeline. </w:t>
            </w:r>
          </w:p>
          <w:p w:rsidR="00796401" w:rsidRDefault="00796401">
            <w:pPr>
              <w:spacing w:after="120"/>
              <w:jc w:val="both"/>
              <w:rPr>
                <w:rFonts w:ascii="Times New Roman" w:hAnsi="Times New Roman" w:cs="Times New Roman"/>
                <w:noProof/>
                <w:sz w:val="20"/>
                <w:szCs w:val="20"/>
              </w:rPr>
            </w:pPr>
          </w:p>
        </w:tc>
        <w:tc>
          <w:tcPr>
            <w:tcW w:w="4749" w:type="dxa"/>
          </w:tcPr>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Continue the work on operational cooperation along the lines already agreed.</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Carry out planned identification missions in Member States.</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 xml:space="preserve">Cooperation on travel documents </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Strengthen bilateral cooperation opportunities within the EU framework.</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Deployment of the European Migration Liaison Officer.</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Support the further strengthening of civil registries and biometrics.</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Conclude the working arrangements with the European Border and Coast Guard.</w:t>
            </w:r>
          </w:p>
          <w:p w:rsidR="00796401" w:rsidRDefault="002F7326">
            <w:pPr>
              <w:pStyle w:val="ListParagraph"/>
              <w:numPr>
                <w:ilvl w:val="0"/>
                <w:numId w:val="3"/>
              </w:numPr>
              <w:rPr>
                <w:rFonts w:ascii="Times New Roman" w:hAnsi="Times New Roman"/>
                <w:noProof/>
                <w:sz w:val="20"/>
                <w:szCs w:val="20"/>
              </w:rPr>
            </w:pPr>
            <w:r>
              <w:rPr>
                <w:rFonts w:ascii="Times New Roman" w:hAnsi="Times New Roman"/>
                <w:noProof/>
                <w:sz w:val="20"/>
                <w:szCs w:val="20"/>
              </w:rPr>
              <w:t>Harness opportunities offered for legal migration channels, ERASMUS opportunities and other policies and tools.</w:t>
            </w:r>
          </w:p>
          <w:p w:rsidR="00796401" w:rsidRDefault="00796401">
            <w:pPr>
              <w:pStyle w:val="ListParagraph"/>
              <w:ind w:left="360"/>
              <w:rPr>
                <w:rFonts w:ascii="Times New Roman" w:hAnsi="Times New Roman"/>
                <w:noProof/>
                <w:sz w:val="20"/>
                <w:szCs w:val="20"/>
              </w:rPr>
            </w:pPr>
          </w:p>
        </w:tc>
      </w:tr>
    </w:tbl>
    <w:p w:rsidR="00796401" w:rsidRDefault="00796401">
      <w:pPr>
        <w:rPr>
          <w:noProof/>
        </w:rPr>
      </w:pPr>
    </w:p>
    <w:p w:rsidR="00796401" w:rsidRDefault="002F7326">
      <w:pPr>
        <w:rPr>
          <w:noProof/>
        </w:rPr>
      </w:pPr>
      <w:r>
        <w:rPr>
          <w:noProof/>
        </w:rPr>
        <w:br w:type="page"/>
      </w:r>
    </w:p>
    <w:tbl>
      <w:tblPr>
        <w:tblStyle w:val="TableGrid"/>
        <w:tblW w:w="9498" w:type="dxa"/>
        <w:tblLook w:val="04A0" w:firstRow="1" w:lastRow="0" w:firstColumn="1" w:lastColumn="0" w:noHBand="0" w:noVBand="1"/>
      </w:tblPr>
      <w:tblGrid>
        <w:gridCol w:w="4749"/>
        <w:gridCol w:w="4749"/>
      </w:tblGrid>
      <w:tr w:rsidR="00796401">
        <w:trPr>
          <w:trHeight w:val="279"/>
        </w:trPr>
        <w:tc>
          <w:tcPr>
            <w:tcW w:w="9498" w:type="dxa"/>
            <w:gridSpan w:val="2"/>
            <w:shd w:val="clear" w:color="auto" w:fill="D9D9D9" w:themeFill="background1" w:themeFillShade="D9"/>
          </w:tcPr>
          <w:p w:rsidR="00796401" w:rsidRDefault="002F7326">
            <w:pPr>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Mali</w:t>
            </w:r>
          </w:p>
        </w:tc>
      </w:tr>
      <w:tr w:rsidR="00796401">
        <w:trPr>
          <w:trHeight w:val="543"/>
        </w:trPr>
        <w:tc>
          <w:tcPr>
            <w:tcW w:w="4749" w:type="dxa"/>
            <w:shd w:val="clear" w:color="auto" w:fill="F2F2F2" w:themeFill="background1" w:themeFillShade="F2"/>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4"/>
                <w:szCs w:val="24"/>
              </w:rPr>
              <w:t>Action and progress June-October 2016</w:t>
            </w:r>
          </w:p>
        </w:tc>
        <w:tc>
          <w:tcPr>
            <w:tcW w:w="4749" w:type="dxa"/>
            <w:shd w:val="clear" w:color="auto" w:fill="F2F2F2" w:themeFill="background1" w:themeFillShade="F2"/>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4"/>
                <w:szCs w:val="24"/>
              </w:rPr>
              <w:t>Next steps</w:t>
            </w:r>
          </w:p>
        </w:tc>
      </w:tr>
      <w:tr w:rsidR="00796401">
        <w:trPr>
          <w:trHeight w:val="264"/>
        </w:trPr>
        <w:tc>
          <w:tcPr>
            <w:tcW w:w="4749" w:type="dxa"/>
          </w:tcPr>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Meeting of HR/VP Mogherini with  Minister of Foreign Affairs at EU G5 Ministerial (June)</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Senior level mission (European External Action Service/Commission services and The Netherlands, Germany) (July)</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Visit of Prime Minister of Estonia (September)</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United Nations General Assembly bilateral meetings, several EU Member States, HR/VP Mogherini and Commissioner Avramopoulos  (September)</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Visit of Commissioner Mimica (September)</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Visit of Chancellor of Germany (October)</w:t>
            </w:r>
          </w:p>
          <w:p w:rsidR="00796401" w:rsidRDefault="00796401">
            <w:pPr>
              <w:rPr>
                <w:rFonts w:ascii="Times New Roman" w:hAnsi="Times New Roman" w:cs="Times New Roman"/>
                <w:i/>
                <w:noProof/>
                <w:sz w:val="20"/>
                <w:szCs w:val="20"/>
              </w:rPr>
            </w:pPr>
          </w:p>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Key progress by Malian authorities</w:t>
            </w:r>
          </w:p>
          <w:p w:rsidR="00796401" w:rsidRDefault="002F7326">
            <w:pPr>
              <w:pStyle w:val="ListParagraph"/>
              <w:numPr>
                <w:ilvl w:val="0"/>
                <w:numId w:val="12"/>
              </w:numPr>
              <w:rPr>
                <w:rFonts w:ascii="Times New Roman" w:hAnsi="Times New Roman"/>
                <w:noProof/>
                <w:sz w:val="20"/>
                <w:szCs w:val="20"/>
              </w:rPr>
            </w:pPr>
            <w:r>
              <w:rPr>
                <w:rFonts w:ascii="Times New Roman" w:hAnsi="Times New Roman"/>
                <w:noProof/>
                <w:sz w:val="20"/>
                <w:szCs w:val="20"/>
              </w:rPr>
              <w:t>Mali has appointed a focal point for migration issues, which will ensure a single contact point</w:t>
            </w:r>
          </w:p>
          <w:p w:rsidR="00796401" w:rsidRDefault="002F7326">
            <w:pPr>
              <w:pStyle w:val="ListParagraph"/>
              <w:numPr>
                <w:ilvl w:val="0"/>
                <w:numId w:val="12"/>
              </w:numPr>
              <w:rPr>
                <w:rFonts w:ascii="Times New Roman" w:hAnsi="Times New Roman"/>
                <w:noProof/>
                <w:sz w:val="20"/>
                <w:szCs w:val="20"/>
              </w:rPr>
            </w:pPr>
            <w:r>
              <w:rPr>
                <w:rFonts w:ascii="Times New Roman" w:hAnsi="Times New Roman"/>
                <w:noProof/>
                <w:sz w:val="20"/>
                <w:szCs w:val="20"/>
              </w:rPr>
              <w:t xml:space="preserve">Standard Operating Procedures are currently being finalised to improve cooperation and accelerate the procedures for identification and return. </w:t>
            </w:r>
          </w:p>
          <w:p w:rsidR="00796401" w:rsidRDefault="00796401">
            <w:pPr>
              <w:jc w:val="both"/>
              <w:rPr>
                <w:rFonts w:ascii="Times New Roman" w:hAnsi="Times New Roman" w:cs="Times New Roman"/>
                <w:i/>
                <w:noProof/>
                <w:sz w:val="20"/>
                <w:szCs w:val="20"/>
              </w:rPr>
            </w:pPr>
          </w:p>
          <w:p w:rsidR="00796401" w:rsidRDefault="002F7326">
            <w:pPr>
              <w:jc w:val="both"/>
              <w:rPr>
                <w:rFonts w:ascii="Times New Roman" w:hAnsi="Times New Roman" w:cs="Times New Roman"/>
                <w:i/>
                <w:noProof/>
                <w:sz w:val="20"/>
                <w:szCs w:val="20"/>
              </w:rPr>
            </w:pPr>
            <w:r>
              <w:rPr>
                <w:rFonts w:ascii="Times New Roman" w:hAnsi="Times New Roman" w:cs="Times New Roman"/>
                <w:i/>
                <w:noProof/>
                <w:sz w:val="20"/>
                <w:szCs w:val="20"/>
              </w:rPr>
              <w:t>EU support</w:t>
            </w:r>
          </w:p>
          <w:p w:rsidR="00796401" w:rsidRDefault="002F7326">
            <w:pPr>
              <w:pStyle w:val="ListParagraph"/>
              <w:numPr>
                <w:ilvl w:val="0"/>
                <w:numId w:val="12"/>
              </w:numPr>
              <w:jc w:val="both"/>
              <w:rPr>
                <w:rFonts w:ascii="Times New Roman" w:eastAsia="Calibri" w:hAnsi="Times New Roman"/>
                <w:noProof/>
                <w:sz w:val="20"/>
                <w:szCs w:val="20"/>
              </w:rPr>
            </w:pPr>
            <w:r>
              <w:rPr>
                <w:rFonts w:ascii="Times New Roman" w:eastAsia="Calibri" w:hAnsi="Times New Roman"/>
                <w:noProof/>
                <w:sz w:val="20"/>
                <w:szCs w:val="20"/>
              </w:rPr>
              <w:t xml:space="preserve">Six projects have already been approved under the EU Trust Fund for Africa, including on border management. </w:t>
            </w:r>
          </w:p>
          <w:p w:rsidR="00796401" w:rsidRDefault="002F7326">
            <w:pPr>
              <w:pStyle w:val="ListParagraph"/>
              <w:numPr>
                <w:ilvl w:val="0"/>
                <w:numId w:val="12"/>
              </w:numPr>
              <w:jc w:val="both"/>
              <w:rPr>
                <w:rFonts w:ascii="Times New Roman" w:eastAsia="Calibri" w:hAnsi="Times New Roman"/>
                <w:noProof/>
                <w:sz w:val="20"/>
                <w:szCs w:val="20"/>
              </w:rPr>
            </w:pPr>
            <w:r>
              <w:rPr>
                <w:rFonts w:ascii="Times New Roman" w:eastAsia="Calibri" w:hAnsi="Times New Roman"/>
                <w:noProof/>
                <w:sz w:val="20"/>
                <w:szCs w:val="20"/>
              </w:rPr>
              <w:t>Further projects contributing to better migration management and facilitating return and sustainable reintegration, to support  consolidation of civil registry systems, and creating economic and employment opportunities in regions with a high migration potential are in the pipeline.</w:t>
            </w:r>
          </w:p>
          <w:p w:rsidR="00796401" w:rsidRDefault="00796401">
            <w:pPr>
              <w:pStyle w:val="ListParagraph"/>
              <w:spacing w:after="120"/>
              <w:ind w:left="360"/>
              <w:contextualSpacing/>
              <w:jc w:val="both"/>
              <w:rPr>
                <w:rFonts w:ascii="Times New Roman" w:hAnsi="Times New Roman"/>
                <w:noProof/>
                <w:sz w:val="20"/>
                <w:szCs w:val="20"/>
              </w:rPr>
            </w:pPr>
          </w:p>
        </w:tc>
        <w:tc>
          <w:tcPr>
            <w:tcW w:w="4749" w:type="dxa"/>
          </w:tcPr>
          <w:p w:rsidR="00796401" w:rsidRDefault="002F7326">
            <w:pPr>
              <w:pStyle w:val="ListParagraph"/>
              <w:numPr>
                <w:ilvl w:val="0"/>
                <w:numId w:val="7"/>
              </w:numPr>
              <w:spacing w:after="120"/>
              <w:contextualSpacing/>
              <w:jc w:val="both"/>
              <w:rPr>
                <w:rFonts w:ascii="Times New Roman" w:eastAsia="Calibri" w:hAnsi="Times New Roman"/>
                <w:noProof/>
                <w:sz w:val="20"/>
                <w:szCs w:val="20"/>
              </w:rPr>
            </w:pPr>
            <w:r>
              <w:rPr>
                <w:rFonts w:ascii="Times New Roman" w:eastAsia="Calibri" w:hAnsi="Times New Roman"/>
                <w:noProof/>
                <w:sz w:val="20"/>
                <w:szCs w:val="20"/>
              </w:rPr>
              <w:t>Continue the work on operational cooperation along the lines already agreed.</w:t>
            </w:r>
          </w:p>
          <w:p w:rsidR="00796401" w:rsidRDefault="002F7326">
            <w:pPr>
              <w:pStyle w:val="ListParagraph"/>
              <w:numPr>
                <w:ilvl w:val="0"/>
                <w:numId w:val="7"/>
              </w:numPr>
              <w:spacing w:after="120"/>
              <w:contextualSpacing/>
              <w:jc w:val="both"/>
              <w:rPr>
                <w:rFonts w:ascii="Times New Roman" w:eastAsia="Calibri" w:hAnsi="Times New Roman"/>
                <w:noProof/>
                <w:sz w:val="20"/>
                <w:szCs w:val="20"/>
              </w:rPr>
            </w:pPr>
            <w:r>
              <w:rPr>
                <w:rFonts w:ascii="Times New Roman" w:eastAsia="Calibri" w:hAnsi="Times New Roman"/>
                <w:noProof/>
                <w:sz w:val="20"/>
                <w:szCs w:val="20"/>
              </w:rPr>
              <w:t>Finalise agreement on Standard Operating Procedures and start implementation.</w:t>
            </w:r>
          </w:p>
          <w:p w:rsidR="00796401" w:rsidRDefault="002F7326">
            <w:pPr>
              <w:pStyle w:val="ListParagraph"/>
              <w:numPr>
                <w:ilvl w:val="0"/>
                <w:numId w:val="7"/>
              </w:numPr>
              <w:spacing w:after="120"/>
              <w:contextualSpacing/>
              <w:jc w:val="both"/>
              <w:rPr>
                <w:rFonts w:ascii="Times New Roman" w:eastAsia="Calibri" w:hAnsi="Times New Roman"/>
                <w:noProof/>
                <w:sz w:val="20"/>
                <w:szCs w:val="20"/>
              </w:rPr>
            </w:pPr>
            <w:r>
              <w:rPr>
                <w:rFonts w:ascii="Times New Roman" w:eastAsia="Calibri" w:hAnsi="Times New Roman"/>
                <w:noProof/>
                <w:sz w:val="20"/>
                <w:szCs w:val="20"/>
              </w:rPr>
              <w:t>Carry out planned identification missions in Member States.</w:t>
            </w:r>
          </w:p>
          <w:p w:rsidR="00796401" w:rsidRDefault="002F7326">
            <w:pPr>
              <w:pStyle w:val="ListParagraph"/>
              <w:numPr>
                <w:ilvl w:val="0"/>
                <w:numId w:val="7"/>
              </w:numPr>
              <w:spacing w:after="120"/>
              <w:contextualSpacing/>
              <w:jc w:val="both"/>
              <w:rPr>
                <w:rFonts w:ascii="Times New Roman" w:eastAsia="Calibri" w:hAnsi="Times New Roman"/>
                <w:noProof/>
                <w:sz w:val="20"/>
                <w:szCs w:val="20"/>
              </w:rPr>
            </w:pPr>
            <w:r>
              <w:rPr>
                <w:rFonts w:ascii="Times New Roman" w:eastAsia="Calibri" w:hAnsi="Times New Roman"/>
                <w:noProof/>
                <w:sz w:val="20"/>
                <w:szCs w:val="20"/>
              </w:rPr>
              <w:t>Strengthen EU agencies' involvement on the ground (European Border and Coast Guard and EUROPOL).</w:t>
            </w:r>
          </w:p>
          <w:p w:rsidR="00796401" w:rsidRDefault="002F7326">
            <w:pPr>
              <w:pStyle w:val="ListParagraph"/>
              <w:numPr>
                <w:ilvl w:val="0"/>
                <w:numId w:val="7"/>
              </w:numPr>
              <w:spacing w:after="120"/>
              <w:contextualSpacing/>
              <w:jc w:val="both"/>
              <w:rPr>
                <w:rFonts w:ascii="Times New Roman" w:eastAsia="Calibri" w:hAnsi="Times New Roman"/>
                <w:noProof/>
                <w:sz w:val="20"/>
                <w:szCs w:val="20"/>
              </w:rPr>
            </w:pPr>
            <w:r>
              <w:rPr>
                <w:rFonts w:ascii="Times New Roman" w:eastAsia="Calibri" w:hAnsi="Times New Roman"/>
                <w:noProof/>
                <w:sz w:val="20"/>
                <w:szCs w:val="20"/>
              </w:rPr>
              <w:t>Deployment of the European Migration Liaison Officer.</w:t>
            </w:r>
          </w:p>
          <w:p w:rsidR="00796401" w:rsidRDefault="002F7326">
            <w:pPr>
              <w:pStyle w:val="ListParagraph"/>
              <w:numPr>
                <w:ilvl w:val="0"/>
                <w:numId w:val="7"/>
              </w:numPr>
              <w:spacing w:after="120"/>
              <w:contextualSpacing/>
              <w:jc w:val="both"/>
              <w:rPr>
                <w:rFonts w:ascii="Times New Roman" w:eastAsia="Calibri" w:hAnsi="Times New Roman"/>
                <w:noProof/>
                <w:sz w:val="20"/>
                <w:szCs w:val="20"/>
              </w:rPr>
            </w:pPr>
            <w:r>
              <w:rPr>
                <w:rFonts w:ascii="Times New Roman" w:eastAsia="Calibri" w:hAnsi="Times New Roman"/>
                <w:noProof/>
                <w:sz w:val="20"/>
                <w:szCs w:val="20"/>
              </w:rPr>
              <w:t>Harness opportunities offered for legal migration channels, ERASMUS opportunities and other policies and tools.</w:t>
            </w:r>
          </w:p>
          <w:p w:rsidR="00796401" w:rsidRDefault="002F7326">
            <w:pPr>
              <w:rPr>
                <w:rFonts w:ascii="Times New Roman" w:hAnsi="Times New Roman" w:cs="Times New Roman"/>
                <w:noProof/>
                <w:sz w:val="20"/>
                <w:szCs w:val="20"/>
              </w:rPr>
            </w:pPr>
            <w:r>
              <w:rPr>
                <w:rFonts w:ascii="Times New Roman" w:eastAsia="Calibri" w:hAnsi="Times New Roman" w:cs="Times New Roman"/>
                <w:noProof/>
                <w:sz w:val="20"/>
                <w:szCs w:val="20"/>
              </w:rPr>
              <w:t xml:space="preserve"> </w:t>
            </w:r>
          </w:p>
        </w:tc>
      </w:tr>
    </w:tbl>
    <w:p w:rsidR="00796401" w:rsidRDefault="00796401">
      <w:pPr>
        <w:rPr>
          <w:noProof/>
        </w:rPr>
      </w:pPr>
    </w:p>
    <w:p w:rsidR="00796401" w:rsidRDefault="002F7326">
      <w:pPr>
        <w:rPr>
          <w:noProof/>
        </w:rPr>
      </w:pPr>
      <w:r>
        <w:rPr>
          <w:noProof/>
        </w:rPr>
        <w:br w:type="page"/>
      </w:r>
    </w:p>
    <w:tbl>
      <w:tblPr>
        <w:tblStyle w:val="TableGrid"/>
        <w:tblW w:w="9498" w:type="dxa"/>
        <w:tblLook w:val="04A0" w:firstRow="1" w:lastRow="0" w:firstColumn="1" w:lastColumn="0" w:noHBand="0" w:noVBand="1"/>
      </w:tblPr>
      <w:tblGrid>
        <w:gridCol w:w="4749"/>
        <w:gridCol w:w="4749"/>
      </w:tblGrid>
      <w:tr w:rsidR="00796401">
        <w:trPr>
          <w:trHeight w:val="279"/>
        </w:trPr>
        <w:tc>
          <w:tcPr>
            <w:tcW w:w="9498" w:type="dxa"/>
            <w:gridSpan w:val="2"/>
            <w:shd w:val="clear" w:color="auto" w:fill="D9D9D9" w:themeFill="background1" w:themeFillShade="D9"/>
          </w:tcPr>
          <w:p w:rsidR="00796401" w:rsidRDefault="002F7326">
            <w:pPr>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Ethiopia</w:t>
            </w:r>
          </w:p>
        </w:tc>
      </w:tr>
      <w:tr w:rsidR="00796401">
        <w:trPr>
          <w:trHeight w:val="543"/>
        </w:trPr>
        <w:tc>
          <w:tcPr>
            <w:tcW w:w="4749" w:type="dxa"/>
            <w:shd w:val="clear" w:color="auto" w:fill="F2F2F2" w:themeFill="background1" w:themeFillShade="F2"/>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4"/>
                <w:szCs w:val="24"/>
              </w:rPr>
              <w:t>Action and progress June-October 2016</w:t>
            </w:r>
          </w:p>
        </w:tc>
        <w:tc>
          <w:tcPr>
            <w:tcW w:w="4749" w:type="dxa"/>
            <w:shd w:val="clear" w:color="auto" w:fill="F2F2F2" w:themeFill="background1" w:themeFillShade="F2"/>
          </w:tcPr>
          <w:p w:rsidR="00796401" w:rsidRDefault="002F7326">
            <w:pPr>
              <w:jc w:val="center"/>
              <w:rPr>
                <w:rFonts w:ascii="Times New Roman" w:hAnsi="Times New Roman" w:cs="Times New Roman"/>
                <w:b/>
                <w:noProof/>
                <w:sz w:val="24"/>
                <w:szCs w:val="24"/>
              </w:rPr>
            </w:pPr>
            <w:r>
              <w:rPr>
                <w:rFonts w:ascii="Times New Roman" w:hAnsi="Times New Roman" w:cs="Times New Roman"/>
                <w:b/>
                <w:noProof/>
                <w:sz w:val="24"/>
                <w:szCs w:val="24"/>
              </w:rPr>
              <w:t>Next steps</w:t>
            </w:r>
          </w:p>
        </w:tc>
      </w:tr>
      <w:tr w:rsidR="00796401">
        <w:trPr>
          <w:trHeight w:val="292"/>
        </w:trPr>
        <w:tc>
          <w:tcPr>
            <w:tcW w:w="4749" w:type="dxa"/>
          </w:tcPr>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High level engagement</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Meeting of President of Ethiopia with several members of the College, including President Juncker for the signature of the Strategic Engagement/ High level dialogue on migration (June).</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United Nations General Assembly bilateral meetings, several Member States, and  HR/VP Mogherini with President of Ethiopia (September)</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Visit of Minister of Foreign Affairs of Slovakia (October)</w:t>
            </w:r>
          </w:p>
          <w:p w:rsidR="00796401" w:rsidRDefault="002F7326">
            <w:pPr>
              <w:pStyle w:val="ListParagraph"/>
              <w:numPr>
                <w:ilvl w:val="0"/>
                <w:numId w:val="10"/>
              </w:numPr>
              <w:ind w:left="426"/>
              <w:rPr>
                <w:rFonts w:ascii="Times New Roman" w:hAnsi="Times New Roman"/>
                <w:noProof/>
                <w:sz w:val="20"/>
                <w:szCs w:val="20"/>
              </w:rPr>
            </w:pPr>
            <w:r>
              <w:rPr>
                <w:rFonts w:ascii="Times New Roman" w:hAnsi="Times New Roman"/>
                <w:noProof/>
                <w:sz w:val="20"/>
                <w:szCs w:val="20"/>
              </w:rPr>
              <w:t>Visit of Chancellor of Germany (October)</w:t>
            </w:r>
          </w:p>
          <w:p w:rsidR="00796401" w:rsidRDefault="00796401">
            <w:pPr>
              <w:pStyle w:val="ListParagraph"/>
              <w:ind w:left="426"/>
              <w:rPr>
                <w:rFonts w:ascii="Times New Roman" w:hAnsi="Times New Roman"/>
                <w:noProof/>
                <w:sz w:val="20"/>
                <w:szCs w:val="20"/>
              </w:rPr>
            </w:pPr>
          </w:p>
          <w:p w:rsidR="00796401" w:rsidRDefault="002F7326">
            <w:pPr>
              <w:rPr>
                <w:rFonts w:ascii="Times New Roman" w:hAnsi="Times New Roman" w:cs="Times New Roman"/>
                <w:i/>
                <w:noProof/>
                <w:sz w:val="20"/>
                <w:szCs w:val="20"/>
              </w:rPr>
            </w:pPr>
            <w:r>
              <w:rPr>
                <w:rFonts w:ascii="Times New Roman" w:hAnsi="Times New Roman" w:cs="Times New Roman"/>
                <w:i/>
                <w:noProof/>
                <w:sz w:val="20"/>
                <w:szCs w:val="20"/>
              </w:rPr>
              <w:t>Key progress by Ethiopian authorities</w:t>
            </w:r>
          </w:p>
          <w:p w:rsidR="00796401" w:rsidRDefault="002F7326">
            <w:pPr>
              <w:pStyle w:val="ListParagraph"/>
              <w:numPr>
                <w:ilvl w:val="0"/>
                <w:numId w:val="6"/>
              </w:numPr>
              <w:jc w:val="both"/>
              <w:rPr>
                <w:rFonts w:ascii="Times New Roman" w:eastAsia="Calibri" w:hAnsi="Times New Roman"/>
                <w:noProof/>
                <w:sz w:val="20"/>
                <w:szCs w:val="20"/>
              </w:rPr>
            </w:pPr>
            <w:r>
              <w:rPr>
                <w:rFonts w:ascii="Times New Roman" w:eastAsia="Calibri" w:hAnsi="Times New Roman"/>
                <w:noProof/>
                <w:sz w:val="20"/>
                <w:szCs w:val="20"/>
              </w:rPr>
              <w:t>A contact point to cooperate with Member States in identification and return issues was appointed.</w:t>
            </w:r>
          </w:p>
          <w:p w:rsidR="00796401" w:rsidRDefault="002F7326">
            <w:pPr>
              <w:pStyle w:val="ListParagraph"/>
              <w:numPr>
                <w:ilvl w:val="0"/>
                <w:numId w:val="6"/>
              </w:numPr>
              <w:jc w:val="both"/>
              <w:rPr>
                <w:rFonts w:ascii="Times New Roman" w:eastAsia="Calibri" w:hAnsi="Times New Roman"/>
                <w:noProof/>
                <w:sz w:val="20"/>
                <w:szCs w:val="20"/>
              </w:rPr>
            </w:pPr>
            <w:r>
              <w:rPr>
                <w:rFonts w:ascii="Times New Roman" w:eastAsia="Calibri" w:hAnsi="Times New Roman"/>
                <w:noProof/>
                <w:sz w:val="20"/>
                <w:szCs w:val="20"/>
              </w:rPr>
              <w:t xml:space="preserve">The Ethiopian government has identified a majority of the cases submitted for return. </w:t>
            </w:r>
          </w:p>
          <w:p w:rsidR="00796401" w:rsidRDefault="002F7326">
            <w:pPr>
              <w:pStyle w:val="ListParagraph"/>
              <w:numPr>
                <w:ilvl w:val="0"/>
                <w:numId w:val="6"/>
              </w:numPr>
              <w:jc w:val="both"/>
              <w:rPr>
                <w:rFonts w:ascii="Times New Roman" w:eastAsia="Calibri" w:hAnsi="Times New Roman"/>
                <w:noProof/>
                <w:sz w:val="20"/>
                <w:szCs w:val="20"/>
              </w:rPr>
            </w:pPr>
            <w:r>
              <w:rPr>
                <w:rFonts w:ascii="Times New Roman" w:eastAsia="Calibri" w:hAnsi="Times New Roman"/>
                <w:noProof/>
                <w:sz w:val="20"/>
                <w:szCs w:val="20"/>
              </w:rPr>
              <w:t xml:space="preserve">Ethiopia, with support of the EU, is making progress in supporting livelihood opportunities for refugees, notably with its announcement in September 2016 that it would provide 30,000 jobs to refugees through the creation of two industrial parks (aiming at a total of 100,000 jobs). </w:t>
            </w:r>
          </w:p>
          <w:p w:rsidR="00796401" w:rsidRDefault="00796401">
            <w:pPr>
              <w:jc w:val="both"/>
              <w:rPr>
                <w:rFonts w:ascii="Times New Roman" w:hAnsi="Times New Roman" w:cs="Times New Roman"/>
                <w:i/>
                <w:noProof/>
                <w:sz w:val="20"/>
                <w:szCs w:val="20"/>
              </w:rPr>
            </w:pPr>
          </w:p>
          <w:p w:rsidR="00796401" w:rsidRDefault="002F7326">
            <w:pPr>
              <w:jc w:val="both"/>
              <w:rPr>
                <w:rFonts w:ascii="Times New Roman" w:hAnsi="Times New Roman" w:cs="Times New Roman"/>
                <w:i/>
                <w:noProof/>
                <w:sz w:val="20"/>
                <w:szCs w:val="20"/>
              </w:rPr>
            </w:pPr>
            <w:r>
              <w:rPr>
                <w:rFonts w:ascii="Times New Roman" w:hAnsi="Times New Roman" w:cs="Times New Roman"/>
                <w:i/>
                <w:noProof/>
                <w:sz w:val="20"/>
                <w:szCs w:val="20"/>
              </w:rPr>
              <w:t>EU support</w:t>
            </w:r>
          </w:p>
          <w:p w:rsidR="00796401" w:rsidRDefault="002F7326">
            <w:pPr>
              <w:pStyle w:val="ListParagraph"/>
              <w:numPr>
                <w:ilvl w:val="0"/>
                <w:numId w:val="13"/>
              </w:numPr>
              <w:ind w:left="426" w:hanging="357"/>
              <w:jc w:val="both"/>
              <w:rPr>
                <w:rFonts w:ascii="Times New Roman" w:hAnsi="Times New Roman"/>
                <w:noProof/>
                <w:sz w:val="20"/>
                <w:szCs w:val="20"/>
              </w:rPr>
            </w:pPr>
            <w:r>
              <w:rPr>
                <w:rFonts w:ascii="Times New Roman" w:hAnsi="Times New Roman"/>
                <w:noProof/>
                <w:sz w:val="20"/>
                <w:szCs w:val="20"/>
              </w:rPr>
              <w:t xml:space="preserve">The </w:t>
            </w:r>
            <w:r>
              <w:rPr>
                <w:rFonts w:ascii="Times New Roman" w:hAnsi="Times New Roman"/>
                <w:i/>
                <w:noProof/>
                <w:sz w:val="20"/>
                <w:szCs w:val="20"/>
              </w:rPr>
              <w:t>EU Trust Fund for Africa</w:t>
            </w:r>
            <w:r>
              <w:rPr>
                <w:rFonts w:ascii="Times New Roman" w:hAnsi="Times New Roman"/>
                <w:noProof/>
                <w:sz w:val="20"/>
                <w:szCs w:val="20"/>
              </w:rPr>
              <w:t xml:space="preserve"> approved a number of projects, in addition to regional programmes. </w:t>
            </w:r>
          </w:p>
          <w:p w:rsidR="00796401" w:rsidRDefault="002F7326">
            <w:pPr>
              <w:pStyle w:val="ListParagraph"/>
              <w:numPr>
                <w:ilvl w:val="0"/>
                <w:numId w:val="13"/>
              </w:numPr>
              <w:ind w:left="426" w:hanging="357"/>
              <w:jc w:val="both"/>
              <w:rPr>
                <w:rFonts w:ascii="Times New Roman" w:hAnsi="Times New Roman"/>
                <w:noProof/>
                <w:sz w:val="20"/>
                <w:szCs w:val="20"/>
              </w:rPr>
            </w:pPr>
            <w:r>
              <w:rPr>
                <w:rFonts w:ascii="Times New Roman" w:hAnsi="Times New Roman"/>
                <w:noProof/>
                <w:sz w:val="20"/>
                <w:szCs w:val="20"/>
              </w:rPr>
              <w:t xml:space="preserve">Preparation of projects on biometrics and on reintegration are ongoing. </w:t>
            </w:r>
          </w:p>
        </w:tc>
        <w:tc>
          <w:tcPr>
            <w:tcW w:w="4749" w:type="dxa"/>
          </w:tcPr>
          <w:p w:rsidR="00796401" w:rsidRDefault="002F7326">
            <w:pPr>
              <w:pStyle w:val="ListParagraph"/>
              <w:numPr>
                <w:ilvl w:val="0"/>
                <w:numId w:val="8"/>
              </w:numPr>
              <w:spacing w:after="120"/>
              <w:contextualSpacing/>
              <w:jc w:val="both"/>
              <w:rPr>
                <w:rFonts w:ascii="Times New Roman" w:hAnsi="Times New Roman"/>
                <w:noProof/>
                <w:sz w:val="20"/>
                <w:szCs w:val="20"/>
              </w:rPr>
            </w:pPr>
            <w:r>
              <w:rPr>
                <w:rFonts w:ascii="Times New Roman" w:hAnsi="Times New Roman"/>
                <w:noProof/>
                <w:sz w:val="20"/>
                <w:szCs w:val="20"/>
              </w:rPr>
              <w:t>Finalise the procedure for the pending return cases.</w:t>
            </w:r>
          </w:p>
          <w:p w:rsidR="00796401" w:rsidRDefault="002F7326">
            <w:pPr>
              <w:pStyle w:val="ListParagraph"/>
              <w:numPr>
                <w:ilvl w:val="0"/>
                <w:numId w:val="8"/>
              </w:numPr>
              <w:spacing w:after="120"/>
              <w:contextualSpacing/>
              <w:jc w:val="both"/>
              <w:rPr>
                <w:rFonts w:ascii="Times New Roman" w:hAnsi="Times New Roman"/>
                <w:noProof/>
                <w:sz w:val="20"/>
                <w:szCs w:val="20"/>
              </w:rPr>
            </w:pPr>
            <w:r>
              <w:rPr>
                <w:rFonts w:ascii="Times New Roman" w:hAnsi="Times New Roman"/>
                <w:noProof/>
                <w:sz w:val="20"/>
                <w:szCs w:val="20"/>
              </w:rPr>
              <w:t>Set in place an agreed procedure for agreeing and implementing returns.</w:t>
            </w:r>
          </w:p>
          <w:p w:rsidR="00796401" w:rsidRDefault="002F7326">
            <w:pPr>
              <w:pStyle w:val="ListParagraph"/>
              <w:numPr>
                <w:ilvl w:val="0"/>
                <w:numId w:val="8"/>
              </w:numPr>
              <w:spacing w:after="120"/>
              <w:contextualSpacing/>
              <w:jc w:val="both"/>
              <w:rPr>
                <w:rFonts w:ascii="Times New Roman" w:hAnsi="Times New Roman"/>
                <w:noProof/>
                <w:sz w:val="20"/>
                <w:szCs w:val="20"/>
              </w:rPr>
            </w:pPr>
            <w:r>
              <w:rPr>
                <w:rFonts w:ascii="Times New Roman" w:hAnsi="Times New Roman"/>
                <w:noProof/>
                <w:sz w:val="20"/>
                <w:szCs w:val="20"/>
              </w:rPr>
              <w:t>Step up assistance for projects improving the livelihood and job opportunities for refugees.</w:t>
            </w:r>
          </w:p>
          <w:p w:rsidR="00796401" w:rsidRDefault="002F7326">
            <w:pPr>
              <w:pStyle w:val="ListParagraph"/>
              <w:numPr>
                <w:ilvl w:val="0"/>
                <w:numId w:val="8"/>
              </w:numPr>
              <w:spacing w:after="120"/>
              <w:contextualSpacing/>
              <w:jc w:val="both"/>
              <w:rPr>
                <w:rFonts w:ascii="Times New Roman" w:hAnsi="Times New Roman"/>
                <w:noProof/>
                <w:sz w:val="20"/>
                <w:szCs w:val="20"/>
              </w:rPr>
            </w:pPr>
            <w:r>
              <w:rPr>
                <w:rFonts w:ascii="Times New Roman" w:hAnsi="Times New Roman"/>
                <w:noProof/>
                <w:sz w:val="20"/>
                <w:szCs w:val="20"/>
              </w:rPr>
              <w:t>Step up assistance</w:t>
            </w:r>
            <w:r>
              <w:rPr>
                <w:rFonts w:ascii="Times New Roman" w:eastAsia="Calibri" w:hAnsi="Times New Roman"/>
                <w:noProof/>
                <w:sz w:val="20"/>
                <w:szCs w:val="20"/>
              </w:rPr>
              <w:t xml:space="preserve"> for the strengthening of the civil registry/identity documents.</w:t>
            </w:r>
          </w:p>
          <w:p w:rsidR="00796401" w:rsidRDefault="002F7326">
            <w:pPr>
              <w:pStyle w:val="ListParagraph"/>
              <w:numPr>
                <w:ilvl w:val="0"/>
                <w:numId w:val="8"/>
              </w:numPr>
              <w:spacing w:after="120"/>
              <w:contextualSpacing/>
              <w:jc w:val="both"/>
              <w:rPr>
                <w:rFonts w:ascii="Times New Roman" w:eastAsia="Calibri" w:hAnsi="Times New Roman"/>
                <w:noProof/>
                <w:sz w:val="20"/>
                <w:szCs w:val="20"/>
              </w:rPr>
            </w:pPr>
            <w:r>
              <w:rPr>
                <w:rFonts w:ascii="Times New Roman" w:eastAsia="Calibri" w:hAnsi="Times New Roman"/>
                <w:noProof/>
                <w:sz w:val="20"/>
                <w:szCs w:val="20"/>
              </w:rPr>
              <w:t>Deployment of the European Migration Liaison Officer.</w:t>
            </w:r>
          </w:p>
          <w:p w:rsidR="00796401" w:rsidRDefault="002F7326">
            <w:pPr>
              <w:pStyle w:val="ListParagraph"/>
              <w:numPr>
                <w:ilvl w:val="0"/>
                <w:numId w:val="8"/>
              </w:numPr>
              <w:spacing w:after="120"/>
              <w:contextualSpacing/>
              <w:jc w:val="both"/>
              <w:rPr>
                <w:rFonts w:ascii="Times New Roman" w:eastAsia="Calibri" w:hAnsi="Times New Roman"/>
                <w:noProof/>
                <w:sz w:val="20"/>
                <w:szCs w:val="20"/>
              </w:rPr>
            </w:pPr>
            <w:r>
              <w:rPr>
                <w:rFonts w:ascii="Times New Roman" w:eastAsia="Calibri" w:hAnsi="Times New Roman"/>
                <w:noProof/>
                <w:sz w:val="20"/>
                <w:szCs w:val="20"/>
              </w:rPr>
              <w:t>Harness opportunities offered for legal migration channels, ERASMUS opportunities and other policies and tools.</w:t>
            </w:r>
          </w:p>
          <w:p w:rsidR="00796401" w:rsidRDefault="00796401">
            <w:pPr>
              <w:rPr>
                <w:rFonts w:ascii="Times New Roman" w:hAnsi="Times New Roman" w:cs="Times New Roman"/>
                <w:noProof/>
                <w:sz w:val="20"/>
                <w:szCs w:val="20"/>
              </w:rPr>
            </w:pPr>
          </w:p>
        </w:tc>
      </w:tr>
    </w:tbl>
    <w:p w:rsidR="00796401" w:rsidRDefault="00796401">
      <w:pPr>
        <w:rPr>
          <w:rFonts w:ascii="Times New Roman" w:hAnsi="Times New Roman" w:cs="Times New Roman"/>
          <w:noProof/>
          <w:sz w:val="20"/>
          <w:szCs w:val="20"/>
        </w:rPr>
      </w:pPr>
    </w:p>
    <w:p w:rsidR="00796401" w:rsidRDefault="00796401">
      <w:pPr>
        <w:rPr>
          <w:noProof/>
        </w:rPr>
      </w:pPr>
    </w:p>
    <w:sectPr w:rsidR="0079640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401" w:rsidRDefault="002F7326">
      <w:pPr>
        <w:spacing w:after="0" w:line="240" w:lineRule="auto"/>
      </w:pPr>
      <w:r>
        <w:separator/>
      </w:r>
    </w:p>
  </w:endnote>
  <w:endnote w:type="continuationSeparator" w:id="0">
    <w:p w:rsidR="00796401" w:rsidRDefault="002F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2F7326">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rsidR="00BD5941">
        <w:t xml:space="preserve"> </w:t>
      </w:r>
    </w:fldSimple>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299584"/>
      <w:docPartObj>
        <w:docPartGallery w:val="Page Numbers (Bottom of Page)"/>
        <w:docPartUnique/>
      </w:docPartObj>
    </w:sdtPr>
    <w:sdtEndPr>
      <w:rPr>
        <w:noProof/>
      </w:rPr>
    </w:sdtEndPr>
    <w:sdtContent>
      <w:p w:rsidR="00796401" w:rsidRDefault="002F7326">
        <w:pPr>
          <w:pStyle w:val="Footer"/>
          <w:jc w:val="center"/>
        </w:pPr>
        <w:r>
          <w:fldChar w:fldCharType="begin"/>
        </w:r>
        <w:r>
          <w:instrText xml:space="preserve"> PAGE   \* MERGEFORMAT </w:instrText>
        </w:r>
        <w:r>
          <w:fldChar w:fldCharType="separate"/>
        </w:r>
        <w:r w:rsidR="00BD5941">
          <w:rPr>
            <w:noProof/>
          </w:rPr>
          <w:t>6</w:t>
        </w:r>
        <w:r>
          <w:rPr>
            <w:noProof/>
          </w:rPr>
          <w:fldChar w:fldCharType="end"/>
        </w:r>
      </w:p>
    </w:sdtContent>
  </w:sdt>
  <w:p w:rsidR="00796401" w:rsidRDefault="0079640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401" w:rsidRDefault="002F7326">
      <w:pPr>
        <w:spacing w:after="0" w:line="240" w:lineRule="auto"/>
      </w:pPr>
      <w:r>
        <w:separator/>
      </w:r>
    </w:p>
  </w:footnote>
  <w:footnote w:type="continuationSeparator" w:id="0">
    <w:p w:rsidR="00796401" w:rsidRDefault="002F7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2F7326">
    <w:pPr>
      <w:jc w:val="center"/>
      <w:rPr>
        <w:rFonts w:ascii="Times New Roman" w:hAnsi="Times New Roman" w:cs="Times New Roman"/>
        <w:b/>
        <w:sz w:val="24"/>
        <w:szCs w:val="24"/>
      </w:rPr>
    </w:pPr>
    <w:r>
      <w:rPr>
        <w:rFonts w:ascii="Times New Roman" w:hAnsi="Times New Roman" w:cs="Times New Roman"/>
        <w:b/>
        <w:sz w:val="24"/>
        <w:szCs w:val="24"/>
      </w:rPr>
      <w:t>ANNEX 3 – PROGRESS IN PRIORITY COUNTRIES</w:t>
    </w:r>
  </w:p>
  <w:p w:rsidR="00796401" w:rsidRDefault="007964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01" w:rsidRDefault="00796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7D4"/>
    <w:multiLevelType w:val="hybridMultilevel"/>
    <w:tmpl w:val="BFBABC50"/>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4F6E94"/>
    <w:multiLevelType w:val="hybridMultilevel"/>
    <w:tmpl w:val="D8561C9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740FE2"/>
    <w:multiLevelType w:val="hybridMultilevel"/>
    <w:tmpl w:val="6D9680D4"/>
    <w:lvl w:ilvl="0" w:tplc="A5AEA532">
      <w:start w:val="1"/>
      <w:numFmt w:val="bullet"/>
      <w:lvlText w:val=""/>
      <w:lvlJc w:val="left"/>
      <w:pPr>
        <w:ind w:left="360" w:hanging="360"/>
      </w:pPr>
      <w:rPr>
        <w:rFonts w:ascii="Symbol" w:hAnsi="Symbol" w:hint="default"/>
      </w:rPr>
    </w:lvl>
    <w:lvl w:ilvl="1" w:tplc="AF549B2E">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2891593"/>
    <w:multiLevelType w:val="hybridMultilevel"/>
    <w:tmpl w:val="B9A20F1E"/>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518420C"/>
    <w:multiLevelType w:val="hybridMultilevel"/>
    <w:tmpl w:val="289E7DC0"/>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9A75E8"/>
    <w:multiLevelType w:val="hybridMultilevel"/>
    <w:tmpl w:val="6B80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4626F7"/>
    <w:multiLevelType w:val="hybridMultilevel"/>
    <w:tmpl w:val="294A5132"/>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306319"/>
    <w:multiLevelType w:val="hybridMultilevel"/>
    <w:tmpl w:val="0D003C58"/>
    <w:lvl w:ilvl="0" w:tplc="A5AEA5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9E54A4"/>
    <w:multiLevelType w:val="hybridMultilevel"/>
    <w:tmpl w:val="9D44BDAC"/>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09C1B3B"/>
    <w:multiLevelType w:val="hybridMultilevel"/>
    <w:tmpl w:val="D778B4A6"/>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BE02C85"/>
    <w:multiLevelType w:val="hybridMultilevel"/>
    <w:tmpl w:val="65F01BF4"/>
    <w:lvl w:ilvl="0" w:tplc="A5AEA532">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DF514FC"/>
    <w:multiLevelType w:val="hybridMultilevel"/>
    <w:tmpl w:val="99DC2C7E"/>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59220DC"/>
    <w:multiLevelType w:val="hybridMultilevel"/>
    <w:tmpl w:val="8368BA06"/>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62D7EDB"/>
    <w:multiLevelType w:val="hybridMultilevel"/>
    <w:tmpl w:val="DE4A36B0"/>
    <w:lvl w:ilvl="0" w:tplc="A5AEA53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9"/>
  </w:num>
  <w:num w:numId="4">
    <w:abstractNumId w:val="10"/>
  </w:num>
  <w:num w:numId="5">
    <w:abstractNumId w:val="5"/>
  </w:num>
  <w:num w:numId="6">
    <w:abstractNumId w:val="4"/>
  </w:num>
  <w:num w:numId="7">
    <w:abstractNumId w:val="1"/>
  </w:num>
  <w:num w:numId="8">
    <w:abstractNumId w:val="13"/>
  </w:num>
  <w:num w:numId="9">
    <w:abstractNumId w:val="12"/>
  </w:num>
  <w:num w:numId="10">
    <w:abstractNumId w:val="0"/>
  </w:num>
  <w:num w:numId="11">
    <w:abstractNumId w:val="6"/>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3"/>
    <w:docVar w:name="LW_ANNEX_NBR_LAST" w:val="3"/>
    <w:docVar w:name="LW_CONFIDENCE" w:val=" "/>
    <w:docVar w:name="LW_CONST_RESTREINT_UE" w:val="RESTREINT UE"/>
    <w:docVar w:name="LW_CORRIGENDUM" w:val="&lt;UNUSED&gt;"/>
    <w:docVar w:name="LW_COVERPAGE_GUID" w:val="B8396AE8BFD749E3A20B08532695FC20"/>
    <w:docVar w:name="LW_CROSSREFERENCE" w:val="&lt;UNUSED&gt;"/>
    <w:docVar w:name="LW_DocType" w:val="NORMAL"/>
    <w:docVar w:name="LW_EMISSION" w:val="18.10.2016"/>
    <w:docVar w:name="LW_EMISSION_ISODATE" w:val="2016-10-18"/>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First Progress Report on the Partnership Framework with third countries under the European Agenda on Migration "/>
    <w:docVar w:name="LW_PART_NBR" w:val="1"/>
    <w:docVar w:name="LW_PART_NBR_TOTAL" w:val="1"/>
    <w:docVar w:name="LW_REF.INST.NEW" w:val="COM"/>
    <w:docVar w:name="LW_REF.INST.NEW_ADOPTED" w:val="final"/>
    <w:docVar w:name="LW_REF.INST.NEW_TEXT" w:val="(2016) 700"/>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796401"/>
    <w:rsid w:val="002F7326"/>
    <w:rsid w:val="00796401"/>
    <w:rsid w:val="00BD5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spacing w:after="0" w:line="240" w:lineRule="auto"/>
      <w:ind w:left="720"/>
    </w:pPr>
    <w:rPr>
      <w:rFonts w:ascii="Calibri" w:eastAsia="Times New Roman" w:hAnsi="Calibri" w:cs="Times New Roman"/>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1306</Words>
  <Characters>8229</Characters>
  <Application>Microsoft Office Word</Application>
  <DocSecurity>0</DocSecurity>
  <Lines>146</Lines>
  <Paragraphs>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BARTKIEWICZ Ligia (SG)</dc:creator>
  <cp:lastModifiedBy>BARTH Carmen (SG)</cp:lastModifiedBy>
  <cp:revision>9</cp:revision>
  <cp:lastPrinted>2016-10-18T06:24:00Z</cp:lastPrinted>
  <dcterms:created xsi:type="dcterms:W3CDTF">2016-10-17T16:57:00Z</dcterms:created>
  <dcterms:modified xsi:type="dcterms:W3CDTF">2016-10-18T06:28:00Z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