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48E2DE94C1124EA499C0CF6399B30853" style="width:450.75pt;height:393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0" w:h="16840" w:code="9"/>
          <w:pgMar w:top="1134" w:right="1417" w:bottom="1134" w:left="1417" w:header="709" w:footer="709" w:gutter="0"/>
          <w:pgNumType w:start="0"/>
          <w:cols w:space="720"/>
          <w:docGrid w:linePitch="326"/>
        </w:sectPr>
      </w:pPr>
    </w:p>
    <w:p>
      <w:pPr>
        <w:spacing w:after="0" w:line="240" w:lineRule="auto"/>
        <w:jc w:val="center"/>
        <w:rPr>
          <w:rFonts w:ascii="Times New Roman" w:eastAsia="Calibri" w:hAnsi="Times New Roman" w:cs="Times New Roman"/>
          <w:b/>
          <w:bCs/>
          <w:noProof/>
          <w:spacing w:val="-2"/>
        </w:rPr>
      </w:pPr>
      <w:bookmarkStart w:id="1" w:name="_GoBack"/>
      <w:bookmarkEnd w:id="1"/>
      <w:r>
        <w:rPr>
          <w:rFonts w:ascii="Times New Roman" w:hAnsi="Times New Roman"/>
          <w:b/>
          <w:noProof/>
          <w:spacing w:val="-2"/>
        </w:rPr>
        <w:lastRenderedPageBreak/>
        <w:t>ПРИЛОЖЕНИЕ I — КЛЮЧОВИ ВЪПРОСИ И МЕРОПРИЯТИЯ ДО КРАЯ НА 2016 г.</w:t>
      </w:r>
    </w:p>
    <w:p>
      <w:pPr>
        <w:spacing w:after="0" w:line="240" w:lineRule="auto"/>
        <w:jc w:val="both"/>
        <w:rPr>
          <w:rFonts w:ascii="Times New Roman" w:eastAsia="Calibri" w:hAnsi="Times New Roman" w:cs="Times New Roman"/>
          <w:b/>
          <w:bCs/>
          <w:noProof/>
        </w:rPr>
      </w:pPr>
    </w:p>
    <w:p>
      <w:pPr>
        <w:spacing w:after="120" w:line="240" w:lineRule="auto"/>
        <w:ind w:left="720" w:hanging="720"/>
        <w:jc w:val="both"/>
        <w:rPr>
          <w:rFonts w:ascii="Times New Roman" w:eastAsia="Calibri" w:hAnsi="Times New Roman" w:cs="Times New Roman"/>
          <w:b/>
          <w:noProof/>
        </w:rPr>
      </w:pPr>
      <w:r>
        <w:rPr>
          <w:rFonts w:ascii="Times New Roman" w:hAnsi="Times New Roman"/>
          <w:b/>
          <w:noProof/>
        </w:rPr>
        <w:t>ИЗПЪЛНЕНИЕ НА РАМКАТА ЗА ПАРТНЬОРСТВО</w:t>
      </w:r>
    </w:p>
    <w:p>
      <w:pPr>
        <w:spacing w:after="60" w:line="240" w:lineRule="auto"/>
        <w:jc w:val="both"/>
        <w:rPr>
          <w:rFonts w:ascii="Times New Roman" w:eastAsia="Calibri" w:hAnsi="Times New Roman" w:cs="Times New Roman"/>
          <w:b/>
          <w:noProof/>
        </w:rPr>
      </w:pPr>
      <w:r>
        <w:rPr>
          <w:rFonts w:ascii="Times New Roman" w:hAnsi="Times New Roman"/>
          <w:b/>
          <w:noProof/>
        </w:rPr>
        <w:t>Сътрудничество на ЕС между държавите членки и с трети държави</w:t>
      </w:r>
    </w:p>
    <w:p>
      <w:pPr>
        <w:spacing w:after="0" w:line="240" w:lineRule="auto"/>
        <w:ind w:left="284" w:hanging="284"/>
        <w:jc w:val="both"/>
        <w:rPr>
          <w:rFonts w:ascii="Times New Roman" w:eastAsia="Calibri" w:hAnsi="Times New Roman" w:cs="Times New Roman"/>
          <w:noProof/>
        </w:rPr>
      </w:pPr>
      <w:r>
        <w:rPr>
          <w:rFonts w:ascii="Times New Roman" w:hAnsi="Times New Roman"/>
          <w:noProof/>
        </w:rPr>
        <w:t>-</w:t>
      </w:r>
      <w:r>
        <w:rPr>
          <w:noProof/>
        </w:rPr>
        <w:tab/>
      </w:r>
      <w:r>
        <w:rPr>
          <w:rFonts w:ascii="Times New Roman" w:hAnsi="Times New Roman"/>
          <w:noProof/>
        </w:rPr>
        <w:t xml:space="preserve">Трайно взаимодействие, изразяващо се в посещения на високо равнище в петте приоритетни държави, като това взаимодействие да се засили по отношение на Нигерия, Сенегал и Етиопия.  </w:t>
      </w:r>
    </w:p>
    <w:p>
      <w:pPr>
        <w:spacing w:after="0" w:line="240" w:lineRule="auto"/>
        <w:ind w:left="284" w:hanging="284"/>
        <w:jc w:val="both"/>
        <w:rPr>
          <w:rFonts w:ascii="Times New Roman" w:eastAsia="Calibri" w:hAnsi="Times New Roman" w:cs="Times New Roman"/>
          <w:noProof/>
        </w:rPr>
      </w:pPr>
      <w:r>
        <w:rPr>
          <w:rFonts w:ascii="Times New Roman" w:hAnsi="Times New Roman"/>
          <w:noProof/>
        </w:rPr>
        <w:t>-</w:t>
      </w:r>
      <w:r>
        <w:rPr>
          <w:noProof/>
        </w:rPr>
        <w:tab/>
      </w:r>
      <w:r>
        <w:rPr>
          <w:rFonts w:ascii="Times New Roman" w:hAnsi="Times New Roman"/>
          <w:noProof/>
        </w:rPr>
        <w:t>Разполагане на европейските служители за връзка по въпросите на миграцията.</w:t>
      </w:r>
    </w:p>
    <w:p>
      <w:pPr>
        <w:spacing w:after="0" w:line="240" w:lineRule="auto"/>
        <w:ind w:left="284" w:hanging="284"/>
        <w:jc w:val="both"/>
        <w:rPr>
          <w:rFonts w:ascii="Times New Roman" w:eastAsia="Calibri" w:hAnsi="Times New Roman" w:cs="Times New Roman"/>
          <w:noProof/>
        </w:rPr>
      </w:pPr>
      <w:r>
        <w:rPr>
          <w:rFonts w:ascii="Times New Roman" w:hAnsi="Times New Roman"/>
          <w:noProof/>
        </w:rPr>
        <w:t>-</w:t>
      </w:r>
      <w:r>
        <w:rPr>
          <w:noProof/>
        </w:rPr>
        <w:tab/>
      </w:r>
      <w:r>
        <w:rPr>
          <w:rFonts w:ascii="Times New Roman" w:hAnsi="Times New Roman"/>
          <w:noProof/>
        </w:rPr>
        <w:t>Приемане от страна на държавите членки на мисиите за идентификация.</w:t>
      </w:r>
    </w:p>
    <w:p>
      <w:pPr>
        <w:spacing w:after="120" w:line="240" w:lineRule="auto"/>
        <w:ind w:left="284" w:hanging="284"/>
        <w:jc w:val="both"/>
        <w:rPr>
          <w:rFonts w:ascii="Times New Roman" w:eastAsia="Calibri" w:hAnsi="Times New Roman" w:cs="Times New Roman"/>
          <w:noProof/>
        </w:rPr>
      </w:pPr>
      <w:r>
        <w:rPr>
          <w:rFonts w:ascii="Times New Roman" w:hAnsi="Times New Roman"/>
          <w:noProof/>
        </w:rPr>
        <w:t>-</w:t>
      </w:r>
      <w:r>
        <w:rPr>
          <w:noProof/>
        </w:rPr>
        <w:tab/>
      </w:r>
      <w:r>
        <w:rPr>
          <w:rFonts w:ascii="Times New Roman" w:hAnsi="Times New Roman"/>
          <w:noProof/>
        </w:rPr>
        <w:t>Засилване на участието на агенциите на ЕС на място (европейска гранична и брегова охрана и Европол).</w:t>
      </w:r>
    </w:p>
    <w:p>
      <w:pPr>
        <w:spacing w:after="60" w:line="240" w:lineRule="auto"/>
        <w:jc w:val="both"/>
        <w:rPr>
          <w:rFonts w:ascii="Times New Roman" w:eastAsia="Calibri" w:hAnsi="Times New Roman" w:cs="Times New Roman"/>
          <w:b/>
          <w:noProof/>
        </w:rPr>
      </w:pPr>
      <w:r>
        <w:rPr>
          <w:rFonts w:ascii="Times New Roman" w:hAnsi="Times New Roman"/>
          <w:b/>
          <w:noProof/>
        </w:rPr>
        <w:t>Приоритетни държави — действия</w:t>
      </w:r>
    </w:p>
    <w:p>
      <w:pPr>
        <w:spacing w:after="0" w:line="240" w:lineRule="auto"/>
        <w:ind w:left="284" w:hanging="284"/>
        <w:jc w:val="both"/>
        <w:rPr>
          <w:rFonts w:ascii="Times New Roman" w:eastAsia="Calibri" w:hAnsi="Times New Roman" w:cs="Times New Roman"/>
          <w:noProof/>
        </w:rPr>
      </w:pPr>
      <w:r>
        <w:rPr>
          <w:rFonts w:ascii="Times New Roman" w:hAnsi="Times New Roman"/>
          <w:noProof/>
        </w:rPr>
        <w:t xml:space="preserve">- </w:t>
      </w:r>
      <w:r>
        <w:rPr>
          <w:noProof/>
        </w:rPr>
        <w:tab/>
      </w:r>
      <w:r>
        <w:rPr>
          <w:rFonts w:ascii="Times New Roman" w:hAnsi="Times New Roman"/>
          <w:noProof/>
          <w:u w:val="single"/>
        </w:rPr>
        <w:t>Нигер</w:t>
      </w:r>
      <w:r>
        <w:rPr>
          <w:rFonts w:ascii="Times New Roman" w:hAnsi="Times New Roman"/>
          <w:noProof/>
        </w:rPr>
        <w:t>: Пълен оперативен капацитет за местното бюро в Агадез. Подкрепа за прилагането на плана за действие за борба с контрабандата на мигранти в района на Агадез. Насочване на подкрепата от ЕС към специализираната агенция за борба с трафика на хора. Предоставяне на обучение и оборудване.</w:t>
      </w:r>
      <w:r>
        <w:rPr>
          <w:noProof/>
        </w:rPr>
        <w:tab/>
      </w:r>
    </w:p>
    <w:p>
      <w:pPr>
        <w:spacing w:after="0" w:line="240" w:lineRule="auto"/>
        <w:ind w:left="284" w:hanging="284"/>
        <w:jc w:val="both"/>
        <w:rPr>
          <w:rFonts w:ascii="Times New Roman" w:eastAsia="Calibri" w:hAnsi="Times New Roman" w:cs="Times New Roman"/>
          <w:noProof/>
        </w:rPr>
      </w:pPr>
      <w:r>
        <w:rPr>
          <w:rFonts w:ascii="Times New Roman" w:hAnsi="Times New Roman"/>
          <w:noProof/>
        </w:rPr>
        <w:t>-</w:t>
      </w:r>
      <w:r>
        <w:rPr>
          <w:noProof/>
        </w:rPr>
        <w:tab/>
      </w:r>
      <w:r>
        <w:rPr>
          <w:rFonts w:ascii="Times New Roman" w:hAnsi="Times New Roman"/>
          <w:noProof/>
          <w:u w:val="single"/>
        </w:rPr>
        <w:t>Нигерия</w:t>
      </w:r>
      <w:r>
        <w:rPr>
          <w:rFonts w:ascii="Times New Roman" w:hAnsi="Times New Roman"/>
          <w:noProof/>
        </w:rPr>
        <w:t>: Постигане на напредък по преговорите за споразумение за обратно приемане с ЕС с цел бързото му сключване. Мисии за идентификация.</w:t>
      </w:r>
    </w:p>
    <w:p>
      <w:pPr>
        <w:spacing w:after="0" w:line="240" w:lineRule="auto"/>
        <w:ind w:left="284" w:hanging="284"/>
        <w:jc w:val="both"/>
        <w:rPr>
          <w:rFonts w:ascii="Times New Roman" w:eastAsia="Calibri" w:hAnsi="Times New Roman" w:cs="Times New Roman"/>
          <w:noProof/>
        </w:rPr>
      </w:pPr>
      <w:r>
        <w:rPr>
          <w:rFonts w:ascii="Times New Roman" w:hAnsi="Times New Roman"/>
          <w:noProof/>
        </w:rPr>
        <w:t>-</w:t>
      </w:r>
      <w:r>
        <w:rPr>
          <w:noProof/>
        </w:rPr>
        <w:tab/>
      </w:r>
      <w:r>
        <w:rPr>
          <w:rFonts w:ascii="Times New Roman" w:hAnsi="Times New Roman"/>
          <w:noProof/>
          <w:u w:val="single"/>
        </w:rPr>
        <w:t>Сенегал</w:t>
      </w:r>
      <w:r>
        <w:rPr>
          <w:rFonts w:ascii="Times New Roman" w:hAnsi="Times New Roman"/>
          <w:noProof/>
        </w:rPr>
        <w:t>: Сключване на работни договорености с европейската гранична и брегова охрана. Мисии за идентификация.</w:t>
      </w:r>
      <w:r>
        <w:rPr>
          <w:noProof/>
        </w:rPr>
        <w:t xml:space="preserve"> </w:t>
      </w:r>
      <w:r>
        <w:rPr>
          <w:rFonts w:ascii="Times New Roman" w:hAnsi="Times New Roman"/>
          <w:noProof/>
        </w:rPr>
        <w:t>Сътрудничество относно документите за пътуване.</w:t>
      </w:r>
    </w:p>
    <w:p>
      <w:pPr>
        <w:spacing w:after="0" w:line="240" w:lineRule="auto"/>
        <w:ind w:left="284" w:hanging="284"/>
        <w:jc w:val="both"/>
        <w:rPr>
          <w:rFonts w:ascii="Times New Roman" w:eastAsia="Calibri" w:hAnsi="Times New Roman" w:cs="Times New Roman"/>
          <w:noProof/>
        </w:rPr>
      </w:pPr>
      <w:r>
        <w:rPr>
          <w:rFonts w:ascii="Times New Roman" w:hAnsi="Times New Roman"/>
          <w:noProof/>
        </w:rPr>
        <w:t>-</w:t>
      </w:r>
      <w:r>
        <w:rPr>
          <w:noProof/>
        </w:rPr>
        <w:tab/>
      </w:r>
      <w:r>
        <w:rPr>
          <w:rFonts w:ascii="Times New Roman" w:hAnsi="Times New Roman"/>
          <w:noProof/>
          <w:u w:val="single"/>
        </w:rPr>
        <w:t>Мали</w:t>
      </w:r>
      <w:r>
        <w:rPr>
          <w:rFonts w:ascii="Times New Roman" w:hAnsi="Times New Roman"/>
          <w:noProof/>
        </w:rPr>
        <w:t>: Финализиране на споразумение относно стандартни оперативни процедури. Мисии за идентификация.</w:t>
      </w:r>
      <w:r>
        <w:rPr>
          <w:noProof/>
        </w:rPr>
        <w:t xml:space="preserve"> </w:t>
      </w:r>
      <w:r>
        <w:rPr>
          <w:rFonts w:ascii="Times New Roman" w:hAnsi="Times New Roman"/>
          <w:noProof/>
        </w:rPr>
        <w:t xml:space="preserve"> </w:t>
      </w:r>
    </w:p>
    <w:p>
      <w:pPr>
        <w:spacing w:after="0" w:line="240" w:lineRule="auto"/>
        <w:ind w:left="284" w:hanging="284"/>
        <w:jc w:val="both"/>
        <w:rPr>
          <w:rFonts w:ascii="Times New Roman" w:eastAsia="Calibri" w:hAnsi="Times New Roman" w:cs="Times New Roman"/>
          <w:noProof/>
        </w:rPr>
      </w:pPr>
      <w:r>
        <w:rPr>
          <w:rFonts w:ascii="Times New Roman" w:hAnsi="Times New Roman"/>
          <w:noProof/>
        </w:rPr>
        <w:t>-</w:t>
      </w:r>
      <w:r>
        <w:rPr>
          <w:noProof/>
        </w:rPr>
        <w:tab/>
      </w:r>
      <w:r>
        <w:rPr>
          <w:rFonts w:ascii="Times New Roman" w:hAnsi="Times New Roman"/>
          <w:noProof/>
          <w:u w:val="single"/>
        </w:rPr>
        <w:t>Етиопия</w:t>
      </w:r>
      <w:r>
        <w:rPr>
          <w:rFonts w:ascii="Times New Roman" w:hAnsi="Times New Roman"/>
          <w:noProof/>
        </w:rPr>
        <w:t>: Финализиране на процедурата за нерешените случаи. Установяване на договорена процедура за одобряване и извършване на връщанията.</w:t>
      </w:r>
    </w:p>
    <w:p>
      <w:pPr>
        <w:spacing w:after="0" w:line="240" w:lineRule="auto"/>
        <w:ind w:left="284" w:hanging="284"/>
        <w:jc w:val="both"/>
        <w:rPr>
          <w:rFonts w:ascii="Times New Roman" w:eastAsia="Calibri" w:hAnsi="Times New Roman" w:cs="Times New Roman"/>
          <w:noProof/>
        </w:rPr>
      </w:pPr>
      <w:r>
        <w:rPr>
          <w:rFonts w:ascii="Times New Roman" w:hAnsi="Times New Roman"/>
          <w:noProof/>
        </w:rPr>
        <w:t>-</w:t>
      </w:r>
      <w:r>
        <w:rPr>
          <w:noProof/>
        </w:rPr>
        <w:tab/>
      </w:r>
      <w:r>
        <w:rPr>
          <w:rFonts w:ascii="Times New Roman" w:hAnsi="Times New Roman"/>
          <w:noProof/>
          <w:u w:val="single"/>
        </w:rPr>
        <w:t>Йордания/Ливан</w:t>
      </w:r>
      <w:r>
        <w:rPr>
          <w:rFonts w:ascii="Times New Roman" w:hAnsi="Times New Roman"/>
          <w:noProof/>
        </w:rPr>
        <w:t xml:space="preserve"> Приемане на пактовете от съветите за асоцииране. Започване на преговорите по споразумението за обратно приемане и споразумението за облекчаване на визовия режим между ЕС и Йордания; Приключване на преговорите относно Партньорството за мобилност между ЕС и Ливан.</w:t>
      </w:r>
    </w:p>
    <w:p>
      <w:pPr>
        <w:spacing w:after="120" w:line="240" w:lineRule="auto"/>
        <w:ind w:left="284" w:hanging="284"/>
        <w:jc w:val="both"/>
        <w:rPr>
          <w:rFonts w:ascii="Times New Roman" w:eastAsia="Calibri" w:hAnsi="Times New Roman" w:cs="Times New Roman"/>
          <w:noProof/>
          <w:u w:val="single"/>
        </w:rPr>
      </w:pPr>
      <w:r>
        <w:rPr>
          <w:rFonts w:ascii="Times New Roman" w:hAnsi="Times New Roman"/>
          <w:noProof/>
        </w:rPr>
        <w:t>-</w:t>
      </w:r>
      <w:r>
        <w:rPr>
          <w:noProof/>
        </w:rPr>
        <w:tab/>
      </w:r>
      <w:r>
        <w:rPr>
          <w:rFonts w:ascii="Times New Roman" w:hAnsi="Times New Roman"/>
          <w:noProof/>
        </w:rPr>
        <w:t>В петте приоритетни държави ще бъдат стартирани 24 проекта, финансирани от Доверителния фонд на ЕС за Африка, на стойност над 425 милиона евро.</w:t>
      </w:r>
    </w:p>
    <w:p>
      <w:pPr>
        <w:spacing w:after="60" w:line="240" w:lineRule="auto"/>
        <w:ind w:left="720" w:hanging="720"/>
        <w:jc w:val="both"/>
        <w:rPr>
          <w:rFonts w:ascii="Times New Roman" w:eastAsia="Calibri" w:hAnsi="Times New Roman" w:cs="Times New Roman"/>
          <w:b/>
          <w:noProof/>
        </w:rPr>
      </w:pPr>
      <w:r>
        <w:rPr>
          <w:rFonts w:ascii="Times New Roman" w:hAnsi="Times New Roman"/>
          <w:b/>
          <w:noProof/>
        </w:rPr>
        <w:t>Докладване</w:t>
      </w:r>
    </w:p>
    <w:p>
      <w:pPr>
        <w:spacing w:after="0" w:line="240" w:lineRule="auto"/>
        <w:ind w:left="284" w:hanging="284"/>
        <w:jc w:val="both"/>
        <w:rPr>
          <w:rFonts w:ascii="Times New Roman" w:eastAsia="Calibri" w:hAnsi="Times New Roman" w:cs="Times New Roman"/>
          <w:noProof/>
        </w:rPr>
      </w:pPr>
      <w:r>
        <w:rPr>
          <w:rFonts w:ascii="Times New Roman" w:hAnsi="Times New Roman"/>
          <w:noProof/>
        </w:rPr>
        <w:t>-</w:t>
      </w:r>
      <w:r>
        <w:rPr>
          <w:noProof/>
        </w:rPr>
        <w:tab/>
      </w:r>
      <w:r>
        <w:rPr>
          <w:rFonts w:ascii="Times New Roman" w:hAnsi="Times New Roman"/>
          <w:noProof/>
        </w:rPr>
        <w:t>Втори доклад на Комисията относно изпълнението преди заседанието на Европейския съвет през декември.</w:t>
      </w:r>
    </w:p>
    <w:p>
      <w:pPr>
        <w:spacing w:after="0" w:line="240" w:lineRule="auto"/>
        <w:ind w:left="426" w:hanging="436"/>
        <w:jc w:val="both"/>
        <w:rPr>
          <w:rFonts w:ascii="Times New Roman" w:eastAsia="Calibri" w:hAnsi="Times New Roman" w:cs="Times New Roman"/>
          <w:noProof/>
        </w:rPr>
      </w:pPr>
      <w:r>
        <w:rPr>
          <w:rFonts w:ascii="Times New Roman" w:hAnsi="Times New Roman"/>
          <w:noProof/>
        </w:rPr>
        <w:t xml:space="preserve"> </w:t>
      </w:r>
    </w:p>
    <w:p>
      <w:pPr>
        <w:spacing w:after="120" w:line="240" w:lineRule="auto"/>
        <w:ind w:left="720" w:hanging="720"/>
        <w:jc w:val="both"/>
        <w:rPr>
          <w:rFonts w:ascii="Times New Roman" w:eastAsia="Calibri" w:hAnsi="Times New Roman" w:cs="Times New Roman"/>
          <w:b/>
          <w:noProof/>
        </w:rPr>
      </w:pPr>
      <w:r>
        <w:rPr>
          <w:rFonts w:ascii="Times New Roman" w:hAnsi="Times New Roman"/>
          <w:b/>
          <w:noProof/>
        </w:rPr>
        <w:t xml:space="preserve">ПЛАН ЗА ДЕЙСТВИЕ ОТ ВАЛЕТА </w:t>
      </w:r>
    </w:p>
    <w:p>
      <w:pPr>
        <w:spacing w:after="0" w:line="240" w:lineRule="auto"/>
        <w:ind w:left="284" w:hanging="284"/>
        <w:jc w:val="both"/>
        <w:rPr>
          <w:rFonts w:ascii="Times New Roman" w:eastAsia="Calibri" w:hAnsi="Times New Roman" w:cs="Times New Roman"/>
          <w:noProof/>
        </w:rPr>
      </w:pPr>
      <w:r>
        <w:rPr>
          <w:rFonts w:ascii="Times New Roman" w:hAnsi="Times New Roman"/>
          <w:noProof/>
        </w:rPr>
        <w:t>-</w:t>
      </w:r>
      <w:r>
        <w:rPr>
          <w:noProof/>
        </w:rPr>
        <w:tab/>
      </w:r>
      <w:r>
        <w:rPr>
          <w:rFonts w:ascii="Times New Roman" w:hAnsi="Times New Roman"/>
          <w:noProof/>
        </w:rPr>
        <w:t>Стартиране на инициативи и проекти за изпълнение на 16-те приоритетни действия и отбелязване на значителен напредък по останалите 89 действия от Плана за действие от Валета.</w:t>
      </w:r>
    </w:p>
    <w:p>
      <w:pPr>
        <w:spacing w:after="0" w:line="240" w:lineRule="auto"/>
        <w:ind w:left="284" w:hanging="284"/>
        <w:jc w:val="both"/>
        <w:rPr>
          <w:rFonts w:ascii="Times New Roman" w:eastAsia="Calibri" w:hAnsi="Times New Roman" w:cs="Times New Roman"/>
          <w:noProof/>
        </w:rPr>
      </w:pPr>
      <w:r>
        <w:rPr>
          <w:rFonts w:ascii="Times New Roman" w:hAnsi="Times New Roman"/>
          <w:noProof/>
        </w:rPr>
        <w:t>-</w:t>
      </w:r>
      <w:r>
        <w:rPr>
          <w:noProof/>
        </w:rPr>
        <w:tab/>
      </w:r>
      <w:r>
        <w:rPr>
          <w:rFonts w:ascii="Times New Roman" w:hAnsi="Times New Roman"/>
          <w:noProof/>
        </w:rPr>
        <w:t>Представяне на доклади от страна на съответните държави членки относно приноса им към Плана за действие от Валета за срещата на високопоставените служители през февруари 2017 г. (октомври 2016 г.). Това ще даде възможност да се видят всички действия във връзка със Съвместния план за действие от Валета, включително многостранните и двустранните действия и действията, предприети от африканските партньори на национално равнище.</w:t>
      </w:r>
    </w:p>
    <w:p>
      <w:pPr>
        <w:spacing w:after="0" w:line="240" w:lineRule="auto"/>
        <w:ind w:left="284" w:hanging="284"/>
        <w:jc w:val="both"/>
        <w:rPr>
          <w:rFonts w:ascii="Times New Roman" w:eastAsia="Calibri" w:hAnsi="Times New Roman" w:cs="Times New Roman"/>
          <w:noProof/>
        </w:rPr>
      </w:pPr>
      <w:r>
        <w:rPr>
          <w:rFonts w:ascii="Times New Roman" w:hAnsi="Times New Roman"/>
          <w:noProof/>
        </w:rPr>
        <w:t>-</w:t>
      </w:r>
      <w:r>
        <w:rPr>
          <w:noProof/>
        </w:rPr>
        <w:tab/>
      </w:r>
      <w:r>
        <w:rPr>
          <w:rFonts w:ascii="Times New Roman" w:hAnsi="Times New Roman"/>
          <w:noProof/>
        </w:rPr>
        <w:t>Използване на предлаганите възможности за канали за законна миграция, на възможностите по програмата „Еразъм“ и на други политики и инструменти.</w:t>
      </w:r>
    </w:p>
    <w:p>
      <w:pPr>
        <w:spacing w:after="0" w:line="240" w:lineRule="auto"/>
        <w:ind w:left="284" w:hanging="284"/>
        <w:jc w:val="both"/>
        <w:rPr>
          <w:rFonts w:ascii="Times New Roman" w:eastAsia="Calibri" w:hAnsi="Times New Roman" w:cs="Times New Roman"/>
          <w:b/>
          <w:noProof/>
        </w:rPr>
      </w:pPr>
    </w:p>
    <w:p>
      <w:pPr>
        <w:spacing w:after="120" w:line="240" w:lineRule="auto"/>
        <w:ind w:left="720" w:hanging="720"/>
        <w:jc w:val="both"/>
        <w:rPr>
          <w:rFonts w:ascii="Times New Roman" w:eastAsia="Calibri" w:hAnsi="Times New Roman" w:cs="Times New Roman"/>
          <w:b/>
          <w:noProof/>
        </w:rPr>
      </w:pPr>
      <w:r>
        <w:rPr>
          <w:rFonts w:ascii="Times New Roman" w:hAnsi="Times New Roman"/>
          <w:b/>
          <w:noProof/>
        </w:rPr>
        <w:t xml:space="preserve">ПЛАН ЗА ВЪНШНИ ИНВЕСТИЦИИ </w:t>
      </w:r>
    </w:p>
    <w:p>
      <w:pPr>
        <w:spacing w:after="0" w:line="240" w:lineRule="auto"/>
        <w:ind w:left="284" w:hanging="284"/>
        <w:jc w:val="both"/>
        <w:rPr>
          <w:rFonts w:ascii="Times New Roman" w:eastAsia="Calibri" w:hAnsi="Times New Roman" w:cs="Times New Roman"/>
          <w:noProof/>
        </w:rPr>
      </w:pPr>
      <w:r>
        <w:rPr>
          <w:rFonts w:ascii="Times New Roman" w:hAnsi="Times New Roman"/>
          <w:noProof/>
        </w:rPr>
        <w:t>-</w:t>
      </w:r>
      <w:r>
        <w:rPr>
          <w:noProof/>
        </w:rPr>
        <w:tab/>
      </w:r>
      <w:r>
        <w:rPr>
          <w:rFonts w:ascii="Times New Roman" w:hAnsi="Times New Roman"/>
          <w:noProof/>
        </w:rPr>
        <w:t>Европейският парламент и Съветът се приканват да приемат законодателните предложения до март 2017 г.</w:t>
      </w:r>
    </w:p>
    <w:p>
      <w:pPr>
        <w:spacing w:after="0" w:line="240" w:lineRule="auto"/>
        <w:ind w:left="284" w:hanging="284"/>
        <w:jc w:val="both"/>
        <w:rPr>
          <w:rFonts w:ascii="Times New Roman" w:eastAsia="Calibri" w:hAnsi="Times New Roman" w:cs="Times New Roman"/>
          <w:noProof/>
        </w:rPr>
      </w:pPr>
    </w:p>
    <w:p>
      <w:pPr>
        <w:spacing w:after="120" w:line="240" w:lineRule="auto"/>
        <w:ind w:left="720" w:hanging="720"/>
        <w:jc w:val="both"/>
        <w:rPr>
          <w:rFonts w:ascii="Times New Roman" w:eastAsia="Calibri" w:hAnsi="Times New Roman" w:cs="Times New Roman"/>
          <w:b/>
          <w:noProof/>
        </w:rPr>
      </w:pPr>
      <w:r>
        <w:rPr>
          <w:rFonts w:ascii="Times New Roman" w:hAnsi="Times New Roman"/>
          <w:b/>
          <w:noProof/>
        </w:rPr>
        <w:t>ДОВЕРИТЕЛЕН ФОНД НА ЕС ЗА АФРИКА</w:t>
      </w:r>
    </w:p>
    <w:p>
      <w:pPr>
        <w:spacing w:after="0" w:line="240" w:lineRule="auto"/>
        <w:ind w:left="284" w:hanging="284"/>
        <w:jc w:val="both"/>
        <w:rPr>
          <w:rFonts w:ascii="Times New Roman" w:eastAsia="Calibri" w:hAnsi="Times New Roman" w:cs="Times New Roman"/>
          <w:noProof/>
        </w:rPr>
      </w:pPr>
      <w:r>
        <w:rPr>
          <w:rFonts w:ascii="Times New Roman" w:hAnsi="Times New Roman"/>
          <w:b/>
          <w:noProof/>
        </w:rPr>
        <w:t>-</w:t>
      </w:r>
      <w:r>
        <w:rPr>
          <w:noProof/>
        </w:rPr>
        <w:tab/>
      </w:r>
      <w:r>
        <w:rPr>
          <w:rFonts w:ascii="Times New Roman" w:hAnsi="Times New Roman"/>
          <w:noProof/>
        </w:rPr>
        <w:t xml:space="preserve">Доверителният фонд на ЕС за Африка е подписал договори за подпомагане на действията, предвидени в Плана за действие от Валета, на стойност почти 400 милиона евро. До края на 2016 г. ще бъдат сключени договори за над 90 % от предоставените до момента средства.  </w:t>
      </w:r>
    </w:p>
    <w:p>
      <w:pPr>
        <w:spacing w:after="0" w:line="240" w:lineRule="auto"/>
        <w:ind w:left="284" w:hanging="284"/>
        <w:jc w:val="both"/>
        <w:rPr>
          <w:rFonts w:ascii="Times New Roman" w:eastAsia="Calibri" w:hAnsi="Times New Roman" w:cs="Times New Roman"/>
          <w:noProof/>
        </w:rPr>
      </w:pPr>
      <w:r>
        <w:rPr>
          <w:rFonts w:ascii="Times New Roman" w:hAnsi="Times New Roman"/>
          <w:noProof/>
        </w:rPr>
        <w:t>-</w:t>
      </w:r>
      <w:r>
        <w:rPr>
          <w:noProof/>
        </w:rPr>
        <w:tab/>
      </w:r>
      <w:r>
        <w:rPr>
          <w:rFonts w:ascii="Times New Roman" w:hAnsi="Times New Roman"/>
          <w:noProof/>
        </w:rPr>
        <w:t>Увеличаване на финансирането за Доверителния фонд на ЕС за Африка с още 500 милиона евро от резерва на Европейския фонд за развитие, за да могат да се финансират дейности по линия на партньорствата относно миграцията.</w:t>
      </w:r>
    </w:p>
    <w:p>
      <w:pPr>
        <w:spacing w:after="120" w:line="240" w:lineRule="auto"/>
        <w:ind w:left="284" w:hanging="284"/>
        <w:jc w:val="both"/>
        <w:rPr>
          <w:noProof/>
        </w:rPr>
      </w:pPr>
      <w:r>
        <w:rPr>
          <w:rFonts w:ascii="Times New Roman" w:hAnsi="Times New Roman"/>
          <w:noProof/>
        </w:rPr>
        <w:t>-</w:t>
      </w:r>
      <w:r>
        <w:rPr>
          <w:noProof/>
        </w:rPr>
        <w:tab/>
      </w:r>
      <w:r>
        <w:rPr>
          <w:rFonts w:ascii="Times New Roman" w:hAnsi="Times New Roman"/>
          <w:noProof/>
        </w:rPr>
        <w:t>Набелязване и разработване на проекти за преодоляване на ключовите предизвикателства в приоритетните държави.</w:t>
      </w:r>
    </w:p>
    <w:sectPr>
      <w:headerReference w:type="even" r:id="rId15"/>
      <w:headerReference w:type="default" r:id="rId16"/>
      <w:footerReference w:type="even" r:id="rId17"/>
      <w:footerReference w:type="default" r:id="rId18"/>
      <w:headerReference w:type="first" r:id="rId19"/>
      <w:footerReference w:type="first" r:id="rId20"/>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48E2DE94C1124EA499C0CF6399B30853"/>
    <w:docVar w:name="LW_CROSSREFERENCE" w:val="&lt;UNUSED&gt;"/>
    <w:docVar w:name="LW_DocType" w:val="NORMAL"/>
    <w:docVar w:name="LW_EMISSION" w:val="18.10.2016"/>
    <w:docVar w:name="LW_EMISSION_ISODATE" w:val="2016-10-18"/>
    <w:docVar w:name="LW_EMISSION_LOCATION" w:val="BRX"/>
    <w:docVar w:name="LW_EMISSION_PREFIX" w:val="Брюксел, "/>
    <w:docVar w:name="LW_EMISSION_SUFFIX" w:val=" \u1075?."/>
    <w:docVar w:name="LW_ID_DOCTYPE_NONLW" w:val="CP-039"/>
    <w:docVar w:name="LW_LANGUE" w:val="BG"/>
    <w:docVar w:name="LW_MARKING" w:val="&lt;UNUSED&gt;"/>
    <w:docVar w:name="LW_NOM.INST" w:val="\u1045?\u1042?\u1056?\u1054?\u1055?\u1045?\u1049?\u1057?\u1050?\u1040? \u1050?\u1054?\u1052?\u1048?\u1057?\u1048?\u1071?"/>
    <w:docVar w:name="LW_NOM.INST_JOINTDOC" w:val="&lt;EMPTY&gt;"/>
    <w:docVar w:name="LW_OBJETACTEPRINCIPAL.CP" w:val="\u1055?\u1098?\u1088?\u1074?\u1080? \u1076?\u1086?\u1082?\u1083?\u1072?\u1076? \u1079?\u1072? \u1085?\u1072?\u1087?\u1088?\u1077?\u1076?\u1098?\u1082?\u1072? \u1087?\u1086? \u1056?\u1072?\u1084?\u1082?\u1072?\u1090?\u1072? \u1079?\u1072? \u1087?\u1072?\u1088?\u1090?\u1085?\u1100?\u1086?\u1088?\u1089?\u1090?\u1074?\u1086? \u1089? \u1090?\u1088?\u1077?\u1090?\u1080? \u1076?\u1098?\u1088?\u1078?\u1072?\u1074?\u1080? \u1074? \u1082?\u1086?\u1085?\u1090?\u1077?\u1082?\u1089?\u1090?\u1072? \u1085?\u1072? \u1045?\u1074?\u1088?\u1086?\u1087?\u1077?\u1081?\u1089?\u1082?\u1072?\u1090?\u1072? \u1087?\u1088?\u1086?\u1075?\u1088?\u1072?\u1084?\u1072? \u1079?\u1072? \u1084?\u1080?\u1075?\u1088?\u1072?\u1094?\u1080?\u1103?\u1090?\u1072?"/>
    <w:docVar w:name="LW_PART_NBR" w:val="1"/>
    <w:docVar w:name="LW_PART_NBR_TOTAL" w:val="1"/>
    <w:docVar w:name="LW_REF.INST.NEW" w:val="COM"/>
    <w:docVar w:name="LW_REF.INST.NEW_ADOPTED" w:val="final"/>
    <w:docVar w:name="LW_REF.INST.NEW_TEXT" w:val="(2016) 700"/>
    <w:docVar w:name="LW_REF.INTERNE" w:val="&lt;UNUSED&gt;"/>
    <w:docVar w:name="LW_SUPERTITRE" w:val="&lt;UNUSED&gt;"/>
    <w:docVar w:name="LW_TITRE.OBJ.CP" w:val="&lt;UNUSED&gt;"/>
    <w:docVar w:name="LW_TYPE.DOC.CP" w:val="\u1055?\u1056?\u1048?\u1051?\u1054?\u1046?\u1045?\u1053?\u1048?\u1045?_x000b_"/>
    <w:docVar w:name="LW_TYPEACTEPRINCIPAL.CP" w:val="\u1057?\u1066?\u1054?\u1041?\u1065?\u1045?\u1053?\u1048?\u1045? \u1053?\u1040? \u1050?\u1054?\u1052?\u1048?\u1057?\u1048?\u1071?\u1058?\u1040? \u1044?\u1054? \u1045?\u1042?\u1056?\u1054?\u1055?\u1045?\u1049?\u1057?\u1050?\u1048?\u1071? \u1055?\u1040?\u1056?\u1051?\u1040?\u1052?\u1045?\u1053?\u1058?, \u1045?\u1042?\u1056?\u1054?\u1055?\u1045?\u1049?\u1057?\u1050?\u1048?\u1071? \u1057?\u1066?\u1042?\u1045?\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990B8-1BD2-4FA4-B184-1A9DBA793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530</Words>
  <Characters>3025</Characters>
  <Application>Microsoft Office Word</Application>
  <DocSecurity>0</DocSecurity>
  <Lines>64</Lines>
  <Paragraphs>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BARTKIEWICZ Ligia (SG)</dc:creator>
  <cp:lastModifiedBy>DIGIT/A3</cp:lastModifiedBy>
  <cp:revision>12</cp:revision>
  <cp:lastPrinted>2016-10-14T17:52:00Z</cp:lastPrinted>
  <dcterms:created xsi:type="dcterms:W3CDTF">2016-10-17T16:55:00Z</dcterms:created>
  <dcterms:modified xsi:type="dcterms:W3CDTF">2016-10-20T07:49:00Z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DocStatus">
    <vt:lpwstr>Green</vt:lpwstr>
  </property>
</Properties>
</file>