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E66D11E6A524C12AEBE8D769106FDC0" style="width:450.75pt;height:393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0" w:h="16840" w:code="9"/>
          <w:pgMar w:top="1134" w:right="1417" w:bottom="1134" w:left="1417" w:header="709" w:footer="709" w:gutter="0"/>
          <w:pgNumType w:start="0"/>
          <w:cols w:space="720"/>
          <w:docGrid w:linePitch="326"/>
        </w:sectPr>
      </w:pPr>
    </w:p>
    <w:p>
      <w:pPr>
        <w:spacing w:after="0" w:line="240" w:lineRule="auto"/>
        <w:jc w:val="center"/>
        <w:rPr>
          <w:rFonts w:ascii="Times New Roman" w:eastAsia="Calibri" w:hAnsi="Times New Roman" w:cs="Times New Roman"/>
          <w:b/>
          <w:bCs/>
          <w:noProof/>
        </w:rPr>
      </w:pPr>
      <w:bookmarkStart w:id="1" w:name="_GoBack"/>
      <w:bookmarkEnd w:id="1"/>
      <w:r>
        <w:rPr>
          <w:rFonts w:ascii="Times New Roman" w:hAnsi="Times New Roman"/>
          <w:b/>
          <w:noProof/>
        </w:rPr>
        <w:lastRenderedPageBreak/>
        <w:t>ANNEXE I – GRANDES THÉMATIQUES ET ÉVÉNEMENTS CLÉS JUSQU’À LA FIN 2016</w:t>
      </w:r>
    </w:p>
    <w:p>
      <w:pPr>
        <w:spacing w:after="0" w:line="240" w:lineRule="auto"/>
        <w:jc w:val="both"/>
        <w:rPr>
          <w:rFonts w:ascii="Times New Roman" w:eastAsia="Calibri" w:hAnsi="Times New Roman" w:cs="Times New Roman"/>
          <w:b/>
          <w:bCs/>
          <w:noProof/>
        </w:rPr>
      </w:pPr>
    </w:p>
    <w:p>
      <w:pPr>
        <w:spacing w:after="120" w:line="240" w:lineRule="auto"/>
        <w:ind w:left="720" w:hanging="720"/>
        <w:jc w:val="both"/>
        <w:rPr>
          <w:rFonts w:ascii="Times New Roman" w:eastAsia="Calibri" w:hAnsi="Times New Roman" w:cs="Times New Roman"/>
          <w:b/>
          <w:noProof/>
        </w:rPr>
      </w:pPr>
      <w:r>
        <w:rPr>
          <w:rFonts w:ascii="Times New Roman" w:hAnsi="Times New Roman"/>
          <w:b/>
          <w:noProof/>
        </w:rPr>
        <w:t>MISE EN ŒUVRE DU CADRE DE PARTENARIAT</w:t>
      </w:r>
    </w:p>
    <w:p>
      <w:pPr>
        <w:spacing w:after="60" w:line="240" w:lineRule="auto"/>
        <w:jc w:val="both"/>
        <w:rPr>
          <w:rFonts w:ascii="Times New Roman" w:eastAsia="Calibri" w:hAnsi="Times New Roman" w:cs="Times New Roman"/>
          <w:b/>
          <w:noProof/>
        </w:rPr>
      </w:pPr>
      <w:r>
        <w:rPr>
          <w:rFonts w:ascii="Times New Roman" w:hAnsi="Times New Roman"/>
          <w:b/>
          <w:noProof/>
        </w:rPr>
        <w:t>Coopération entre les États membres de l'UE et entre l'UE et les pays tiers</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Poursuivre la coopération sous la forme de visites à haut niveau dans l'ensemble des cinq pays prioritaires, avec un engagement accru au Nigeria, au Sénégal et en Éthiopie.</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Dépêcher sur place des officiers de liaison «Migration» européens.</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Veiller à ce que les États membres réservent un accueil favorable aux missions d’identification.</w:t>
      </w:r>
    </w:p>
    <w:p>
      <w:pPr>
        <w:spacing w:after="12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Renforcer la participation des agences de l’UE sur le terrain (corps européen de garde</w:t>
      </w:r>
      <w:r>
        <w:rPr>
          <w:noProof/>
        </w:rPr>
        <w:noBreakHyphen/>
      </w:r>
      <w:r>
        <w:rPr>
          <w:rFonts w:ascii="Times New Roman" w:hAnsi="Times New Roman"/>
          <w:noProof/>
        </w:rPr>
        <w:t>frontières et de garde-côtes et Europol).</w:t>
      </w:r>
    </w:p>
    <w:p>
      <w:pPr>
        <w:spacing w:after="60" w:line="240" w:lineRule="auto"/>
        <w:jc w:val="both"/>
        <w:rPr>
          <w:rFonts w:ascii="Times New Roman" w:eastAsia="Calibri" w:hAnsi="Times New Roman" w:cs="Times New Roman"/>
          <w:b/>
          <w:noProof/>
        </w:rPr>
      </w:pPr>
      <w:r>
        <w:rPr>
          <w:rFonts w:ascii="Times New Roman" w:hAnsi="Times New Roman"/>
          <w:b/>
          <w:noProof/>
        </w:rPr>
        <w:t>Pays prioritaires – actions</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 xml:space="preserve">- </w:t>
      </w:r>
      <w:r>
        <w:rPr>
          <w:noProof/>
        </w:rPr>
        <w:tab/>
      </w:r>
      <w:r>
        <w:rPr>
          <w:rFonts w:ascii="Times New Roman" w:hAnsi="Times New Roman"/>
          <w:noProof/>
          <w:u w:val="single"/>
        </w:rPr>
        <w:t>Niger</w:t>
      </w:r>
      <w:r>
        <w:rPr>
          <w:rFonts w:ascii="Times New Roman" w:hAnsi="Times New Roman"/>
          <w:noProof/>
        </w:rPr>
        <w:t>: faire en sorte que l’antenne d’Agadez atteigne sa pleine capacité opérationnelle. Soutenir la mise en œuvre du plan d’action destiné à lutter contre le trafic de migrants dans la région d’Agadez. Concentrer l'aide de l'UE sur l’agence spécialisée chargée de la lutte contre la traite des êtres humains. Dispenser des formations et livrer des équipements.</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u w:val="single"/>
        </w:rPr>
        <w:t>Nigeria</w:t>
      </w:r>
      <w:r>
        <w:rPr>
          <w:rFonts w:ascii="Times New Roman" w:hAnsi="Times New Roman"/>
          <w:noProof/>
        </w:rPr>
        <w:t>: faire progresser les négociations en vue de la conclusion rapide d’un accord de réadmission. Mener des missions d’identification.</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u w:val="single"/>
        </w:rPr>
        <w:t>Sénégal</w:t>
      </w:r>
      <w:r>
        <w:rPr>
          <w:rFonts w:ascii="Times New Roman" w:hAnsi="Times New Roman"/>
          <w:noProof/>
        </w:rPr>
        <w:t>: conclure des modalités d'action avec l’Agence européenne de garde-frontières et de garde-côtes. Mener des missions d’identification.</w:t>
      </w:r>
      <w:r>
        <w:rPr>
          <w:noProof/>
        </w:rPr>
        <w:t xml:space="preserve"> </w:t>
      </w:r>
      <w:r>
        <w:rPr>
          <w:rFonts w:ascii="Times New Roman" w:hAnsi="Times New Roman"/>
          <w:noProof/>
        </w:rPr>
        <w:t>Coopérer en matière de documents de voyage.</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u w:val="single"/>
        </w:rPr>
        <w:t>Mali</w:t>
      </w:r>
      <w:r>
        <w:rPr>
          <w:rFonts w:ascii="Times New Roman" w:hAnsi="Times New Roman"/>
          <w:noProof/>
        </w:rPr>
        <w:t>: finaliser l'accord sur les instructions permanentes. Mener des missions d’identification.</w:t>
      </w:r>
      <w:r>
        <w:rPr>
          <w:noProof/>
        </w:rPr>
        <w:t xml:space="preserve"> </w:t>
      </w:r>
      <w:r>
        <w:rPr>
          <w:rFonts w:ascii="Times New Roman" w:hAnsi="Times New Roman"/>
          <w:noProof/>
        </w:rPr>
        <w:t xml:space="preserve"> </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u w:val="single"/>
        </w:rPr>
        <w:t>Éthiopie</w:t>
      </w:r>
      <w:r>
        <w:rPr>
          <w:rFonts w:ascii="Times New Roman" w:hAnsi="Times New Roman"/>
          <w:noProof/>
        </w:rPr>
        <w:t>: finaliser la procédure pour les dossiers en cours. Établir une procédure concertée pour convenir des retours et les mettre en œuvre.</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u w:val="single"/>
        </w:rPr>
        <w:t>Jordanie/Liban:</w:t>
      </w:r>
      <w:r>
        <w:rPr>
          <w:rFonts w:ascii="Times New Roman" w:hAnsi="Times New Roman"/>
          <w:noProof/>
        </w:rPr>
        <w:t xml:space="preserve"> faire en sorte que les conseils d’association approuvent les pactes. Engager les négociations portant sur les accords de réadmission et d'assouplissement des formalités de délivrance des visas entre l’UE et la Jordanie. Conclure les négociations portant sur le partenariat pour la mobilité UE-Liban.</w:t>
      </w:r>
    </w:p>
    <w:p>
      <w:pPr>
        <w:spacing w:after="120" w:line="240" w:lineRule="auto"/>
        <w:ind w:left="284" w:hanging="284"/>
        <w:jc w:val="both"/>
        <w:rPr>
          <w:rFonts w:ascii="Times New Roman" w:eastAsia="Calibri" w:hAnsi="Times New Roman" w:cs="Times New Roman"/>
          <w:noProof/>
          <w:u w:val="single"/>
        </w:rPr>
      </w:pPr>
      <w:r>
        <w:rPr>
          <w:rFonts w:ascii="Times New Roman" w:hAnsi="Times New Roman"/>
          <w:noProof/>
        </w:rPr>
        <w:t>-</w:t>
      </w:r>
      <w:r>
        <w:rPr>
          <w:noProof/>
        </w:rPr>
        <w:tab/>
      </w:r>
      <w:r>
        <w:rPr>
          <w:rFonts w:ascii="Times New Roman" w:hAnsi="Times New Roman"/>
          <w:noProof/>
        </w:rPr>
        <w:t>24 projets financés par le fonds fiduciaire de l’UE pour l’Afrique, pour un montant de plus de 425 000 000 EUR, seront lancés dans les cinq pays prioritaires.</w:t>
      </w:r>
    </w:p>
    <w:p>
      <w:pPr>
        <w:spacing w:after="60" w:line="240" w:lineRule="auto"/>
        <w:ind w:left="720" w:hanging="720"/>
        <w:jc w:val="both"/>
        <w:rPr>
          <w:rFonts w:ascii="Times New Roman" w:eastAsia="Calibri" w:hAnsi="Times New Roman" w:cs="Times New Roman"/>
          <w:b/>
          <w:noProof/>
        </w:rPr>
      </w:pPr>
      <w:r>
        <w:rPr>
          <w:rFonts w:ascii="Times New Roman" w:hAnsi="Times New Roman"/>
          <w:b/>
          <w:noProof/>
        </w:rPr>
        <w:t>Rapports</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Présenter le deuxième rapport de la Commission concernant la mise en œuvre avant le Conseil européen de décembre.</w:t>
      </w:r>
    </w:p>
    <w:p>
      <w:pPr>
        <w:spacing w:after="0" w:line="240" w:lineRule="auto"/>
        <w:ind w:left="426" w:hanging="436"/>
        <w:jc w:val="both"/>
        <w:rPr>
          <w:rFonts w:ascii="Times New Roman" w:eastAsia="Calibri" w:hAnsi="Times New Roman" w:cs="Times New Roman"/>
          <w:noProof/>
        </w:rPr>
      </w:pPr>
      <w:r>
        <w:rPr>
          <w:rFonts w:ascii="Times New Roman" w:hAnsi="Times New Roman"/>
          <w:noProof/>
        </w:rPr>
        <w:t xml:space="preserve"> </w:t>
      </w:r>
    </w:p>
    <w:p>
      <w:pPr>
        <w:spacing w:after="120" w:line="240" w:lineRule="auto"/>
        <w:ind w:left="720" w:hanging="720"/>
        <w:jc w:val="both"/>
        <w:rPr>
          <w:rFonts w:ascii="Times New Roman" w:eastAsia="Calibri" w:hAnsi="Times New Roman" w:cs="Times New Roman"/>
          <w:b/>
          <w:noProof/>
        </w:rPr>
      </w:pPr>
      <w:r>
        <w:rPr>
          <w:rFonts w:ascii="Times New Roman" w:hAnsi="Times New Roman"/>
          <w:b/>
          <w:noProof/>
        </w:rPr>
        <w:t xml:space="preserve">PLAN D'ACTION DE LA VALETTE </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Lancer les initiatives et les projets visant à mettre en œuvre les 16 actions prioritaires du plan d’action de La Valette et progresser de manière notable sur les 89 autres actions.</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Tous les États membres doivent rendre compte (en octobre 2016) de leur contribution au plan d’action de La Valette en vue de la réunion des hauts fonctionnaires qui se tiendra en février 2017, afin de permettre un recensement de toutes les actions inscrites dans ce plan d'action, y compris les actions multilatérales et bilatérales, ainsi que celles actions au niveau national par les partenaires africains.</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Exploiter les occasions qui s'offrent en matière de filières de migration légales, ainsi que les possibilités offertes par ERASMUS et par d’autres politiques et outils.</w:t>
      </w:r>
    </w:p>
    <w:p>
      <w:pPr>
        <w:spacing w:after="0" w:line="240" w:lineRule="auto"/>
        <w:ind w:left="284" w:hanging="284"/>
        <w:jc w:val="both"/>
        <w:rPr>
          <w:rFonts w:ascii="Times New Roman" w:eastAsia="Calibri" w:hAnsi="Times New Roman" w:cs="Times New Roman"/>
          <w:b/>
          <w:noProof/>
        </w:rPr>
      </w:pPr>
    </w:p>
    <w:p>
      <w:pPr>
        <w:spacing w:after="120" w:line="240" w:lineRule="auto"/>
        <w:ind w:left="720" w:hanging="720"/>
        <w:jc w:val="both"/>
        <w:rPr>
          <w:rFonts w:ascii="Times New Roman" w:eastAsia="Calibri" w:hAnsi="Times New Roman" w:cs="Times New Roman"/>
          <w:b/>
          <w:noProof/>
        </w:rPr>
      </w:pPr>
      <w:r>
        <w:rPr>
          <w:rFonts w:ascii="Times New Roman" w:hAnsi="Times New Roman"/>
          <w:b/>
          <w:noProof/>
        </w:rPr>
        <w:t xml:space="preserve">PLAN D'INVESTISSEMENT EXTÉRIEUR  </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Le Parlement européen et le Conseil sont invités à adopter les propositions législatives d’ici à mars 2017.</w:t>
      </w:r>
    </w:p>
    <w:p>
      <w:pPr>
        <w:spacing w:after="0" w:line="240" w:lineRule="auto"/>
        <w:ind w:left="284" w:hanging="284"/>
        <w:jc w:val="both"/>
        <w:rPr>
          <w:rFonts w:ascii="Times New Roman" w:eastAsia="Calibri" w:hAnsi="Times New Roman" w:cs="Times New Roman"/>
          <w:noProof/>
        </w:rPr>
      </w:pPr>
    </w:p>
    <w:p>
      <w:pPr>
        <w:spacing w:after="120" w:line="240" w:lineRule="auto"/>
        <w:ind w:left="720" w:hanging="720"/>
        <w:jc w:val="both"/>
        <w:rPr>
          <w:rFonts w:ascii="Times New Roman" w:eastAsia="Calibri" w:hAnsi="Times New Roman" w:cs="Times New Roman"/>
          <w:b/>
          <w:noProof/>
        </w:rPr>
      </w:pPr>
      <w:r>
        <w:rPr>
          <w:rFonts w:ascii="Times New Roman" w:hAnsi="Times New Roman"/>
          <w:b/>
          <w:noProof/>
        </w:rPr>
        <w:t>FONDS FIDUCIAIRE DE L'UE POUR L'AFRIQUE</w:t>
      </w:r>
    </w:p>
    <w:p>
      <w:pPr>
        <w:spacing w:after="0" w:line="240" w:lineRule="auto"/>
        <w:ind w:left="284" w:hanging="284"/>
        <w:jc w:val="both"/>
        <w:rPr>
          <w:rFonts w:ascii="Times New Roman" w:eastAsia="Calibri" w:hAnsi="Times New Roman" w:cs="Times New Roman"/>
          <w:noProof/>
        </w:rPr>
      </w:pPr>
      <w:r>
        <w:rPr>
          <w:rFonts w:ascii="Times New Roman" w:hAnsi="Times New Roman"/>
          <w:b/>
          <w:noProof/>
        </w:rPr>
        <w:lastRenderedPageBreak/>
        <w:t>-</w:t>
      </w:r>
      <w:r>
        <w:rPr>
          <w:noProof/>
        </w:rPr>
        <w:tab/>
      </w:r>
      <w:r>
        <w:rPr>
          <w:rFonts w:ascii="Times New Roman" w:hAnsi="Times New Roman"/>
          <w:noProof/>
        </w:rPr>
        <w:t xml:space="preserve">Le fonds fiduciaire de l'UE pour l'Afrique a signé des contrats à l’appui des actions prévues dans le plan d’action de La Valette pour un montant de près de 400 000 000 EUR. D’ici à la fin de 2016, plus de 90 % des fonds mis à disposition à ce jour auront été utilisés. </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Augmenter la dotation du fonds fiduciaire de l’UE pour l’Afrique de 500 000 000 EUR provenant de la réserve du Fonds européen de développement, pour financer les actions menées dans le cadre de ces partenariats de migration.</w:t>
      </w:r>
    </w:p>
    <w:p>
      <w:pPr>
        <w:spacing w:after="120" w:line="240" w:lineRule="auto"/>
        <w:ind w:left="284" w:hanging="284"/>
        <w:jc w:val="both"/>
        <w:rPr>
          <w:noProof/>
        </w:rPr>
      </w:pPr>
      <w:r>
        <w:rPr>
          <w:rFonts w:ascii="Times New Roman" w:hAnsi="Times New Roman"/>
          <w:noProof/>
        </w:rPr>
        <w:t>-</w:t>
      </w:r>
      <w:r>
        <w:rPr>
          <w:noProof/>
        </w:rPr>
        <w:tab/>
      </w:r>
      <w:r>
        <w:rPr>
          <w:rFonts w:ascii="Times New Roman" w:hAnsi="Times New Roman"/>
          <w:noProof/>
        </w:rPr>
        <w:t>Définir et élaborer des projets visant à relever les principaux défis recensés dans les pays prioritaires.</w:t>
      </w:r>
    </w:p>
    <w:sectPr>
      <w:headerReference w:type="even" r:id="rId14"/>
      <w:headerReference w:type="default" r:id="rId15"/>
      <w:footerReference w:type="even" r:id="rId16"/>
      <w:footerReference w:type="default" r:id="rId17"/>
      <w:headerReference w:type="first" r:id="rId18"/>
      <w:footerReference w:type="first" r:id="rId19"/>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CE66D11E6A524C12AEBE8D769106FDC0"/>
    <w:docVar w:name="LW_CROSSREFERENCE" w:val="&lt;UNUSED&gt;"/>
    <w:docVar w:name="LW_DocType" w:val="NORMAL"/>
    <w:docVar w:name="LW_EMISSION" w:val="18.10.2016"/>
    <w:docVar w:name="LW_EMISSION_ISODATE" w:val="2016-10-18"/>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Premier rapport d'avancement relatif au cadre de partenariat avec les pays tiers dans le cadre de l'agenda européen en matière de migration"/>
    <w:docVar w:name="LW_PART_NBR" w:val="1"/>
    <w:docVar w:name="LW_PART_NBR_TOTAL" w:val="1"/>
    <w:docVar w:name="LW_REF.INST.NEW" w:val="COM"/>
    <w:docVar w:name="LW_REF.INST.NEW_ADOPTED" w:val="final"/>
    <w:docVar w:name="LW_REF.INST.NEW_TEXT" w:val="(2016) 700"/>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609</Words>
  <Characters>3216</Characters>
  <Application>Microsoft Office Word</Application>
  <DocSecurity>0</DocSecurity>
  <Lines>61</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BARTKIEWICZ Ligia (SG)</dc:creator>
  <cp:lastModifiedBy>DIGIT/A3</cp:lastModifiedBy>
  <cp:revision>14</cp:revision>
  <cp:lastPrinted>2016-10-14T17:52:00Z</cp:lastPrinted>
  <dcterms:created xsi:type="dcterms:W3CDTF">2016-10-17T16:55:00Z</dcterms:created>
  <dcterms:modified xsi:type="dcterms:W3CDTF">2016-10-20T07:49:00Z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