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8F890CFF19B94AA7A1093CD1F098234C" style="width:450.75pt;height:393.7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0" w:h="16840" w:code="9"/>
          <w:pgMar w:top="1134" w:right="1417" w:bottom="1134" w:left="1417" w:header="709" w:footer="709" w:gutter="0"/>
          <w:pgNumType w:start="0"/>
          <w:cols w:space="720"/>
          <w:docGrid w:linePitch="326"/>
        </w:sectPr>
      </w:pPr>
    </w:p>
    <w:p>
      <w:pPr>
        <w:jc w:val="center"/>
        <w:rPr>
          <w:rFonts w:ascii="Times New Roman" w:hAnsi="Times New Roman" w:cs="Times New Roman"/>
          <w:b/>
          <w:noProof/>
          <w:sz w:val="24"/>
          <w:szCs w:val="24"/>
        </w:rPr>
      </w:pPr>
      <w:bookmarkStart w:id="1" w:name="_GoBack"/>
      <w:bookmarkEnd w:id="1"/>
    </w:p>
    <w:tbl>
      <w:tblPr>
        <w:tblStyle w:val="TableGrid"/>
        <w:tblW w:w="9498" w:type="dxa"/>
        <w:tblLook w:val="04A0" w:firstRow="1" w:lastRow="0" w:firstColumn="1" w:lastColumn="0" w:noHBand="0" w:noVBand="1"/>
      </w:tblPr>
      <w:tblGrid>
        <w:gridCol w:w="4749"/>
        <w:gridCol w:w="4749"/>
      </w:tblGrid>
      <w:tr>
        <w:trPr>
          <w:trHeight w:val="279"/>
        </w:trPr>
        <w:tc>
          <w:tcPr>
            <w:tcW w:w="9498" w:type="dxa"/>
            <w:gridSpan w:val="2"/>
            <w:shd w:val="clear" w:color="auto" w:fill="D9D9D9" w:themeFill="background1" w:themeFillShade="D9"/>
          </w:tcPr>
          <w:p>
            <w:pPr>
              <w:jc w:val="center"/>
              <w:rPr>
                <w:rFonts w:ascii="Times New Roman" w:hAnsi="Times New Roman" w:cs="Times New Roman"/>
                <w:b/>
                <w:noProof/>
                <w:sz w:val="24"/>
                <w:szCs w:val="24"/>
              </w:rPr>
            </w:pPr>
            <w:r>
              <w:rPr>
                <w:rFonts w:ascii="Times New Roman" w:hAnsi="Times New Roman"/>
                <w:b/>
                <w:noProof/>
                <w:sz w:val="28"/>
              </w:rPr>
              <w:t>Niger</w:t>
            </w:r>
          </w:p>
        </w:tc>
      </w:tr>
      <w:tr>
        <w:trPr>
          <w:trHeight w:val="543"/>
        </w:trPr>
        <w:tc>
          <w:tcPr>
            <w:tcW w:w="4749" w:type="dxa"/>
            <w:shd w:val="clear" w:color="auto" w:fill="F2F2F2" w:themeFill="background1" w:themeFillShade="F2"/>
          </w:tcPr>
          <w:p>
            <w:pPr>
              <w:jc w:val="center"/>
              <w:rPr>
                <w:rFonts w:ascii="Times New Roman" w:hAnsi="Times New Roman" w:cs="Times New Roman"/>
                <w:b/>
                <w:noProof/>
                <w:sz w:val="20"/>
                <w:szCs w:val="20"/>
                <w:lang w:val="fr-FR"/>
              </w:rPr>
            </w:pPr>
          </w:p>
          <w:p>
            <w:pPr>
              <w:jc w:val="center"/>
              <w:rPr>
                <w:rFonts w:ascii="Times New Roman" w:hAnsi="Times New Roman" w:cs="Times New Roman"/>
                <w:b/>
                <w:noProof/>
                <w:sz w:val="20"/>
                <w:szCs w:val="20"/>
                <w:lang w:val="fr-FR"/>
              </w:rPr>
            </w:pPr>
            <w:r>
              <w:rPr>
                <w:rFonts w:ascii="Times New Roman" w:hAnsi="Times New Roman"/>
                <w:b/>
                <w:noProof/>
                <w:sz w:val="20"/>
                <w:lang w:val="fr-FR"/>
              </w:rPr>
              <w:t>ACTIONS ET PROGRÈS JUIN-OCTOBRE 2016</w:t>
            </w:r>
          </w:p>
        </w:tc>
        <w:tc>
          <w:tcPr>
            <w:tcW w:w="4749" w:type="dxa"/>
            <w:shd w:val="clear" w:color="auto" w:fill="F2F2F2" w:themeFill="background1" w:themeFillShade="F2"/>
          </w:tcPr>
          <w:p>
            <w:pPr>
              <w:jc w:val="center"/>
              <w:rPr>
                <w:rFonts w:ascii="Times New Roman" w:hAnsi="Times New Roman" w:cs="Times New Roman"/>
                <w:b/>
                <w:noProof/>
                <w:sz w:val="20"/>
                <w:szCs w:val="20"/>
                <w:lang w:val="fr-FR"/>
              </w:rPr>
            </w:pPr>
          </w:p>
          <w:p>
            <w:pPr>
              <w:jc w:val="center"/>
              <w:rPr>
                <w:rFonts w:ascii="Times New Roman" w:hAnsi="Times New Roman" w:cs="Times New Roman"/>
                <w:b/>
                <w:noProof/>
                <w:sz w:val="20"/>
                <w:szCs w:val="20"/>
              </w:rPr>
            </w:pPr>
            <w:r>
              <w:rPr>
                <w:rFonts w:ascii="Times New Roman" w:hAnsi="Times New Roman"/>
                <w:b/>
                <w:noProof/>
                <w:sz w:val="20"/>
              </w:rPr>
              <w:t>PROCHAINES ÉTAPES</w:t>
            </w:r>
          </w:p>
        </w:tc>
      </w:tr>
      <w:tr>
        <w:trPr>
          <w:trHeight w:val="279"/>
        </w:trPr>
        <w:tc>
          <w:tcPr>
            <w:tcW w:w="4749" w:type="dxa"/>
          </w:tcPr>
          <w:p>
            <w:pPr>
              <w:rPr>
                <w:rFonts w:ascii="Times New Roman" w:hAnsi="Times New Roman" w:cs="Times New Roman"/>
                <w:i/>
                <w:noProof/>
                <w:sz w:val="20"/>
                <w:szCs w:val="20"/>
              </w:rPr>
            </w:pPr>
            <w:r>
              <w:rPr>
                <w:rFonts w:ascii="Times New Roman" w:hAnsi="Times New Roman"/>
                <w:i/>
                <w:noProof/>
                <w:sz w:val="20"/>
              </w:rPr>
              <w:t>Contacts à haut niveau</w:t>
            </w:r>
          </w:p>
          <w:p>
            <w:pPr>
              <w:pStyle w:val="ListParagraph"/>
              <w:numPr>
                <w:ilvl w:val="0"/>
                <w:numId w:val="9"/>
              </w:numPr>
              <w:rPr>
                <w:rFonts w:ascii="Times New Roman" w:hAnsi="Times New Roman"/>
                <w:noProof/>
                <w:sz w:val="20"/>
                <w:szCs w:val="20"/>
                <w:lang w:val="fr-FR"/>
              </w:rPr>
            </w:pPr>
            <w:r>
              <w:rPr>
                <w:rFonts w:ascii="Times New Roman" w:hAnsi="Times New Roman"/>
                <w:noProof/>
                <w:sz w:val="20"/>
                <w:lang w:val="fr-FR"/>
              </w:rPr>
              <w:t>Déclaration conjointe sur la migration et réunion entre la HR/VP Mogherini et le ministre des affaires étrangères lors de la rencontre entre l'UE et les ministres du G5 Sahel (juin)</w:t>
            </w:r>
          </w:p>
          <w:p>
            <w:pPr>
              <w:pStyle w:val="ListParagraph"/>
              <w:numPr>
                <w:ilvl w:val="0"/>
                <w:numId w:val="9"/>
              </w:numPr>
              <w:rPr>
                <w:rFonts w:ascii="Times New Roman" w:hAnsi="Times New Roman"/>
                <w:noProof/>
                <w:sz w:val="20"/>
                <w:szCs w:val="20"/>
                <w:lang w:val="fr-FR"/>
              </w:rPr>
            </w:pPr>
            <w:r>
              <w:rPr>
                <w:rFonts w:ascii="Times New Roman" w:hAnsi="Times New Roman"/>
                <w:noProof/>
                <w:sz w:val="20"/>
                <w:lang w:val="fr-FR"/>
              </w:rPr>
              <w:t>Visite du commissaire Stylianides (juillet)</w:t>
            </w:r>
          </w:p>
          <w:p>
            <w:pPr>
              <w:pStyle w:val="ListParagraph"/>
              <w:numPr>
                <w:ilvl w:val="0"/>
                <w:numId w:val="9"/>
              </w:numPr>
              <w:rPr>
                <w:rFonts w:ascii="Times New Roman" w:hAnsi="Times New Roman"/>
                <w:noProof/>
                <w:sz w:val="20"/>
                <w:szCs w:val="20"/>
                <w:lang w:val="fr-FR"/>
              </w:rPr>
            </w:pPr>
            <w:r>
              <w:rPr>
                <w:rFonts w:ascii="Times New Roman" w:hAnsi="Times New Roman"/>
                <w:noProof/>
                <w:sz w:val="20"/>
                <w:lang w:val="fr-FR"/>
              </w:rPr>
              <w:t>Visite du ministre allemand de la coopération économique et du développement (août)</w:t>
            </w:r>
          </w:p>
          <w:p>
            <w:pPr>
              <w:pStyle w:val="ListParagraph"/>
              <w:numPr>
                <w:ilvl w:val="0"/>
                <w:numId w:val="9"/>
              </w:numPr>
              <w:rPr>
                <w:rFonts w:ascii="Times New Roman" w:hAnsi="Times New Roman"/>
                <w:noProof/>
                <w:sz w:val="20"/>
                <w:szCs w:val="20"/>
                <w:lang w:val="fr-FR"/>
              </w:rPr>
            </w:pPr>
            <w:r>
              <w:rPr>
                <w:rFonts w:ascii="Times New Roman" w:hAnsi="Times New Roman"/>
                <w:noProof/>
                <w:sz w:val="20"/>
                <w:lang w:val="fr-FR"/>
              </w:rPr>
              <w:t>Rencontres en marge de l'Assemblée générale des Nations unies: plusieurs États membres, la HR/VP Mogherini et le commissaire Avramopoulos (septembre)</w:t>
            </w:r>
          </w:p>
          <w:p>
            <w:pPr>
              <w:pStyle w:val="ListParagraph"/>
              <w:numPr>
                <w:ilvl w:val="0"/>
                <w:numId w:val="9"/>
              </w:numPr>
              <w:rPr>
                <w:rFonts w:ascii="Times New Roman" w:hAnsi="Times New Roman"/>
                <w:noProof/>
                <w:sz w:val="20"/>
                <w:szCs w:val="20"/>
                <w:lang w:val="fr-FR"/>
              </w:rPr>
            </w:pPr>
            <w:r>
              <w:rPr>
                <w:rFonts w:ascii="Times New Roman" w:hAnsi="Times New Roman"/>
                <w:noProof/>
                <w:sz w:val="20"/>
                <w:lang w:val="fr-FR"/>
              </w:rPr>
              <w:t>Cadre de concertation coprésidé par le ministre de l’intérieur et le chef de la délégation de l’UE, auquel ont participé des hauts fonctionnaires des États membres (octobre)</w:t>
            </w:r>
          </w:p>
          <w:p>
            <w:pPr>
              <w:pStyle w:val="ListParagraph"/>
              <w:numPr>
                <w:ilvl w:val="0"/>
                <w:numId w:val="9"/>
              </w:numPr>
              <w:rPr>
                <w:rFonts w:ascii="Times New Roman" w:hAnsi="Times New Roman"/>
                <w:noProof/>
                <w:sz w:val="20"/>
                <w:szCs w:val="20"/>
                <w:lang w:val="fr-FR"/>
              </w:rPr>
            </w:pPr>
            <w:r>
              <w:rPr>
                <w:rFonts w:ascii="Times New Roman" w:hAnsi="Times New Roman"/>
                <w:noProof/>
                <w:sz w:val="20"/>
                <w:lang w:val="fr-FR"/>
              </w:rPr>
              <w:t>Visite de la chancelière allemande (octobre)</w:t>
            </w:r>
          </w:p>
          <w:p>
            <w:pPr>
              <w:rPr>
                <w:rFonts w:ascii="Times New Roman" w:hAnsi="Times New Roman" w:cs="Times New Roman"/>
                <w:noProof/>
                <w:sz w:val="20"/>
                <w:szCs w:val="20"/>
                <w:lang w:val="fr-FR"/>
              </w:rPr>
            </w:pPr>
          </w:p>
          <w:p>
            <w:pPr>
              <w:rPr>
                <w:rFonts w:ascii="Times New Roman" w:hAnsi="Times New Roman" w:cs="Times New Roman"/>
                <w:i/>
                <w:noProof/>
                <w:sz w:val="20"/>
                <w:szCs w:val="20"/>
                <w:lang w:val="fr-FR"/>
              </w:rPr>
            </w:pPr>
            <w:r>
              <w:rPr>
                <w:rFonts w:ascii="Times New Roman" w:hAnsi="Times New Roman"/>
                <w:i/>
                <w:noProof/>
                <w:sz w:val="20"/>
                <w:lang w:val="fr-FR"/>
              </w:rPr>
              <w:t>Principaux progrès accomplis par les autorités nigériennes</w:t>
            </w:r>
          </w:p>
          <w:p>
            <w:pPr>
              <w:pStyle w:val="ListParagraph"/>
              <w:numPr>
                <w:ilvl w:val="0"/>
                <w:numId w:val="9"/>
              </w:numPr>
              <w:rPr>
                <w:rFonts w:ascii="Times New Roman" w:hAnsi="Times New Roman"/>
                <w:noProof/>
                <w:sz w:val="20"/>
                <w:szCs w:val="20"/>
                <w:lang w:val="fr-FR"/>
              </w:rPr>
            </w:pPr>
            <w:r>
              <w:rPr>
                <w:rFonts w:ascii="Times New Roman" w:hAnsi="Times New Roman"/>
                <w:noProof/>
                <w:sz w:val="20"/>
                <w:lang w:val="fr-FR"/>
              </w:rPr>
              <w:t>Mise en place d’une plateforme locale de coordination en matière de migration («cadre de concertation»), qui s'est réunie pour la première fois le 6 octobre 2016 et à laquelle participent de hauts fonctionnaires des États membres.</w:t>
            </w:r>
          </w:p>
          <w:p>
            <w:pPr>
              <w:pStyle w:val="ListParagraph"/>
              <w:numPr>
                <w:ilvl w:val="0"/>
                <w:numId w:val="9"/>
              </w:numPr>
              <w:rPr>
                <w:rFonts w:ascii="Times New Roman" w:hAnsi="Times New Roman"/>
                <w:noProof/>
                <w:sz w:val="20"/>
                <w:szCs w:val="20"/>
                <w:lang w:val="fr-FR"/>
              </w:rPr>
            </w:pPr>
            <w:r>
              <w:rPr>
                <w:rFonts w:ascii="Times New Roman" w:hAnsi="Times New Roman"/>
                <w:noProof/>
                <w:sz w:val="20"/>
                <w:lang w:val="fr-FR"/>
              </w:rPr>
              <w:t>Création de l’agence spécialisée dans la lutte contre la traite des êtres humains.</w:t>
            </w:r>
          </w:p>
          <w:p>
            <w:pPr>
              <w:pStyle w:val="ListParagraph"/>
              <w:numPr>
                <w:ilvl w:val="0"/>
                <w:numId w:val="9"/>
              </w:numPr>
              <w:rPr>
                <w:rFonts w:ascii="Times New Roman" w:hAnsi="Times New Roman"/>
                <w:noProof/>
                <w:sz w:val="20"/>
                <w:szCs w:val="20"/>
                <w:lang w:val="fr-FR"/>
              </w:rPr>
            </w:pPr>
            <w:r>
              <w:rPr>
                <w:rFonts w:ascii="Times New Roman" w:hAnsi="Times New Roman"/>
                <w:noProof/>
                <w:sz w:val="20"/>
                <w:lang w:val="fr-FR"/>
              </w:rPr>
              <w:t>Finalisation du plan d’action destiné à lutter contre le trafic de migrants, à réduire la migration irrégulière et à fournir d’autres débouchés économiques.</w:t>
            </w:r>
          </w:p>
          <w:p>
            <w:pPr>
              <w:pStyle w:val="ListParagraph"/>
              <w:numPr>
                <w:ilvl w:val="0"/>
                <w:numId w:val="9"/>
              </w:numPr>
              <w:rPr>
                <w:rFonts w:ascii="Times New Roman" w:hAnsi="Times New Roman"/>
                <w:noProof/>
                <w:sz w:val="20"/>
                <w:szCs w:val="20"/>
                <w:lang w:val="fr-FR"/>
              </w:rPr>
            </w:pPr>
            <w:r>
              <w:rPr>
                <w:rFonts w:ascii="Times New Roman" w:hAnsi="Times New Roman"/>
                <w:noProof/>
                <w:sz w:val="20"/>
                <w:lang w:val="fr-FR"/>
              </w:rPr>
              <w:t>Action d’envergure contre le trafic de migrants.</w:t>
            </w:r>
          </w:p>
          <w:p>
            <w:pPr>
              <w:pStyle w:val="ListParagraph"/>
              <w:numPr>
                <w:ilvl w:val="0"/>
                <w:numId w:val="9"/>
              </w:numPr>
              <w:rPr>
                <w:rFonts w:ascii="Times New Roman" w:hAnsi="Times New Roman"/>
                <w:noProof/>
                <w:sz w:val="20"/>
                <w:szCs w:val="20"/>
              </w:rPr>
            </w:pPr>
            <w:r>
              <w:rPr>
                <w:rFonts w:ascii="Times New Roman" w:hAnsi="Times New Roman"/>
                <w:noProof/>
                <w:sz w:val="20"/>
                <w:lang w:val="fr-FR"/>
              </w:rPr>
              <w:t xml:space="preserve">Application de mesures plus strictes pour contrôler les migrants se rendant en Libye ou en Algérie. </w:t>
            </w:r>
            <w:r>
              <w:rPr>
                <w:rFonts w:ascii="Times New Roman" w:hAnsi="Times New Roman"/>
                <w:noProof/>
                <w:sz w:val="20"/>
              </w:rPr>
              <w:t>Campagnes de sensibilisation ciblant les migrants potentiels.</w:t>
            </w:r>
          </w:p>
          <w:p>
            <w:pPr>
              <w:pStyle w:val="ListParagraph"/>
              <w:numPr>
                <w:ilvl w:val="0"/>
                <w:numId w:val="9"/>
              </w:numPr>
              <w:rPr>
                <w:rFonts w:ascii="Times New Roman" w:hAnsi="Times New Roman"/>
                <w:noProof/>
                <w:sz w:val="20"/>
                <w:szCs w:val="20"/>
                <w:lang w:val="fr-FR"/>
              </w:rPr>
            </w:pPr>
            <w:r>
              <w:rPr>
                <w:rFonts w:ascii="Times New Roman" w:hAnsi="Times New Roman"/>
                <w:noProof/>
                <w:sz w:val="20"/>
                <w:lang w:val="fr-FR"/>
              </w:rPr>
              <w:t>Renvoi à Agadez de plusieurs centaines de migrants en situation irrégulière.</w:t>
            </w:r>
          </w:p>
          <w:p>
            <w:pPr>
              <w:pStyle w:val="ListParagraph"/>
              <w:numPr>
                <w:ilvl w:val="0"/>
                <w:numId w:val="9"/>
              </w:numPr>
              <w:rPr>
                <w:rFonts w:ascii="Times New Roman" w:hAnsi="Times New Roman"/>
                <w:noProof/>
                <w:sz w:val="20"/>
                <w:szCs w:val="20"/>
                <w:lang w:val="fr-FR"/>
              </w:rPr>
            </w:pPr>
            <w:r>
              <w:rPr>
                <w:rFonts w:ascii="Times New Roman" w:hAnsi="Times New Roman"/>
                <w:noProof/>
                <w:sz w:val="20"/>
                <w:lang w:val="fr-FR"/>
              </w:rPr>
              <w:t>Augmentation sensible du nombre de retours volontaires (de 1 721 en 2015 à plus de 3 020 pour les 8 premiers mois de 2016).</w:t>
            </w:r>
          </w:p>
          <w:p>
            <w:pPr>
              <w:rPr>
                <w:rFonts w:ascii="Times New Roman" w:hAnsi="Times New Roman" w:cs="Times New Roman"/>
                <w:noProof/>
                <w:sz w:val="20"/>
                <w:szCs w:val="20"/>
                <w:lang w:val="fr-FR"/>
              </w:rPr>
            </w:pPr>
          </w:p>
          <w:p>
            <w:pPr>
              <w:rPr>
                <w:rFonts w:ascii="Times New Roman" w:hAnsi="Times New Roman" w:cs="Times New Roman"/>
                <w:i/>
                <w:noProof/>
                <w:sz w:val="20"/>
                <w:szCs w:val="20"/>
              </w:rPr>
            </w:pPr>
            <w:r>
              <w:rPr>
                <w:rFonts w:ascii="Times New Roman" w:hAnsi="Times New Roman"/>
                <w:i/>
                <w:noProof/>
                <w:sz w:val="20"/>
              </w:rPr>
              <w:t>Aide de l'UE</w:t>
            </w:r>
          </w:p>
          <w:p>
            <w:pPr>
              <w:pStyle w:val="ListParagraph"/>
              <w:numPr>
                <w:ilvl w:val="0"/>
                <w:numId w:val="9"/>
              </w:numPr>
              <w:rPr>
                <w:rFonts w:ascii="Times New Roman" w:hAnsi="Times New Roman"/>
                <w:noProof/>
                <w:sz w:val="20"/>
                <w:szCs w:val="20"/>
                <w:lang w:val="fr-FR"/>
              </w:rPr>
            </w:pPr>
            <w:r>
              <w:rPr>
                <w:rFonts w:ascii="Times New Roman" w:hAnsi="Times New Roman"/>
                <w:noProof/>
                <w:sz w:val="20"/>
                <w:lang w:val="fr-FR"/>
              </w:rPr>
              <w:t>Ouverture à Agadez d'une antenne chargée de dispenser des formations et de prodiguer des conseils (dans le cadre de la mission PSDC au Niger - EUCAP Sahel Niger).</w:t>
            </w:r>
          </w:p>
          <w:p>
            <w:pPr>
              <w:pStyle w:val="ListParagraph"/>
              <w:numPr>
                <w:ilvl w:val="0"/>
                <w:numId w:val="9"/>
              </w:numPr>
              <w:rPr>
                <w:rFonts w:ascii="Times New Roman" w:hAnsi="Times New Roman"/>
                <w:noProof/>
                <w:sz w:val="20"/>
                <w:szCs w:val="20"/>
                <w:lang w:val="fr-FR"/>
              </w:rPr>
            </w:pPr>
            <w:r>
              <w:rPr>
                <w:rFonts w:ascii="Times New Roman" w:hAnsi="Times New Roman"/>
                <w:noProof/>
                <w:sz w:val="20"/>
                <w:lang w:val="fr-FR"/>
              </w:rPr>
              <w:t>Appui à la gestion des frontières et à la lutte contre les réseaux criminels, tout en s’attaquant aux causes profondes de la migration irrégulière, notamment grâce à la création d’emplois pour les jeunes.</w:t>
            </w:r>
          </w:p>
          <w:p>
            <w:pPr>
              <w:pStyle w:val="ListParagraph"/>
              <w:numPr>
                <w:ilvl w:val="0"/>
                <w:numId w:val="9"/>
              </w:numPr>
              <w:rPr>
                <w:rFonts w:ascii="Times New Roman" w:hAnsi="Times New Roman"/>
                <w:noProof/>
                <w:sz w:val="20"/>
                <w:szCs w:val="20"/>
                <w:lang w:val="fr-FR"/>
              </w:rPr>
            </w:pPr>
            <w:r>
              <w:rPr>
                <w:rFonts w:ascii="Times New Roman" w:hAnsi="Times New Roman"/>
                <w:noProof/>
                <w:sz w:val="20"/>
                <w:lang w:val="fr-FR"/>
              </w:rPr>
              <w:t xml:space="preserve">Projets du fonds fiduciaire de l'UE pour l’Afrique portant sur un mécanisme de réponse et de </w:t>
            </w:r>
            <w:r>
              <w:rPr>
                <w:rFonts w:ascii="Times New Roman" w:hAnsi="Times New Roman"/>
                <w:noProof/>
                <w:sz w:val="20"/>
                <w:lang w:val="fr-FR"/>
              </w:rPr>
              <w:lastRenderedPageBreak/>
              <w:t>ressources pour les migrants, le renforcement des capacités et le soutien à l'économie d'Agadez.</w:t>
            </w:r>
          </w:p>
          <w:p>
            <w:pPr>
              <w:pStyle w:val="ListParagraph"/>
              <w:numPr>
                <w:ilvl w:val="0"/>
                <w:numId w:val="9"/>
              </w:numPr>
              <w:rPr>
                <w:rFonts w:ascii="Times New Roman" w:hAnsi="Times New Roman"/>
                <w:noProof/>
                <w:sz w:val="20"/>
                <w:szCs w:val="20"/>
                <w:lang w:val="fr-FR"/>
              </w:rPr>
            </w:pPr>
            <w:r>
              <w:rPr>
                <w:rFonts w:ascii="Times New Roman" w:hAnsi="Times New Roman"/>
                <w:noProof/>
                <w:sz w:val="20"/>
                <w:lang w:val="fr-FR"/>
              </w:rPr>
              <w:t>Fourniture d'une aide à plus de 12 000 migrants entre novembre 2015 et juillet 2016 par les quatre centres de transit pour migrants financés par l'UE au Niger, qui disposent de 1 500 places au total.</w:t>
            </w:r>
          </w:p>
          <w:p>
            <w:pPr>
              <w:pStyle w:val="ListParagraph"/>
              <w:numPr>
                <w:ilvl w:val="0"/>
                <w:numId w:val="9"/>
              </w:numPr>
              <w:rPr>
                <w:rFonts w:ascii="Times New Roman" w:hAnsi="Times New Roman"/>
                <w:noProof/>
                <w:sz w:val="20"/>
                <w:szCs w:val="20"/>
                <w:lang w:val="fr-FR"/>
              </w:rPr>
            </w:pPr>
            <w:r>
              <w:rPr>
                <w:rFonts w:ascii="Times New Roman" w:hAnsi="Times New Roman"/>
                <w:noProof/>
                <w:sz w:val="20"/>
                <w:lang w:val="fr-FR"/>
              </w:rPr>
              <w:t>Fourniture, dans le cadre du soutien apporté par les États membres, d’équipements essentiels destinés à assister les autorités nigériennes.</w:t>
            </w:r>
            <w:r>
              <w:rPr>
                <w:noProof/>
                <w:lang w:val="fr-FR"/>
              </w:rPr>
              <w:tab/>
            </w:r>
          </w:p>
        </w:tc>
        <w:tc>
          <w:tcPr>
            <w:tcW w:w="4749" w:type="dxa"/>
          </w:tcPr>
          <w:p>
            <w:pPr>
              <w:pStyle w:val="ListParagraph"/>
              <w:numPr>
                <w:ilvl w:val="0"/>
                <w:numId w:val="4"/>
              </w:numPr>
              <w:rPr>
                <w:rFonts w:ascii="Times New Roman" w:hAnsi="Times New Roman"/>
                <w:noProof/>
                <w:sz w:val="20"/>
                <w:szCs w:val="20"/>
                <w:lang w:val="fr-FR"/>
              </w:rPr>
            </w:pPr>
            <w:r>
              <w:rPr>
                <w:rFonts w:ascii="Times New Roman" w:hAnsi="Times New Roman"/>
                <w:noProof/>
                <w:sz w:val="20"/>
                <w:lang w:val="fr-FR"/>
              </w:rPr>
              <w:lastRenderedPageBreak/>
              <w:t>Mettre en place une agence spécialisée pour renforcer les capacités nationales d’analyse des risques, ainsi que la coopération et l’échange d’informations au niveau régional.</w:t>
            </w:r>
          </w:p>
          <w:p>
            <w:pPr>
              <w:pStyle w:val="ListParagraph"/>
              <w:numPr>
                <w:ilvl w:val="0"/>
                <w:numId w:val="4"/>
              </w:numPr>
              <w:rPr>
                <w:rFonts w:ascii="Times New Roman" w:hAnsi="Times New Roman"/>
                <w:noProof/>
                <w:sz w:val="20"/>
                <w:szCs w:val="20"/>
                <w:lang w:val="fr-FR"/>
              </w:rPr>
            </w:pPr>
            <w:r>
              <w:rPr>
                <w:rFonts w:ascii="Times New Roman" w:hAnsi="Times New Roman"/>
                <w:noProof/>
                <w:sz w:val="20"/>
                <w:lang w:val="fr-FR"/>
              </w:rPr>
              <w:t>Poursuivre la collaboration à travers le cadre de concertation et au moyen de visites à haut niveau.</w:t>
            </w:r>
          </w:p>
          <w:p>
            <w:pPr>
              <w:pStyle w:val="ListParagraph"/>
              <w:numPr>
                <w:ilvl w:val="0"/>
                <w:numId w:val="4"/>
              </w:numPr>
              <w:rPr>
                <w:rFonts w:ascii="Times New Roman" w:hAnsi="Times New Roman"/>
                <w:noProof/>
                <w:sz w:val="20"/>
                <w:szCs w:val="20"/>
                <w:lang w:val="fr-FR"/>
              </w:rPr>
            </w:pPr>
            <w:r>
              <w:rPr>
                <w:rFonts w:ascii="Times New Roman" w:hAnsi="Times New Roman"/>
                <w:noProof/>
                <w:sz w:val="20"/>
                <w:lang w:val="fr-FR"/>
              </w:rPr>
              <w:t>Faire en sorte que l’antenne d’Agadez atteigne sa pleine capacité opérationnelle et renforcer la coopération au titre de la PSDC.</w:t>
            </w:r>
          </w:p>
          <w:p>
            <w:pPr>
              <w:pStyle w:val="ListParagraph"/>
              <w:numPr>
                <w:ilvl w:val="0"/>
                <w:numId w:val="4"/>
              </w:numPr>
              <w:rPr>
                <w:rFonts w:ascii="Times New Roman" w:hAnsi="Times New Roman"/>
                <w:noProof/>
                <w:sz w:val="20"/>
                <w:szCs w:val="20"/>
                <w:lang w:val="fr-FR"/>
              </w:rPr>
            </w:pPr>
            <w:r>
              <w:rPr>
                <w:rFonts w:ascii="Times New Roman" w:hAnsi="Times New Roman"/>
                <w:noProof/>
                <w:sz w:val="20"/>
                <w:lang w:val="fr-FR"/>
              </w:rPr>
              <w:t>Dépêcher sur place l’officier de liaison «Migration» européen.</w:t>
            </w:r>
          </w:p>
          <w:p>
            <w:pPr>
              <w:pStyle w:val="ListParagraph"/>
              <w:numPr>
                <w:ilvl w:val="0"/>
                <w:numId w:val="4"/>
              </w:numPr>
              <w:rPr>
                <w:rFonts w:ascii="Times New Roman" w:hAnsi="Times New Roman"/>
                <w:noProof/>
                <w:sz w:val="20"/>
                <w:szCs w:val="20"/>
                <w:lang w:val="fr-FR"/>
              </w:rPr>
            </w:pPr>
            <w:r>
              <w:rPr>
                <w:rFonts w:ascii="Times New Roman" w:hAnsi="Times New Roman"/>
                <w:noProof/>
                <w:sz w:val="20"/>
                <w:lang w:val="fr-FR"/>
              </w:rPr>
              <w:t>Focaliser l'aide de l'UE sur l’agence spécialisée dans la lutte contre la traite des êtres humains.</w:t>
            </w:r>
          </w:p>
          <w:p>
            <w:pPr>
              <w:pStyle w:val="ListParagraph"/>
              <w:numPr>
                <w:ilvl w:val="0"/>
                <w:numId w:val="4"/>
              </w:numPr>
              <w:rPr>
                <w:rFonts w:ascii="Times New Roman" w:hAnsi="Times New Roman"/>
                <w:noProof/>
                <w:sz w:val="20"/>
                <w:szCs w:val="20"/>
                <w:lang w:val="fr-FR"/>
              </w:rPr>
            </w:pPr>
            <w:r>
              <w:rPr>
                <w:rFonts w:ascii="Times New Roman" w:hAnsi="Times New Roman"/>
                <w:noProof/>
                <w:sz w:val="20"/>
                <w:lang w:val="fr-FR"/>
              </w:rPr>
              <w:t>Soutenir les communautés et les personnes victimes de la traite des êtres humains et du trafic de migrants en proposant d’autres moyens de subsistance.</w:t>
            </w:r>
          </w:p>
          <w:p>
            <w:pPr>
              <w:pStyle w:val="ListParagraph"/>
              <w:numPr>
                <w:ilvl w:val="0"/>
                <w:numId w:val="4"/>
              </w:numPr>
              <w:rPr>
                <w:rFonts w:ascii="Times New Roman" w:hAnsi="Times New Roman"/>
                <w:noProof/>
                <w:sz w:val="20"/>
                <w:szCs w:val="20"/>
                <w:lang w:val="fr-FR"/>
              </w:rPr>
            </w:pPr>
            <w:r>
              <w:rPr>
                <w:rFonts w:ascii="Times New Roman" w:hAnsi="Times New Roman"/>
                <w:noProof/>
                <w:sz w:val="20"/>
                <w:lang w:val="fr-FR"/>
              </w:rPr>
              <w:t>Soutenir la mise en œuvre du plan d’action destiné à lutter contre le trafic de migrants dans la région d’Agadez.</w:t>
            </w:r>
          </w:p>
          <w:p>
            <w:pPr>
              <w:pStyle w:val="ListParagraph"/>
              <w:numPr>
                <w:ilvl w:val="0"/>
                <w:numId w:val="4"/>
              </w:numPr>
              <w:rPr>
                <w:rFonts w:ascii="Times New Roman" w:hAnsi="Times New Roman"/>
                <w:noProof/>
                <w:sz w:val="20"/>
                <w:szCs w:val="20"/>
                <w:lang w:val="fr-FR"/>
              </w:rPr>
            </w:pPr>
            <w:r>
              <w:rPr>
                <w:rFonts w:ascii="Times New Roman" w:hAnsi="Times New Roman"/>
                <w:noProof/>
                <w:sz w:val="20"/>
                <w:lang w:val="fr-FR"/>
              </w:rPr>
              <w:t>Renforcer l’assistance financière à la réintégration des migrants de retour et aux communautés d’accueil.</w:t>
            </w:r>
          </w:p>
          <w:p>
            <w:pPr>
              <w:pStyle w:val="ListParagraph"/>
              <w:numPr>
                <w:ilvl w:val="0"/>
                <w:numId w:val="4"/>
              </w:numPr>
              <w:rPr>
                <w:rFonts w:ascii="Times New Roman" w:hAnsi="Times New Roman"/>
                <w:noProof/>
                <w:sz w:val="20"/>
                <w:szCs w:val="20"/>
                <w:lang w:val="fr-FR"/>
              </w:rPr>
            </w:pPr>
            <w:r>
              <w:rPr>
                <w:rFonts w:ascii="Times New Roman" w:hAnsi="Times New Roman"/>
                <w:noProof/>
                <w:sz w:val="20"/>
                <w:lang w:val="fr-FR"/>
              </w:rPr>
              <w:t>Continuer à dispenser des formations et à livrer des équipements.</w:t>
            </w:r>
          </w:p>
          <w:p>
            <w:pPr>
              <w:rPr>
                <w:rFonts w:ascii="Times New Roman" w:hAnsi="Times New Roman" w:cs="Times New Roman"/>
                <w:noProof/>
                <w:sz w:val="20"/>
                <w:szCs w:val="20"/>
                <w:lang w:val="fr-FR"/>
              </w:rPr>
            </w:pPr>
          </w:p>
          <w:p>
            <w:pPr>
              <w:rPr>
                <w:rFonts w:ascii="Times New Roman" w:hAnsi="Times New Roman" w:cs="Times New Roman"/>
                <w:noProof/>
                <w:sz w:val="20"/>
                <w:szCs w:val="20"/>
                <w:lang w:val="fr-FR"/>
              </w:rPr>
            </w:pPr>
          </w:p>
        </w:tc>
      </w:tr>
    </w:tbl>
    <w:p>
      <w:pPr>
        <w:rPr>
          <w:noProof/>
        </w:rPr>
      </w:pPr>
    </w:p>
    <w:tbl>
      <w:tblPr>
        <w:tblStyle w:val="TableGrid"/>
        <w:tblW w:w="9498" w:type="dxa"/>
        <w:tblLook w:val="04A0" w:firstRow="1" w:lastRow="0" w:firstColumn="1" w:lastColumn="0" w:noHBand="0" w:noVBand="1"/>
      </w:tblPr>
      <w:tblGrid>
        <w:gridCol w:w="4749"/>
        <w:gridCol w:w="4749"/>
      </w:tblGrid>
      <w:tr>
        <w:trPr>
          <w:trHeight w:val="264"/>
        </w:trPr>
        <w:tc>
          <w:tcPr>
            <w:tcW w:w="9498" w:type="dxa"/>
            <w:gridSpan w:val="2"/>
            <w:shd w:val="clear" w:color="auto" w:fill="D9D9D9" w:themeFill="background1" w:themeFillShade="D9"/>
          </w:tcPr>
          <w:p>
            <w:pPr>
              <w:jc w:val="center"/>
              <w:rPr>
                <w:rFonts w:ascii="Times New Roman" w:hAnsi="Times New Roman" w:cs="Times New Roman"/>
                <w:b/>
                <w:noProof/>
                <w:sz w:val="28"/>
                <w:szCs w:val="28"/>
              </w:rPr>
            </w:pPr>
            <w:r>
              <w:rPr>
                <w:rFonts w:ascii="Times New Roman" w:hAnsi="Times New Roman"/>
                <w:b/>
                <w:noProof/>
                <w:sz w:val="28"/>
              </w:rPr>
              <w:t>Nigeria</w:t>
            </w:r>
          </w:p>
        </w:tc>
      </w:tr>
      <w:tr>
        <w:trPr>
          <w:trHeight w:val="543"/>
        </w:trPr>
        <w:tc>
          <w:tcPr>
            <w:tcW w:w="4749" w:type="dxa"/>
            <w:shd w:val="clear" w:color="auto" w:fill="F2F2F2" w:themeFill="background1" w:themeFillShade="F2"/>
          </w:tcPr>
          <w:p>
            <w:pPr>
              <w:jc w:val="center"/>
              <w:rPr>
                <w:rFonts w:ascii="Times New Roman" w:hAnsi="Times New Roman" w:cs="Times New Roman"/>
                <w:b/>
                <w:noProof/>
                <w:sz w:val="24"/>
                <w:szCs w:val="24"/>
                <w:lang w:val="fr-FR"/>
              </w:rPr>
            </w:pPr>
            <w:r>
              <w:rPr>
                <w:rFonts w:ascii="Times New Roman" w:hAnsi="Times New Roman"/>
                <w:b/>
                <w:noProof/>
                <w:sz w:val="24"/>
                <w:lang w:val="fr-FR"/>
              </w:rPr>
              <w:t>Actions et progrès juin-octobre 2016</w:t>
            </w:r>
          </w:p>
        </w:tc>
        <w:tc>
          <w:tcPr>
            <w:tcW w:w="4749" w:type="dxa"/>
            <w:shd w:val="clear" w:color="auto" w:fill="F2F2F2" w:themeFill="background1" w:themeFillShade="F2"/>
          </w:tcPr>
          <w:p>
            <w:pPr>
              <w:jc w:val="center"/>
              <w:rPr>
                <w:rFonts w:ascii="Times New Roman" w:hAnsi="Times New Roman" w:cs="Times New Roman"/>
                <w:b/>
                <w:noProof/>
                <w:sz w:val="24"/>
                <w:szCs w:val="24"/>
              </w:rPr>
            </w:pPr>
            <w:r>
              <w:rPr>
                <w:rFonts w:ascii="Times New Roman" w:hAnsi="Times New Roman"/>
                <w:b/>
                <w:noProof/>
                <w:sz w:val="24"/>
              </w:rPr>
              <w:t>Prochaines étapes</w:t>
            </w:r>
          </w:p>
        </w:tc>
      </w:tr>
      <w:tr>
        <w:trPr>
          <w:trHeight w:val="279"/>
        </w:trPr>
        <w:tc>
          <w:tcPr>
            <w:tcW w:w="4749" w:type="dxa"/>
          </w:tcPr>
          <w:p>
            <w:pPr>
              <w:rPr>
                <w:rFonts w:ascii="Times New Roman" w:hAnsi="Times New Roman" w:cs="Times New Roman"/>
                <w:i/>
                <w:noProof/>
                <w:sz w:val="20"/>
                <w:szCs w:val="20"/>
              </w:rPr>
            </w:pPr>
            <w:r>
              <w:rPr>
                <w:rFonts w:ascii="Times New Roman" w:hAnsi="Times New Roman"/>
                <w:i/>
                <w:noProof/>
                <w:sz w:val="20"/>
              </w:rPr>
              <w:t>Contacts à haut niveau</w:t>
            </w:r>
          </w:p>
          <w:p>
            <w:pPr>
              <w:pStyle w:val="ListParagraph"/>
              <w:numPr>
                <w:ilvl w:val="0"/>
                <w:numId w:val="10"/>
              </w:numPr>
              <w:ind w:left="426"/>
              <w:rPr>
                <w:rFonts w:ascii="Times New Roman" w:hAnsi="Times New Roman"/>
                <w:noProof/>
                <w:sz w:val="20"/>
                <w:szCs w:val="20"/>
                <w:lang w:val="fr-FR"/>
              </w:rPr>
            </w:pPr>
            <w:r>
              <w:rPr>
                <w:rFonts w:ascii="Times New Roman" w:hAnsi="Times New Roman"/>
                <w:noProof/>
                <w:sz w:val="20"/>
                <w:lang w:val="fr-FR"/>
              </w:rPr>
              <w:t>Visite du ministre italien des affaires étrangères (août)</w:t>
            </w:r>
          </w:p>
          <w:p>
            <w:pPr>
              <w:pStyle w:val="ListParagraph"/>
              <w:numPr>
                <w:ilvl w:val="0"/>
                <w:numId w:val="10"/>
              </w:numPr>
              <w:ind w:left="426"/>
              <w:rPr>
                <w:rFonts w:ascii="Times New Roman" w:hAnsi="Times New Roman"/>
                <w:noProof/>
                <w:sz w:val="20"/>
                <w:szCs w:val="20"/>
                <w:lang w:val="fr-FR"/>
              </w:rPr>
            </w:pPr>
            <w:r>
              <w:rPr>
                <w:rFonts w:ascii="Times New Roman" w:hAnsi="Times New Roman"/>
                <w:noProof/>
                <w:sz w:val="20"/>
                <w:lang w:val="fr-FR"/>
              </w:rPr>
              <w:t>Rencontres bilatérales avec des représentants de plusieurs États membres de l’UE en marge de l'Assemblée générale des Nations unies (septembre)</w:t>
            </w:r>
          </w:p>
          <w:p>
            <w:pPr>
              <w:pStyle w:val="ListParagraph"/>
              <w:numPr>
                <w:ilvl w:val="0"/>
                <w:numId w:val="10"/>
              </w:numPr>
              <w:ind w:left="426"/>
              <w:rPr>
                <w:rFonts w:ascii="Times New Roman" w:hAnsi="Times New Roman"/>
                <w:noProof/>
                <w:sz w:val="20"/>
                <w:szCs w:val="20"/>
                <w:lang w:val="fr-FR"/>
              </w:rPr>
            </w:pPr>
            <w:r>
              <w:rPr>
                <w:rFonts w:ascii="Times New Roman" w:hAnsi="Times New Roman"/>
                <w:noProof/>
                <w:sz w:val="20"/>
                <w:lang w:val="fr-FR"/>
              </w:rPr>
              <w:t>Visite du ministre allemand des affaires étrangères (octobre)</w:t>
            </w:r>
          </w:p>
          <w:p>
            <w:pPr>
              <w:pStyle w:val="ListParagraph"/>
              <w:ind w:left="360"/>
              <w:rPr>
                <w:rFonts w:ascii="Times New Roman" w:hAnsi="Times New Roman"/>
                <w:noProof/>
                <w:sz w:val="20"/>
                <w:szCs w:val="20"/>
                <w:lang w:val="fr-FR"/>
              </w:rPr>
            </w:pPr>
          </w:p>
          <w:p>
            <w:pPr>
              <w:rPr>
                <w:rFonts w:ascii="Times New Roman" w:hAnsi="Times New Roman" w:cs="Times New Roman"/>
                <w:i/>
                <w:noProof/>
                <w:sz w:val="20"/>
                <w:szCs w:val="20"/>
                <w:lang w:val="fr-FR"/>
              </w:rPr>
            </w:pPr>
            <w:r>
              <w:rPr>
                <w:rFonts w:ascii="Times New Roman" w:hAnsi="Times New Roman"/>
                <w:i/>
                <w:noProof/>
                <w:sz w:val="20"/>
                <w:lang w:val="fr-FR"/>
              </w:rPr>
              <w:t>Principaux progrès accomplis par les autorités nigérianes</w:t>
            </w:r>
          </w:p>
          <w:p>
            <w:pPr>
              <w:pStyle w:val="ListParagraph"/>
              <w:numPr>
                <w:ilvl w:val="0"/>
                <w:numId w:val="3"/>
              </w:numPr>
              <w:rPr>
                <w:rFonts w:ascii="Times New Roman" w:hAnsi="Times New Roman"/>
                <w:noProof/>
                <w:sz w:val="20"/>
                <w:szCs w:val="20"/>
                <w:lang w:val="fr-FR"/>
              </w:rPr>
            </w:pPr>
            <w:r>
              <w:rPr>
                <w:rFonts w:ascii="Times New Roman" w:hAnsi="Times New Roman"/>
                <w:noProof/>
                <w:sz w:val="20"/>
                <w:lang w:val="fr-FR"/>
              </w:rPr>
              <w:t>Nomination de points de contact dans des domaines tels que la réadmission et le trafic de migrants.</w:t>
            </w:r>
          </w:p>
          <w:p>
            <w:pPr>
              <w:pStyle w:val="ListParagraph"/>
              <w:numPr>
                <w:ilvl w:val="0"/>
                <w:numId w:val="3"/>
              </w:numPr>
              <w:rPr>
                <w:rFonts w:ascii="Times New Roman" w:hAnsi="Times New Roman"/>
                <w:noProof/>
                <w:sz w:val="20"/>
                <w:szCs w:val="20"/>
                <w:lang w:val="fr-FR"/>
              </w:rPr>
            </w:pPr>
            <w:r>
              <w:rPr>
                <w:rFonts w:ascii="Times New Roman" w:hAnsi="Times New Roman"/>
                <w:noProof/>
                <w:sz w:val="20"/>
                <w:lang w:val="fr-FR"/>
              </w:rPr>
              <w:t>Mesures visant à renforcer les bonnes pratiques lors des opérations conjointes de retour.</w:t>
            </w:r>
          </w:p>
          <w:p>
            <w:pPr>
              <w:pStyle w:val="ListParagraph"/>
              <w:numPr>
                <w:ilvl w:val="0"/>
                <w:numId w:val="3"/>
              </w:numPr>
              <w:rPr>
                <w:rFonts w:ascii="Times New Roman" w:hAnsi="Times New Roman"/>
                <w:noProof/>
                <w:sz w:val="20"/>
                <w:szCs w:val="20"/>
                <w:lang w:val="fr-FR"/>
              </w:rPr>
            </w:pPr>
            <w:r>
              <w:rPr>
                <w:rFonts w:ascii="Times New Roman" w:hAnsi="Times New Roman"/>
                <w:noProof/>
                <w:sz w:val="20"/>
                <w:lang w:val="fr-FR"/>
              </w:rPr>
              <w:t>Participation du Nigeria à une manifestation sur le retour organisée par le corps européen de garde-frontières et de garde-côtes.</w:t>
            </w:r>
          </w:p>
          <w:p>
            <w:pPr>
              <w:pStyle w:val="ListParagraph"/>
              <w:numPr>
                <w:ilvl w:val="0"/>
                <w:numId w:val="3"/>
              </w:numPr>
              <w:rPr>
                <w:rFonts w:ascii="Times New Roman" w:hAnsi="Times New Roman"/>
                <w:noProof/>
                <w:sz w:val="20"/>
                <w:szCs w:val="20"/>
                <w:lang w:val="fr-FR"/>
              </w:rPr>
            </w:pPr>
            <w:r>
              <w:rPr>
                <w:rFonts w:ascii="Times New Roman" w:hAnsi="Times New Roman"/>
                <w:noProof/>
                <w:sz w:val="20"/>
                <w:lang w:val="fr-FR"/>
              </w:rPr>
              <w:t>Missions d’identification dans les États membres prévues pour novembre.</w:t>
            </w:r>
          </w:p>
          <w:p>
            <w:pPr>
              <w:spacing w:after="120"/>
              <w:jc w:val="both"/>
              <w:rPr>
                <w:rFonts w:ascii="Times New Roman" w:eastAsia="Calibri" w:hAnsi="Times New Roman" w:cs="Times New Roman"/>
                <w:noProof/>
                <w:sz w:val="20"/>
                <w:szCs w:val="20"/>
                <w:lang w:val="fr-FR"/>
              </w:rPr>
            </w:pPr>
          </w:p>
          <w:p>
            <w:pPr>
              <w:spacing w:after="120"/>
              <w:jc w:val="both"/>
              <w:rPr>
                <w:rFonts w:ascii="Times New Roman" w:hAnsi="Times New Roman" w:cs="Times New Roman"/>
                <w:i/>
                <w:noProof/>
                <w:sz w:val="20"/>
                <w:szCs w:val="20"/>
              </w:rPr>
            </w:pPr>
            <w:r>
              <w:rPr>
                <w:rFonts w:ascii="Times New Roman" w:hAnsi="Times New Roman"/>
                <w:i/>
                <w:noProof/>
                <w:sz w:val="20"/>
              </w:rPr>
              <w:t>Aide de l'UE</w:t>
            </w:r>
          </w:p>
          <w:p>
            <w:pPr>
              <w:pStyle w:val="ListParagraph"/>
              <w:numPr>
                <w:ilvl w:val="0"/>
                <w:numId w:val="3"/>
              </w:numPr>
              <w:rPr>
                <w:rFonts w:ascii="Times New Roman" w:hAnsi="Times New Roman"/>
                <w:noProof/>
                <w:sz w:val="20"/>
                <w:szCs w:val="20"/>
                <w:lang w:val="fr-FR"/>
              </w:rPr>
            </w:pPr>
            <w:r>
              <w:rPr>
                <w:rFonts w:ascii="Times New Roman" w:hAnsi="Times New Roman"/>
                <w:noProof/>
                <w:sz w:val="20"/>
                <w:lang w:val="fr-FR"/>
              </w:rPr>
              <w:t>Mobilisation, par le fonds fiduciaire de l'UE pour l’Afrique, de projets portant sur des questions spécifiques de gestion des migrations, ainsi que sur les causes profondes des migrations irrégulières. Élaboration en cours d'un projet contribuant à améliorer la gestion des migrations et à faciliter le retour ainsi qu’une réintégration durable.</w:t>
            </w:r>
          </w:p>
          <w:p>
            <w:pPr>
              <w:rPr>
                <w:rFonts w:ascii="Times New Roman" w:hAnsi="Times New Roman" w:cs="Times New Roman"/>
                <w:noProof/>
                <w:sz w:val="20"/>
                <w:szCs w:val="20"/>
                <w:lang w:val="fr-FR"/>
              </w:rPr>
            </w:pPr>
          </w:p>
        </w:tc>
        <w:tc>
          <w:tcPr>
            <w:tcW w:w="4749" w:type="dxa"/>
          </w:tcPr>
          <w:p>
            <w:pPr>
              <w:pStyle w:val="ListParagraph"/>
              <w:numPr>
                <w:ilvl w:val="0"/>
                <w:numId w:val="3"/>
              </w:numPr>
              <w:rPr>
                <w:rFonts w:ascii="Times New Roman" w:hAnsi="Times New Roman"/>
                <w:noProof/>
                <w:sz w:val="20"/>
                <w:szCs w:val="20"/>
                <w:lang w:val="fr-FR"/>
              </w:rPr>
            </w:pPr>
            <w:r>
              <w:rPr>
                <w:rFonts w:ascii="Times New Roman" w:hAnsi="Times New Roman"/>
                <w:noProof/>
                <w:sz w:val="20"/>
                <w:lang w:val="fr-FR"/>
              </w:rPr>
              <w:t>Faire progresser les négociations en vue de la conclusion rapide d’un accord de réadmission.</w:t>
            </w:r>
          </w:p>
          <w:p>
            <w:pPr>
              <w:pStyle w:val="ListParagraph"/>
              <w:numPr>
                <w:ilvl w:val="0"/>
                <w:numId w:val="3"/>
              </w:numPr>
              <w:rPr>
                <w:rFonts w:ascii="Times New Roman" w:hAnsi="Times New Roman"/>
                <w:noProof/>
                <w:sz w:val="20"/>
                <w:szCs w:val="20"/>
                <w:lang w:val="fr-FR"/>
              </w:rPr>
            </w:pPr>
            <w:r>
              <w:rPr>
                <w:rFonts w:ascii="Times New Roman" w:hAnsi="Times New Roman"/>
                <w:noProof/>
                <w:sz w:val="20"/>
                <w:lang w:val="fr-FR"/>
              </w:rPr>
              <w:t>Continuer à améliorer la coopération opérationnelle en matière de retour et de réadmission, y compris au moyen de missions d’identification.</w:t>
            </w:r>
          </w:p>
          <w:p>
            <w:pPr>
              <w:pStyle w:val="ListParagraph"/>
              <w:numPr>
                <w:ilvl w:val="0"/>
                <w:numId w:val="3"/>
              </w:numPr>
              <w:rPr>
                <w:rFonts w:ascii="Times New Roman" w:hAnsi="Times New Roman"/>
                <w:noProof/>
                <w:sz w:val="20"/>
                <w:szCs w:val="20"/>
                <w:lang w:val="fr-FR"/>
              </w:rPr>
            </w:pPr>
            <w:r>
              <w:rPr>
                <w:rFonts w:ascii="Times New Roman" w:hAnsi="Times New Roman"/>
                <w:noProof/>
                <w:sz w:val="20"/>
                <w:lang w:val="fr-FR"/>
              </w:rPr>
              <w:t>Renforcer la lutte contre le trafic de migrants et la traite des êtres humains.</w:t>
            </w:r>
          </w:p>
          <w:p>
            <w:pPr>
              <w:pStyle w:val="ListParagraph"/>
              <w:numPr>
                <w:ilvl w:val="0"/>
                <w:numId w:val="3"/>
              </w:numPr>
              <w:rPr>
                <w:rFonts w:ascii="Times New Roman" w:hAnsi="Times New Roman"/>
                <w:noProof/>
                <w:sz w:val="20"/>
                <w:szCs w:val="20"/>
                <w:lang w:val="fr-FR"/>
              </w:rPr>
            </w:pPr>
            <w:r>
              <w:rPr>
                <w:rFonts w:ascii="Times New Roman" w:hAnsi="Times New Roman"/>
                <w:noProof/>
                <w:sz w:val="20"/>
                <w:lang w:val="fr-FR"/>
              </w:rPr>
              <w:t>Renforcer les initiatives en matière de coopération entre les entreprises, également dans le but de s’attaquer aux causes profondes.</w:t>
            </w:r>
          </w:p>
          <w:p>
            <w:pPr>
              <w:pStyle w:val="ListParagraph"/>
              <w:numPr>
                <w:ilvl w:val="0"/>
                <w:numId w:val="3"/>
              </w:numPr>
              <w:rPr>
                <w:rFonts w:ascii="Times New Roman" w:hAnsi="Times New Roman"/>
                <w:noProof/>
                <w:sz w:val="20"/>
                <w:szCs w:val="20"/>
                <w:lang w:val="fr-FR"/>
              </w:rPr>
            </w:pPr>
            <w:r>
              <w:rPr>
                <w:rFonts w:ascii="Times New Roman" w:hAnsi="Times New Roman"/>
                <w:noProof/>
                <w:sz w:val="20"/>
                <w:lang w:val="fr-FR"/>
              </w:rPr>
              <w:t>Dépêcher sur place l’officier de liaison «Migration» européen.</w:t>
            </w:r>
          </w:p>
          <w:p>
            <w:pPr>
              <w:pStyle w:val="ListParagraph"/>
              <w:numPr>
                <w:ilvl w:val="0"/>
                <w:numId w:val="3"/>
              </w:numPr>
              <w:rPr>
                <w:rFonts w:ascii="Times New Roman" w:hAnsi="Times New Roman"/>
                <w:noProof/>
                <w:sz w:val="20"/>
                <w:szCs w:val="20"/>
                <w:lang w:val="fr-FR"/>
              </w:rPr>
            </w:pPr>
            <w:r>
              <w:rPr>
                <w:rFonts w:ascii="Times New Roman" w:hAnsi="Times New Roman"/>
                <w:noProof/>
                <w:sz w:val="20"/>
                <w:lang w:val="fr-FR"/>
              </w:rPr>
              <w:t>Mettre en place une plateforme de coopération de l’UE destinée à lutter contre le trafic de migrants.</w:t>
            </w:r>
          </w:p>
          <w:p>
            <w:pPr>
              <w:pStyle w:val="ListParagraph"/>
              <w:numPr>
                <w:ilvl w:val="0"/>
                <w:numId w:val="3"/>
              </w:numPr>
              <w:rPr>
                <w:rFonts w:ascii="Times New Roman" w:hAnsi="Times New Roman"/>
                <w:noProof/>
                <w:sz w:val="20"/>
                <w:szCs w:val="20"/>
                <w:lang w:val="fr-FR"/>
              </w:rPr>
            </w:pPr>
            <w:r>
              <w:rPr>
                <w:rFonts w:ascii="Times New Roman" w:hAnsi="Times New Roman"/>
                <w:noProof/>
                <w:sz w:val="20"/>
                <w:lang w:val="fr-FR"/>
              </w:rPr>
              <w:t>Exploiter les occasions qui s'offrent en matière de filières de migration légales, ainsi que les possibilités offertes par ERASMUS et d’autres politiques et outils.</w:t>
            </w:r>
          </w:p>
          <w:p>
            <w:pPr>
              <w:rPr>
                <w:rFonts w:ascii="Times New Roman" w:hAnsi="Times New Roman" w:cs="Times New Roman"/>
                <w:noProof/>
                <w:sz w:val="20"/>
                <w:szCs w:val="20"/>
                <w:lang w:val="fr-FR"/>
              </w:rPr>
            </w:pPr>
          </w:p>
        </w:tc>
      </w:tr>
    </w:tbl>
    <w:p>
      <w:pPr>
        <w:rPr>
          <w:noProof/>
        </w:rPr>
      </w:pPr>
    </w:p>
    <w:p>
      <w:pPr>
        <w:rPr>
          <w:noProof/>
        </w:rPr>
      </w:pPr>
      <w:r>
        <w:rPr>
          <w:noProof/>
        </w:rPr>
        <w:br w:type="page"/>
      </w:r>
    </w:p>
    <w:tbl>
      <w:tblPr>
        <w:tblStyle w:val="TableGrid"/>
        <w:tblW w:w="9498" w:type="dxa"/>
        <w:tblLook w:val="04A0" w:firstRow="1" w:lastRow="0" w:firstColumn="1" w:lastColumn="0" w:noHBand="0" w:noVBand="1"/>
      </w:tblPr>
      <w:tblGrid>
        <w:gridCol w:w="4749"/>
        <w:gridCol w:w="4749"/>
      </w:tblGrid>
      <w:tr>
        <w:trPr>
          <w:trHeight w:val="264"/>
        </w:trPr>
        <w:tc>
          <w:tcPr>
            <w:tcW w:w="9498" w:type="dxa"/>
            <w:gridSpan w:val="2"/>
            <w:shd w:val="clear" w:color="auto" w:fill="D9D9D9" w:themeFill="background1" w:themeFillShade="D9"/>
          </w:tcPr>
          <w:p>
            <w:pPr>
              <w:jc w:val="center"/>
              <w:rPr>
                <w:rFonts w:ascii="Times New Roman" w:hAnsi="Times New Roman" w:cs="Times New Roman"/>
                <w:b/>
                <w:noProof/>
                <w:sz w:val="28"/>
                <w:szCs w:val="28"/>
              </w:rPr>
            </w:pPr>
            <w:r>
              <w:rPr>
                <w:rFonts w:ascii="Times New Roman" w:hAnsi="Times New Roman"/>
                <w:b/>
                <w:noProof/>
                <w:sz w:val="28"/>
              </w:rPr>
              <w:t>Sénégal</w:t>
            </w:r>
          </w:p>
        </w:tc>
      </w:tr>
      <w:tr>
        <w:trPr>
          <w:trHeight w:val="556"/>
        </w:trPr>
        <w:tc>
          <w:tcPr>
            <w:tcW w:w="4749" w:type="dxa"/>
            <w:shd w:val="clear" w:color="auto" w:fill="F2F2F2" w:themeFill="background1" w:themeFillShade="F2"/>
          </w:tcPr>
          <w:p>
            <w:pPr>
              <w:jc w:val="center"/>
              <w:rPr>
                <w:rFonts w:ascii="Times New Roman" w:hAnsi="Times New Roman" w:cs="Times New Roman"/>
                <w:b/>
                <w:noProof/>
                <w:sz w:val="24"/>
                <w:szCs w:val="24"/>
                <w:lang w:val="fr-FR"/>
              </w:rPr>
            </w:pPr>
            <w:r>
              <w:rPr>
                <w:rFonts w:ascii="Times New Roman" w:hAnsi="Times New Roman"/>
                <w:b/>
                <w:noProof/>
                <w:sz w:val="24"/>
                <w:lang w:val="fr-FR"/>
              </w:rPr>
              <w:t>Actions et progrès juin-octobre 2016</w:t>
            </w:r>
          </w:p>
        </w:tc>
        <w:tc>
          <w:tcPr>
            <w:tcW w:w="4749" w:type="dxa"/>
            <w:shd w:val="clear" w:color="auto" w:fill="F2F2F2" w:themeFill="background1" w:themeFillShade="F2"/>
          </w:tcPr>
          <w:p>
            <w:pPr>
              <w:jc w:val="center"/>
              <w:rPr>
                <w:rFonts w:ascii="Times New Roman" w:hAnsi="Times New Roman" w:cs="Times New Roman"/>
                <w:b/>
                <w:noProof/>
                <w:sz w:val="24"/>
                <w:szCs w:val="24"/>
              </w:rPr>
            </w:pPr>
            <w:r>
              <w:rPr>
                <w:rFonts w:ascii="Times New Roman" w:hAnsi="Times New Roman"/>
                <w:b/>
                <w:noProof/>
                <w:sz w:val="24"/>
              </w:rPr>
              <w:t>Prochaines étapes</w:t>
            </w:r>
          </w:p>
        </w:tc>
      </w:tr>
      <w:tr>
        <w:trPr>
          <w:trHeight w:val="264"/>
        </w:trPr>
        <w:tc>
          <w:tcPr>
            <w:tcW w:w="4749" w:type="dxa"/>
          </w:tcPr>
          <w:p>
            <w:pPr>
              <w:rPr>
                <w:rFonts w:ascii="Times New Roman" w:hAnsi="Times New Roman" w:cs="Times New Roman"/>
                <w:i/>
                <w:noProof/>
                <w:sz w:val="20"/>
                <w:szCs w:val="20"/>
              </w:rPr>
            </w:pPr>
            <w:r>
              <w:rPr>
                <w:rFonts w:ascii="Times New Roman" w:hAnsi="Times New Roman"/>
                <w:i/>
                <w:noProof/>
                <w:sz w:val="20"/>
              </w:rPr>
              <w:t>Contacts à haut niveau</w:t>
            </w:r>
          </w:p>
          <w:p>
            <w:pPr>
              <w:pStyle w:val="ListParagraph"/>
              <w:numPr>
                <w:ilvl w:val="0"/>
                <w:numId w:val="11"/>
              </w:numPr>
              <w:ind w:left="360"/>
              <w:rPr>
                <w:rFonts w:ascii="Times New Roman" w:hAnsi="Times New Roman"/>
                <w:noProof/>
                <w:sz w:val="20"/>
                <w:szCs w:val="20"/>
                <w:lang w:val="fr-FR"/>
              </w:rPr>
            </w:pPr>
            <w:r>
              <w:rPr>
                <w:rFonts w:ascii="Times New Roman" w:hAnsi="Times New Roman"/>
                <w:noProof/>
                <w:sz w:val="20"/>
                <w:lang w:val="fr-FR"/>
              </w:rPr>
              <w:t>Visite du commissaire Avramopoulos (juillet)</w:t>
            </w:r>
          </w:p>
          <w:p>
            <w:pPr>
              <w:pStyle w:val="ListParagraph"/>
              <w:numPr>
                <w:ilvl w:val="0"/>
                <w:numId w:val="11"/>
              </w:numPr>
              <w:ind w:left="360"/>
              <w:rPr>
                <w:rFonts w:ascii="Times New Roman" w:hAnsi="Times New Roman"/>
                <w:noProof/>
                <w:sz w:val="20"/>
                <w:szCs w:val="20"/>
                <w:lang w:val="fr-FR"/>
              </w:rPr>
            </w:pPr>
            <w:r>
              <w:rPr>
                <w:rFonts w:ascii="Times New Roman" w:hAnsi="Times New Roman"/>
                <w:noProof/>
                <w:sz w:val="20"/>
                <w:lang w:val="fr-FR"/>
              </w:rPr>
              <w:t>Visite du ministre allemand de la coopération économique et du développement (août)</w:t>
            </w:r>
          </w:p>
          <w:p>
            <w:pPr>
              <w:pStyle w:val="ListParagraph"/>
              <w:numPr>
                <w:ilvl w:val="0"/>
                <w:numId w:val="11"/>
              </w:numPr>
              <w:ind w:left="360"/>
              <w:rPr>
                <w:rFonts w:ascii="Times New Roman" w:hAnsi="Times New Roman"/>
                <w:noProof/>
                <w:sz w:val="20"/>
                <w:szCs w:val="20"/>
                <w:lang w:val="fr-FR"/>
              </w:rPr>
            </w:pPr>
            <w:r>
              <w:rPr>
                <w:rFonts w:ascii="Times New Roman" w:hAnsi="Times New Roman"/>
                <w:noProof/>
                <w:sz w:val="20"/>
                <w:lang w:val="fr-FR"/>
              </w:rPr>
              <w:t>Rencontres bilatérales avec des représentants de plusieurs États membres de l’UE en marge de l'Assemblée générale des Nations unies (septembre)</w:t>
            </w:r>
          </w:p>
          <w:p>
            <w:pPr>
              <w:pStyle w:val="ListParagraph"/>
              <w:numPr>
                <w:ilvl w:val="0"/>
                <w:numId w:val="11"/>
              </w:numPr>
              <w:ind w:left="360"/>
              <w:rPr>
                <w:rFonts w:ascii="Times New Roman" w:hAnsi="Times New Roman"/>
                <w:noProof/>
                <w:sz w:val="20"/>
                <w:szCs w:val="20"/>
                <w:lang w:val="fr-FR"/>
              </w:rPr>
            </w:pPr>
            <w:r>
              <w:rPr>
                <w:rFonts w:ascii="Times New Roman" w:hAnsi="Times New Roman"/>
                <w:noProof/>
                <w:sz w:val="20"/>
                <w:lang w:val="fr-FR"/>
              </w:rPr>
              <w:t>Visite du ministre français de l’intérieur (octobre)</w:t>
            </w:r>
          </w:p>
          <w:p>
            <w:pPr>
              <w:pStyle w:val="ListParagraph"/>
              <w:ind w:left="360"/>
              <w:rPr>
                <w:rFonts w:ascii="Times New Roman" w:hAnsi="Times New Roman"/>
                <w:noProof/>
                <w:sz w:val="20"/>
                <w:szCs w:val="20"/>
                <w:lang w:val="fr-FR"/>
              </w:rPr>
            </w:pPr>
          </w:p>
          <w:p>
            <w:pPr>
              <w:rPr>
                <w:rFonts w:ascii="Times New Roman" w:hAnsi="Times New Roman" w:cs="Times New Roman"/>
                <w:i/>
                <w:noProof/>
                <w:sz w:val="20"/>
                <w:szCs w:val="20"/>
                <w:lang w:val="fr-FR"/>
              </w:rPr>
            </w:pPr>
            <w:r>
              <w:rPr>
                <w:rFonts w:ascii="Times New Roman" w:hAnsi="Times New Roman"/>
                <w:i/>
                <w:noProof/>
                <w:sz w:val="20"/>
                <w:lang w:val="fr-FR"/>
              </w:rPr>
              <w:t>Principaux progrès accomplis par les autorités sénégalaises</w:t>
            </w:r>
          </w:p>
          <w:p>
            <w:pPr>
              <w:pStyle w:val="ListParagraph"/>
              <w:numPr>
                <w:ilvl w:val="0"/>
                <w:numId w:val="11"/>
              </w:numPr>
              <w:ind w:left="360"/>
              <w:rPr>
                <w:rFonts w:ascii="Times New Roman" w:hAnsi="Times New Roman"/>
                <w:noProof/>
                <w:sz w:val="20"/>
                <w:szCs w:val="20"/>
                <w:lang w:val="fr-FR"/>
              </w:rPr>
            </w:pPr>
            <w:r>
              <w:rPr>
                <w:rFonts w:ascii="Times New Roman" w:hAnsi="Times New Roman"/>
                <w:noProof/>
                <w:sz w:val="20"/>
                <w:lang w:val="fr-FR"/>
              </w:rPr>
              <w:t>Des négociations entre le corps européen de garde-frontières et de garde-côtes et les autorités sénégalaises concernant une amélioration des modalités de travail en matière de retours sont bien avancées.</w:t>
            </w:r>
          </w:p>
          <w:p>
            <w:pPr>
              <w:pStyle w:val="ListParagraph"/>
              <w:numPr>
                <w:ilvl w:val="0"/>
                <w:numId w:val="11"/>
              </w:numPr>
              <w:ind w:left="360"/>
              <w:rPr>
                <w:rFonts w:ascii="Times New Roman" w:hAnsi="Times New Roman"/>
                <w:noProof/>
                <w:sz w:val="20"/>
                <w:szCs w:val="20"/>
                <w:lang w:val="fr-FR"/>
              </w:rPr>
            </w:pPr>
            <w:r>
              <w:rPr>
                <w:rFonts w:ascii="Times New Roman" w:hAnsi="Times New Roman"/>
                <w:noProof/>
                <w:sz w:val="20"/>
                <w:lang w:val="fr-FR"/>
              </w:rPr>
              <w:t>Le Sénégal a accepté d’organiser une conférence internationale sur les migrations à Dakar en octobre, ainsi que le troisième Forum international sur la paix et la sécurité en Afrique, en décembre.</w:t>
            </w:r>
          </w:p>
          <w:p>
            <w:pPr>
              <w:spacing w:after="120"/>
              <w:jc w:val="both"/>
              <w:rPr>
                <w:rFonts w:ascii="Times New Roman" w:hAnsi="Times New Roman" w:cs="Times New Roman"/>
                <w:i/>
                <w:noProof/>
                <w:sz w:val="20"/>
                <w:szCs w:val="20"/>
                <w:lang w:val="fr-FR"/>
              </w:rPr>
            </w:pPr>
          </w:p>
          <w:p>
            <w:pPr>
              <w:jc w:val="both"/>
              <w:rPr>
                <w:rFonts w:ascii="Times New Roman" w:hAnsi="Times New Roman" w:cs="Times New Roman"/>
                <w:i/>
                <w:noProof/>
                <w:sz w:val="20"/>
                <w:szCs w:val="20"/>
              </w:rPr>
            </w:pPr>
            <w:r>
              <w:rPr>
                <w:rFonts w:ascii="Times New Roman" w:hAnsi="Times New Roman"/>
                <w:i/>
                <w:noProof/>
                <w:sz w:val="20"/>
              </w:rPr>
              <w:t>Aide de l'UE</w:t>
            </w:r>
          </w:p>
          <w:p>
            <w:pPr>
              <w:pStyle w:val="ListParagraph"/>
              <w:numPr>
                <w:ilvl w:val="0"/>
                <w:numId w:val="11"/>
              </w:numPr>
              <w:ind w:left="360"/>
              <w:rPr>
                <w:rFonts w:ascii="Times New Roman" w:hAnsi="Times New Roman"/>
                <w:noProof/>
                <w:sz w:val="20"/>
                <w:szCs w:val="20"/>
                <w:lang w:val="fr-FR"/>
              </w:rPr>
            </w:pPr>
            <w:r>
              <w:rPr>
                <w:rFonts w:ascii="Times New Roman" w:hAnsi="Times New Roman"/>
                <w:noProof/>
                <w:sz w:val="20"/>
                <w:lang w:val="fr-FR"/>
              </w:rPr>
              <w:t>Des projets de création d'emplois pour les jeunes ont été adoptés dans le cadre du fonds fiduciaire de l’UE pour l’Afrique.</w:t>
            </w:r>
          </w:p>
          <w:p>
            <w:pPr>
              <w:pStyle w:val="ListParagraph"/>
              <w:numPr>
                <w:ilvl w:val="0"/>
                <w:numId w:val="11"/>
              </w:numPr>
              <w:ind w:left="360"/>
              <w:rPr>
                <w:rFonts w:ascii="Times New Roman" w:hAnsi="Times New Roman"/>
                <w:noProof/>
                <w:sz w:val="20"/>
                <w:szCs w:val="20"/>
                <w:lang w:val="fr-FR"/>
              </w:rPr>
            </w:pPr>
            <w:r>
              <w:rPr>
                <w:rFonts w:ascii="Times New Roman" w:hAnsi="Times New Roman"/>
                <w:noProof/>
                <w:sz w:val="20"/>
                <w:lang w:val="fr-FR"/>
              </w:rPr>
              <w:t>Le Sénégal bénéficie également d’un projet régional d'appui aux entités répressives.</w:t>
            </w:r>
          </w:p>
          <w:p>
            <w:pPr>
              <w:pStyle w:val="ListParagraph"/>
              <w:numPr>
                <w:ilvl w:val="0"/>
                <w:numId w:val="11"/>
              </w:numPr>
              <w:ind w:left="360"/>
              <w:rPr>
                <w:rFonts w:ascii="Times New Roman" w:hAnsi="Times New Roman"/>
                <w:noProof/>
                <w:sz w:val="20"/>
                <w:szCs w:val="20"/>
                <w:lang w:val="fr-FR"/>
              </w:rPr>
            </w:pPr>
            <w:r>
              <w:rPr>
                <w:rFonts w:ascii="Times New Roman" w:hAnsi="Times New Roman"/>
                <w:noProof/>
                <w:sz w:val="20"/>
                <w:lang w:val="fr-FR"/>
              </w:rPr>
              <w:t>Des projets contribuant à améliorer la gestion des migrations et à faciliter les retours, à soutenir le processus de renforcement des systèmes de registres civils et à créer des débouchés économiques et des perspectives d’emplois dans des régions à fort potentiel migratoire sont en préparation.</w:t>
            </w:r>
          </w:p>
          <w:p>
            <w:pPr>
              <w:spacing w:after="120"/>
              <w:jc w:val="both"/>
              <w:rPr>
                <w:rFonts w:ascii="Times New Roman" w:hAnsi="Times New Roman" w:cs="Times New Roman"/>
                <w:noProof/>
                <w:sz w:val="20"/>
                <w:szCs w:val="20"/>
                <w:lang w:val="fr-FR"/>
              </w:rPr>
            </w:pPr>
          </w:p>
        </w:tc>
        <w:tc>
          <w:tcPr>
            <w:tcW w:w="4749" w:type="dxa"/>
          </w:tcPr>
          <w:p>
            <w:pPr>
              <w:pStyle w:val="ListParagraph"/>
              <w:numPr>
                <w:ilvl w:val="0"/>
                <w:numId w:val="3"/>
              </w:numPr>
              <w:rPr>
                <w:rFonts w:ascii="Times New Roman" w:hAnsi="Times New Roman"/>
                <w:noProof/>
                <w:sz w:val="20"/>
                <w:szCs w:val="20"/>
                <w:lang w:val="fr-FR"/>
              </w:rPr>
            </w:pPr>
            <w:r>
              <w:rPr>
                <w:rFonts w:ascii="Times New Roman" w:hAnsi="Times New Roman"/>
                <w:noProof/>
                <w:sz w:val="20"/>
                <w:lang w:val="fr-FR"/>
              </w:rPr>
              <w:t>Poursuivre les travaux en matière de coopération opérationnelle conformément aux modalités déjà approuvées</w:t>
            </w:r>
          </w:p>
          <w:p>
            <w:pPr>
              <w:pStyle w:val="ListParagraph"/>
              <w:numPr>
                <w:ilvl w:val="0"/>
                <w:numId w:val="3"/>
              </w:numPr>
              <w:rPr>
                <w:rFonts w:ascii="Times New Roman" w:hAnsi="Times New Roman"/>
                <w:noProof/>
                <w:sz w:val="20"/>
                <w:szCs w:val="20"/>
                <w:lang w:val="fr-FR"/>
              </w:rPr>
            </w:pPr>
            <w:r>
              <w:rPr>
                <w:rFonts w:ascii="Times New Roman" w:hAnsi="Times New Roman"/>
                <w:noProof/>
                <w:sz w:val="20"/>
                <w:lang w:val="fr-FR"/>
              </w:rPr>
              <w:t>Effectuer les missions d’identification prévues dans les États membres</w:t>
            </w:r>
          </w:p>
          <w:p>
            <w:pPr>
              <w:pStyle w:val="ListParagraph"/>
              <w:numPr>
                <w:ilvl w:val="0"/>
                <w:numId w:val="3"/>
              </w:numPr>
              <w:rPr>
                <w:rFonts w:ascii="Times New Roman" w:hAnsi="Times New Roman"/>
                <w:noProof/>
                <w:sz w:val="20"/>
                <w:szCs w:val="20"/>
                <w:lang w:val="fr-FR"/>
              </w:rPr>
            </w:pPr>
            <w:r>
              <w:rPr>
                <w:rFonts w:ascii="Times New Roman" w:hAnsi="Times New Roman"/>
                <w:noProof/>
                <w:sz w:val="20"/>
                <w:lang w:val="fr-FR"/>
              </w:rPr>
              <w:t>Coopérer en matière de documents de voyage</w:t>
            </w:r>
          </w:p>
          <w:p>
            <w:pPr>
              <w:pStyle w:val="ListParagraph"/>
              <w:numPr>
                <w:ilvl w:val="0"/>
                <w:numId w:val="3"/>
              </w:numPr>
              <w:rPr>
                <w:rFonts w:ascii="Times New Roman" w:hAnsi="Times New Roman"/>
                <w:noProof/>
                <w:sz w:val="20"/>
                <w:szCs w:val="20"/>
                <w:lang w:val="fr-FR"/>
              </w:rPr>
            </w:pPr>
            <w:r>
              <w:rPr>
                <w:rFonts w:ascii="Times New Roman" w:hAnsi="Times New Roman"/>
                <w:noProof/>
                <w:sz w:val="20"/>
                <w:lang w:val="fr-FR"/>
              </w:rPr>
              <w:t>Renforcer les possibilités de coopération bilatérale dans le cadre de l’UE</w:t>
            </w:r>
          </w:p>
          <w:p>
            <w:pPr>
              <w:pStyle w:val="ListParagraph"/>
              <w:numPr>
                <w:ilvl w:val="0"/>
                <w:numId w:val="3"/>
              </w:numPr>
              <w:rPr>
                <w:rFonts w:ascii="Times New Roman" w:hAnsi="Times New Roman"/>
                <w:noProof/>
                <w:sz w:val="20"/>
                <w:szCs w:val="20"/>
                <w:lang w:val="fr-FR"/>
              </w:rPr>
            </w:pPr>
            <w:r>
              <w:rPr>
                <w:rFonts w:ascii="Times New Roman" w:hAnsi="Times New Roman"/>
                <w:noProof/>
                <w:sz w:val="20"/>
                <w:lang w:val="fr-FR"/>
              </w:rPr>
              <w:t>Dépêcher sur place l’officier de liaison «Migration» européen</w:t>
            </w:r>
          </w:p>
          <w:p>
            <w:pPr>
              <w:pStyle w:val="ListParagraph"/>
              <w:numPr>
                <w:ilvl w:val="0"/>
                <w:numId w:val="3"/>
              </w:numPr>
              <w:rPr>
                <w:rFonts w:ascii="Times New Roman" w:hAnsi="Times New Roman"/>
                <w:noProof/>
                <w:sz w:val="20"/>
                <w:szCs w:val="20"/>
                <w:lang w:val="fr-FR"/>
              </w:rPr>
            </w:pPr>
            <w:r>
              <w:rPr>
                <w:rFonts w:ascii="Times New Roman" w:hAnsi="Times New Roman"/>
                <w:noProof/>
                <w:sz w:val="20"/>
                <w:lang w:val="fr-FR"/>
              </w:rPr>
              <w:t>Continuer à soutenir le renforcement des registres civils et la biométrie</w:t>
            </w:r>
          </w:p>
          <w:p>
            <w:pPr>
              <w:pStyle w:val="ListParagraph"/>
              <w:numPr>
                <w:ilvl w:val="0"/>
                <w:numId w:val="3"/>
              </w:numPr>
              <w:rPr>
                <w:rFonts w:ascii="Times New Roman" w:hAnsi="Times New Roman"/>
                <w:noProof/>
                <w:sz w:val="20"/>
                <w:szCs w:val="20"/>
                <w:lang w:val="fr-FR"/>
              </w:rPr>
            </w:pPr>
            <w:r>
              <w:rPr>
                <w:rFonts w:ascii="Times New Roman" w:hAnsi="Times New Roman"/>
                <w:noProof/>
                <w:sz w:val="20"/>
                <w:lang w:val="fr-FR"/>
              </w:rPr>
              <w:t>Conclure des modalités d’action avec le corps européen de garde-frontières et de garde-côtes</w:t>
            </w:r>
          </w:p>
          <w:p>
            <w:pPr>
              <w:pStyle w:val="ListParagraph"/>
              <w:numPr>
                <w:ilvl w:val="0"/>
                <w:numId w:val="3"/>
              </w:numPr>
              <w:rPr>
                <w:rFonts w:ascii="Times New Roman" w:hAnsi="Times New Roman"/>
                <w:noProof/>
                <w:sz w:val="20"/>
                <w:szCs w:val="20"/>
                <w:lang w:val="fr-FR"/>
              </w:rPr>
            </w:pPr>
            <w:r>
              <w:rPr>
                <w:rFonts w:ascii="Times New Roman" w:hAnsi="Times New Roman"/>
                <w:noProof/>
                <w:sz w:val="20"/>
                <w:lang w:val="fr-FR"/>
              </w:rPr>
              <w:t>Exploiter les occasions qui s'offrent en matière de filières de migration légales, ainsi que les possibilités offertes par ERASMUS et d’autres politiques et outils</w:t>
            </w:r>
          </w:p>
          <w:p>
            <w:pPr>
              <w:pStyle w:val="ListParagraph"/>
              <w:ind w:left="360"/>
              <w:rPr>
                <w:rFonts w:ascii="Times New Roman" w:hAnsi="Times New Roman"/>
                <w:noProof/>
                <w:sz w:val="20"/>
                <w:szCs w:val="20"/>
                <w:lang w:val="fr-FR"/>
              </w:rPr>
            </w:pPr>
          </w:p>
        </w:tc>
      </w:tr>
    </w:tbl>
    <w:p>
      <w:pPr>
        <w:rPr>
          <w:noProof/>
        </w:rPr>
      </w:pPr>
    </w:p>
    <w:p>
      <w:pPr>
        <w:rPr>
          <w:noProof/>
        </w:rPr>
      </w:pPr>
      <w:r>
        <w:rPr>
          <w:noProof/>
        </w:rPr>
        <w:br w:type="page"/>
      </w:r>
    </w:p>
    <w:tbl>
      <w:tblPr>
        <w:tblStyle w:val="TableGrid"/>
        <w:tblW w:w="9498" w:type="dxa"/>
        <w:tblLook w:val="04A0" w:firstRow="1" w:lastRow="0" w:firstColumn="1" w:lastColumn="0" w:noHBand="0" w:noVBand="1"/>
      </w:tblPr>
      <w:tblGrid>
        <w:gridCol w:w="4749"/>
        <w:gridCol w:w="4749"/>
      </w:tblGrid>
      <w:tr>
        <w:trPr>
          <w:trHeight w:val="279"/>
        </w:trPr>
        <w:tc>
          <w:tcPr>
            <w:tcW w:w="9498" w:type="dxa"/>
            <w:gridSpan w:val="2"/>
            <w:shd w:val="clear" w:color="auto" w:fill="D9D9D9" w:themeFill="background1" w:themeFillShade="D9"/>
          </w:tcPr>
          <w:p>
            <w:pPr>
              <w:jc w:val="center"/>
              <w:rPr>
                <w:rFonts w:ascii="Times New Roman" w:hAnsi="Times New Roman" w:cs="Times New Roman"/>
                <w:b/>
                <w:noProof/>
                <w:sz w:val="28"/>
                <w:szCs w:val="28"/>
              </w:rPr>
            </w:pPr>
            <w:r>
              <w:rPr>
                <w:rFonts w:ascii="Times New Roman" w:hAnsi="Times New Roman"/>
                <w:b/>
                <w:noProof/>
                <w:sz w:val="28"/>
              </w:rPr>
              <w:t>Mali</w:t>
            </w:r>
          </w:p>
        </w:tc>
      </w:tr>
      <w:tr>
        <w:trPr>
          <w:trHeight w:val="543"/>
        </w:trPr>
        <w:tc>
          <w:tcPr>
            <w:tcW w:w="4749" w:type="dxa"/>
            <w:shd w:val="clear" w:color="auto" w:fill="F2F2F2" w:themeFill="background1" w:themeFillShade="F2"/>
          </w:tcPr>
          <w:p>
            <w:pPr>
              <w:jc w:val="center"/>
              <w:rPr>
                <w:rFonts w:ascii="Times New Roman" w:hAnsi="Times New Roman" w:cs="Times New Roman"/>
                <w:b/>
                <w:noProof/>
                <w:sz w:val="24"/>
                <w:szCs w:val="24"/>
                <w:lang w:val="fr-FR"/>
              </w:rPr>
            </w:pPr>
            <w:r>
              <w:rPr>
                <w:rFonts w:ascii="Times New Roman" w:hAnsi="Times New Roman"/>
                <w:b/>
                <w:noProof/>
                <w:sz w:val="24"/>
                <w:lang w:val="fr-FR"/>
              </w:rPr>
              <w:t>Actions et progrès juin-octobre 2016</w:t>
            </w:r>
          </w:p>
        </w:tc>
        <w:tc>
          <w:tcPr>
            <w:tcW w:w="4749" w:type="dxa"/>
            <w:shd w:val="clear" w:color="auto" w:fill="F2F2F2" w:themeFill="background1" w:themeFillShade="F2"/>
          </w:tcPr>
          <w:p>
            <w:pPr>
              <w:jc w:val="center"/>
              <w:rPr>
                <w:rFonts w:ascii="Times New Roman" w:hAnsi="Times New Roman" w:cs="Times New Roman"/>
                <w:b/>
                <w:noProof/>
                <w:sz w:val="24"/>
                <w:szCs w:val="24"/>
              </w:rPr>
            </w:pPr>
            <w:r>
              <w:rPr>
                <w:rFonts w:ascii="Times New Roman" w:hAnsi="Times New Roman"/>
                <w:b/>
                <w:noProof/>
                <w:sz w:val="24"/>
              </w:rPr>
              <w:t>Prochaines étapes</w:t>
            </w:r>
          </w:p>
        </w:tc>
      </w:tr>
      <w:tr>
        <w:trPr>
          <w:trHeight w:val="264"/>
        </w:trPr>
        <w:tc>
          <w:tcPr>
            <w:tcW w:w="4749" w:type="dxa"/>
          </w:tcPr>
          <w:p>
            <w:pPr>
              <w:rPr>
                <w:rFonts w:ascii="Times New Roman" w:hAnsi="Times New Roman" w:cs="Times New Roman"/>
                <w:i/>
                <w:noProof/>
                <w:sz w:val="20"/>
                <w:szCs w:val="20"/>
              </w:rPr>
            </w:pPr>
            <w:r>
              <w:rPr>
                <w:rFonts w:ascii="Times New Roman" w:hAnsi="Times New Roman"/>
                <w:i/>
                <w:noProof/>
                <w:sz w:val="20"/>
              </w:rPr>
              <w:t>Contacts à haut niveau</w:t>
            </w:r>
          </w:p>
          <w:p>
            <w:pPr>
              <w:pStyle w:val="ListParagraph"/>
              <w:numPr>
                <w:ilvl w:val="0"/>
                <w:numId w:val="10"/>
              </w:numPr>
              <w:ind w:left="426"/>
              <w:rPr>
                <w:rFonts w:ascii="Times New Roman" w:hAnsi="Times New Roman"/>
                <w:noProof/>
                <w:sz w:val="20"/>
                <w:szCs w:val="20"/>
                <w:lang w:val="fr-FR"/>
              </w:rPr>
            </w:pPr>
            <w:r>
              <w:rPr>
                <w:rFonts w:ascii="Times New Roman" w:hAnsi="Times New Roman"/>
                <w:noProof/>
                <w:sz w:val="20"/>
                <w:lang w:val="fr-FR"/>
              </w:rPr>
              <w:t>Réunion entre la HR/VP Mogherini et le ministre des affaires étrangères lors de la rencontre entre l'UE et les ministres du G5 Sahel (juin)</w:t>
            </w:r>
          </w:p>
          <w:p>
            <w:pPr>
              <w:pStyle w:val="ListParagraph"/>
              <w:numPr>
                <w:ilvl w:val="0"/>
                <w:numId w:val="10"/>
              </w:numPr>
              <w:ind w:left="426"/>
              <w:rPr>
                <w:rFonts w:ascii="Times New Roman" w:hAnsi="Times New Roman"/>
                <w:noProof/>
                <w:sz w:val="20"/>
                <w:szCs w:val="20"/>
                <w:lang w:val="fr-FR"/>
              </w:rPr>
            </w:pPr>
            <w:r>
              <w:rPr>
                <w:rFonts w:ascii="Times New Roman" w:hAnsi="Times New Roman"/>
                <w:noProof/>
                <w:sz w:val="20"/>
                <w:lang w:val="fr-FR"/>
              </w:rPr>
              <w:t>Mission à haut niveau (service européen pour l’action extérieure/services de la Commission, Pays-Bas et Allemagne)</w:t>
            </w:r>
          </w:p>
          <w:p>
            <w:pPr>
              <w:pStyle w:val="ListParagraph"/>
              <w:numPr>
                <w:ilvl w:val="0"/>
                <w:numId w:val="10"/>
              </w:numPr>
              <w:ind w:left="426"/>
              <w:rPr>
                <w:rFonts w:ascii="Times New Roman" w:hAnsi="Times New Roman"/>
                <w:noProof/>
                <w:sz w:val="20"/>
                <w:szCs w:val="20"/>
                <w:lang w:val="fr-FR"/>
              </w:rPr>
            </w:pPr>
            <w:r>
              <w:rPr>
                <w:rFonts w:ascii="Times New Roman" w:hAnsi="Times New Roman"/>
                <w:noProof/>
                <w:sz w:val="20"/>
                <w:lang w:val="fr-FR"/>
              </w:rPr>
              <w:t>Visite du Premier ministre estonien (septembre)</w:t>
            </w:r>
          </w:p>
          <w:p>
            <w:pPr>
              <w:pStyle w:val="ListParagraph"/>
              <w:numPr>
                <w:ilvl w:val="0"/>
                <w:numId w:val="10"/>
              </w:numPr>
              <w:ind w:left="426"/>
              <w:rPr>
                <w:rFonts w:ascii="Times New Roman" w:hAnsi="Times New Roman"/>
                <w:noProof/>
                <w:sz w:val="20"/>
                <w:szCs w:val="20"/>
                <w:lang w:val="fr-FR"/>
              </w:rPr>
            </w:pPr>
            <w:r>
              <w:rPr>
                <w:rFonts w:ascii="Times New Roman" w:hAnsi="Times New Roman"/>
                <w:noProof/>
                <w:sz w:val="20"/>
                <w:lang w:val="fr-FR"/>
              </w:rPr>
              <w:t>Rencontres bilatérales avec des représentants de plusieurs États membres de l’UE, la HR/VP Mogherini et le commissaire Avramopoulos, en marge de l'Assemblée générale des Nations unies (septembre)</w:t>
            </w:r>
          </w:p>
          <w:p>
            <w:pPr>
              <w:pStyle w:val="ListParagraph"/>
              <w:numPr>
                <w:ilvl w:val="0"/>
                <w:numId w:val="10"/>
              </w:numPr>
              <w:ind w:left="426"/>
              <w:rPr>
                <w:rFonts w:ascii="Times New Roman" w:hAnsi="Times New Roman"/>
                <w:noProof/>
                <w:sz w:val="20"/>
                <w:szCs w:val="20"/>
                <w:lang w:val="fr-FR"/>
              </w:rPr>
            </w:pPr>
            <w:r>
              <w:rPr>
                <w:rFonts w:ascii="Times New Roman" w:hAnsi="Times New Roman"/>
                <w:noProof/>
                <w:sz w:val="20"/>
                <w:lang w:val="fr-FR"/>
              </w:rPr>
              <w:t>Visite du commissaire Mimica (septembre)</w:t>
            </w:r>
          </w:p>
          <w:p>
            <w:pPr>
              <w:pStyle w:val="ListParagraph"/>
              <w:numPr>
                <w:ilvl w:val="0"/>
                <w:numId w:val="10"/>
              </w:numPr>
              <w:ind w:left="426"/>
              <w:rPr>
                <w:rFonts w:ascii="Times New Roman" w:hAnsi="Times New Roman"/>
                <w:noProof/>
                <w:sz w:val="20"/>
                <w:szCs w:val="20"/>
                <w:lang w:val="fr-FR"/>
              </w:rPr>
            </w:pPr>
            <w:r>
              <w:rPr>
                <w:rFonts w:ascii="Times New Roman" w:hAnsi="Times New Roman"/>
                <w:noProof/>
                <w:sz w:val="20"/>
                <w:lang w:val="fr-FR"/>
              </w:rPr>
              <w:t>Visite de la chancelière allemande (octobre)</w:t>
            </w:r>
          </w:p>
          <w:p>
            <w:pPr>
              <w:rPr>
                <w:rFonts w:ascii="Times New Roman" w:hAnsi="Times New Roman" w:cs="Times New Roman"/>
                <w:i/>
                <w:noProof/>
                <w:sz w:val="20"/>
                <w:szCs w:val="20"/>
                <w:lang w:val="fr-FR"/>
              </w:rPr>
            </w:pPr>
          </w:p>
          <w:p>
            <w:pPr>
              <w:rPr>
                <w:rFonts w:ascii="Times New Roman" w:hAnsi="Times New Roman" w:cs="Times New Roman"/>
                <w:i/>
                <w:noProof/>
                <w:sz w:val="20"/>
                <w:szCs w:val="20"/>
                <w:lang w:val="fr-FR"/>
              </w:rPr>
            </w:pPr>
            <w:r>
              <w:rPr>
                <w:rFonts w:ascii="Times New Roman" w:hAnsi="Times New Roman"/>
                <w:i/>
                <w:noProof/>
                <w:sz w:val="20"/>
                <w:lang w:val="fr-FR"/>
              </w:rPr>
              <w:t>Principaux progrès accomplis par les autorités maliennes</w:t>
            </w:r>
          </w:p>
          <w:p>
            <w:pPr>
              <w:pStyle w:val="ListParagraph"/>
              <w:numPr>
                <w:ilvl w:val="0"/>
                <w:numId w:val="12"/>
              </w:numPr>
              <w:rPr>
                <w:rFonts w:ascii="Times New Roman" w:hAnsi="Times New Roman"/>
                <w:noProof/>
                <w:sz w:val="20"/>
                <w:szCs w:val="20"/>
                <w:lang w:val="fr-FR"/>
              </w:rPr>
            </w:pPr>
            <w:r>
              <w:rPr>
                <w:rFonts w:ascii="Times New Roman" w:hAnsi="Times New Roman"/>
                <w:noProof/>
                <w:sz w:val="20"/>
                <w:lang w:val="fr-FR"/>
              </w:rPr>
              <w:t>Le Mali a désigné un point de contact unique pour les questions de migration.</w:t>
            </w:r>
          </w:p>
          <w:p>
            <w:pPr>
              <w:pStyle w:val="ListParagraph"/>
              <w:numPr>
                <w:ilvl w:val="0"/>
                <w:numId w:val="12"/>
              </w:numPr>
              <w:rPr>
                <w:rFonts w:ascii="Times New Roman" w:hAnsi="Times New Roman"/>
                <w:noProof/>
                <w:sz w:val="20"/>
                <w:szCs w:val="20"/>
                <w:lang w:val="fr-FR"/>
              </w:rPr>
            </w:pPr>
            <w:r>
              <w:rPr>
                <w:rFonts w:ascii="Times New Roman" w:hAnsi="Times New Roman"/>
                <w:noProof/>
                <w:sz w:val="20"/>
                <w:lang w:val="fr-FR"/>
              </w:rPr>
              <w:t>Des instructions permanentes sont en voie de finalisation, avec pour objectif d’améliorer la coopération et d’accélérer les procédures en matière d’identification et de retour.</w:t>
            </w:r>
          </w:p>
          <w:p>
            <w:pPr>
              <w:jc w:val="both"/>
              <w:rPr>
                <w:rFonts w:ascii="Times New Roman" w:hAnsi="Times New Roman" w:cs="Times New Roman"/>
                <w:i/>
                <w:noProof/>
                <w:sz w:val="20"/>
                <w:szCs w:val="20"/>
                <w:lang w:val="fr-FR"/>
              </w:rPr>
            </w:pPr>
          </w:p>
          <w:p>
            <w:pPr>
              <w:jc w:val="both"/>
              <w:rPr>
                <w:rFonts w:ascii="Times New Roman" w:hAnsi="Times New Roman" w:cs="Times New Roman"/>
                <w:i/>
                <w:noProof/>
                <w:sz w:val="20"/>
                <w:szCs w:val="20"/>
              </w:rPr>
            </w:pPr>
            <w:r>
              <w:rPr>
                <w:rFonts w:ascii="Times New Roman" w:hAnsi="Times New Roman"/>
                <w:i/>
                <w:noProof/>
                <w:sz w:val="20"/>
              </w:rPr>
              <w:t>Aide de l'UE</w:t>
            </w:r>
          </w:p>
          <w:p>
            <w:pPr>
              <w:pStyle w:val="ListParagraph"/>
              <w:numPr>
                <w:ilvl w:val="0"/>
                <w:numId w:val="12"/>
              </w:numPr>
              <w:jc w:val="both"/>
              <w:rPr>
                <w:rFonts w:ascii="Times New Roman" w:eastAsia="Calibri" w:hAnsi="Times New Roman"/>
                <w:noProof/>
                <w:sz w:val="20"/>
                <w:szCs w:val="20"/>
                <w:lang w:val="fr-FR"/>
              </w:rPr>
            </w:pPr>
            <w:r>
              <w:rPr>
                <w:rFonts w:ascii="Times New Roman" w:hAnsi="Times New Roman"/>
                <w:noProof/>
                <w:sz w:val="20"/>
                <w:lang w:val="fr-FR"/>
              </w:rPr>
              <w:t>Six projets ont déjà été approuvés au titre du fonds fiduciaire de l'UE pour l'Afrique, notamment en matière de gestion des frontières.</w:t>
            </w:r>
          </w:p>
          <w:p>
            <w:pPr>
              <w:pStyle w:val="ListParagraph"/>
              <w:numPr>
                <w:ilvl w:val="0"/>
                <w:numId w:val="12"/>
              </w:numPr>
              <w:jc w:val="both"/>
              <w:rPr>
                <w:rFonts w:ascii="Times New Roman" w:eastAsia="Calibri" w:hAnsi="Times New Roman"/>
                <w:noProof/>
                <w:sz w:val="20"/>
                <w:szCs w:val="20"/>
                <w:lang w:val="fr-FR"/>
              </w:rPr>
            </w:pPr>
            <w:r>
              <w:rPr>
                <w:rFonts w:ascii="Times New Roman" w:hAnsi="Times New Roman"/>
                <w:noProof/>
                <w:sz w:val="20"/>
                <w:lang w:val="fr-FR"/>
              </w:rPr>
              <w:t>D’autres projets contribuant à améliorer la gestion des migrations et à faciliter les retours et une réintégration durable, à soutenir le processus de renforcement des systèmes de registres civils et à créer des débouchés économiques et des perspectives d’emplois dans des régions à fort potentiel migratoire sont en préparation.</w:t>
            </w:r>
          </w:p>
          <w:p>
            <w:pPr>
              <w:pStyle w:val="ListParagraph"/>
              <w:spacing w:after="120"/>
              <w:ind w:left="360"/>
              <w:contextualSpacing/>
              <w:jc w:val="both"/>
              <w:rPr>
                <w:rFonts w:ascii="Times New Roman" w:hAnsi="Times New Roman"/>
                <w:noProof/>
                <w:sz w:val="20"/>
                <w:szCs w:val="20"/>
                <w:lang w:val="fr-FR"/>
              </w:rPr>
            </w:pPr>
          </w:p>
        </w:tc>
        <w:tc>
          <w:tcPr>
            <w:tcW w:w="4749" w:type="dxa"/>
          </w:tcPr>
          <w:p>
            <w:pPr>
              <w:pStyle w:val="ListParagraph"/>
              <w:numPr>
                <w:ilvl w:val="0"/>
                <w:numId w:val="7"/>
              </w:numPr>
              <w:spacing w:after="120"/>
              <w:contextualSpacing/>
              <w:jc w:val="both"/>
              <w:rPr>
                <w:rFonts w:ascii="Times New Roman" w:eastAsia="Calibri" w:hAnsi="Times New Roman"/>
                <w:noProof/>
                <w:sz w:val="20"/>
                <w:szCs w:val="20"/>
                <w:lang w:val="fr-FR"/>
              </w:rPr>
            </w:pPr>
            <w:r>
              <w:rPr>
                <w:rFonts w:ascii="Times New Roman" w:hAnsi="Times New Roman"/>
                <w:noProof/>
                <w:sz w:val="20"/>
                <w:lang w:val="fr-FR"/>
              </w:rPr>
              <w:t>Poursuivre les travaux en matière de coopération opérationnelle conformément aux modalités déjà approuvées</w:t>
            </w:r>
          </w:p>
          <w:p>
            <w:pPr>
              <w:pStyle w:val="ListParagraph"/>
              <w:numPr>
                <w:ilvl w:val="0"/>
                <w:numId w:val="7"/>
              </w:numPr>
              <w:spacing w:after="120"/>
              <w:contextualSpacing/>
              <w:jc w:val="both"/>
              <w:rPr>
                <w:rFonts w:ascii="Times New Roman" w:eastAsia="Calibri" w:hAnsi="Times New Roman"/>
                <w:noProof/>
                <w:sz w:val="20"/>
                <w:szCs w:val="20"/>
                <w:lang w:val="fr-FR"/>
              </w:rPr>
            </w:pPr>
            <w:r>
              <w:rPr>
                <w:rFonts w:ascii="Times New Roman" w:hAnsi="Times New Roman"/>
                <w:noProof/>
                <w:sz w:val="20"/>
                <w:lang w:val="fr-FR"/>
              </w:rPr>
              <w:t>Finaliser l’accord sur les instructions permanentes et commencer à l’appliquer</w:t>
            </w:r>
          </w:p>
          <w:p>
            <w:pPr>
              <w:pStyle w:val="ListParagraph"/>
              <w:numPr>
                <w:ilvl w:val="0"/>
                <w:numId w:val="7"/>
              </w:numPr>
              <w:spacing w:after="120"/>
              <w:contextualSpacing/>
              <w:jc w:val="both"/>
              <w:rPr>
                <w:rFonts w:ascii="Times New Roman" w:eastAsia="Calibri" w:hAnsi="Times New Roman"/>
                <w:noProof/>
                <w:sz w:val="20"/>
                <w:szCs w:val="20"/>
                <w:lang w:val="fr-FR"/>
              </w:rPr>
            </w:pPr>
            <w:r>
              <w:rPr>
                <w:rFonts w:ascii="Times New Roman" w:hAnsi="Times New Roman"/>
                <w:noProof/>
                <w:sz w:val="20"/>
                <w:lang w:val="fr-FR"/>
              </w:rPr>
              <w:t>Effectuer les missions d’identification prévues dans les États membres</w:t>
            </w:r>
          </w:p>
          <w:p>
            <w:pPr>
              <w:pStyle w:val="ListParagraph"/>
              <w:numPr>
                <w:ilvl w:val="0"/>
                <w:numId w:val="7"/>
              </w:numPr>
              <w:spacing w:after="120"/>
              <w:contextualSpacing/>
              <w:jc w:val="both"/>
              <w:rPr>
                <w:rFonts w:ascii="Times New Roman" w:eastAsia="Calibri" w:hAnsi="Times New Roman"/>
                <w:noProof/>
                <w:sz w:val="20"/>
                <w:szCs w:val="20"/>
                <w:lang w:val="fr-FR"/>
              </w:rPr>
            </w:pPr>
            <w:r>
              <w:rPr>
                <w:rFonts w:ascii="Times New Roman" w:hAnsi="Times New Roman"/>
                <w:noProof/>
                <w:sz w:val="20"/>
                <w:lang w:val="fr-FR"/>
              </w:rPr>
              <w:t>Renforcer la participation des agences de l’UE sur le terrain (corps européen de garde-frontières et de garde-côtes et Europol)</w:t>
            </w:r>
          </w:p>
          <w:p>
            <w:pPr>
              <w:pStyle w:val="ListParagraph"/>
              <w:numPr>
                <w:ilvl w:val="0"/>
                <w:numId w:val="7"/>
              </w:numPr>
              <w:spacing w:after="120"/>
              <w:contextualSpacing/>
              <w:jc w:val="both"/>
              <w:rPr>
                <w:rFonts w:ascii="Times New Roman" w:eastAsia="Calibri" w:hAnsi="Times New Roman"/>
                <w:noProof/>
                <w:sz w:val="20"/>
                <w:szCs w:val="20"/>
                <w:lang w:val="fr-FR"/>
              </w:rPr>
            </w:pPr>
            <w:r>
              <w:rPr>
                <w:rFonts w:ascii="Times New Roman" w:hAnsi="Times New Roman"/>
                <w:noProof/>
                <w:sz w:val="20"/>
                <w:lang w:val="fr-FR"/>
              </w:rPr>
              <w:t>Dépêcher sur place l’officier de liaison «Migration» européen</w:t>
            </w:r>
          </w:p>
          <w:p>
            <w:pPr>
              <w:pStyle w:val="ListParagraph"/>
              <w:numPr>
                <w:ilvl w:val="0"/>
                <w:numId w:val="7"/>
              </w:numPr>
              <w:spacing w:after="120"/>
              <w:contextualSpacing/>
              <w:jc w:val="both"/>
              <w:rPr>
                <w:rFonts w:ascii="Times New Roman" w:eastAsia="Calibri" w:hAnsi="Times New Roman"/>
                <w:noProof/>
                <w:sz w:val="20"/>
                <w:szCs w:val="20"/>
                <w:lang w:val="fr-FR"/>
              </w:rPr>
            </w:pPr>
            <w:r>
              <w:rPr>
                <w:rFonts w:ascii="Times New Roman" w:hAnsi="Times New Roman"/>
                <w:noProof/>
                <w:sz w:val="20"/>
                <w:lang w:val="fr-FR"/>
              </w:rPr>
              <w:t>Exploiter les occasions qui s'offrent en matière de filières de migration légales, ainsi que les possibilités offertes par ERASMUS et d’autres politiques et outils</w:t>
            </w:r>
          </w:p>
          <w:p>
            <w:pPr>
              <w:rPr>
                <w:rFonts w:ascii="Times New Roman" w:hAnsi="Times New Roman" w:cs="Times New Roman"/>
                <w:noProof/>
                <w:sz w:val="20"/>
                <w:szCs w:val="20"/>
                <w:lang w:val="fr-FR"/>
              </w:rPr>
            </w:pPr>
          </w:p>
        </w:tc>
      </w:tr>
    </w:tbl>
    <w:p>
      <w:pPr>
        <w:rPr>
          <w:noProof/>
          <w:lang w:val="fr-FR"/>
        </w:rPr>
      </w:pPr>
    </w:p>
    <w:p>
      <w:pPr>
        <w:rPr>
          <w:noProof/>
          <w:lang w:val="fr-FR"/>
        </w:rPr>
      </w:pPr>
      <w:r>
        <w:rPr>
          <w:noProof/>
          <w:lang w:val="fr-FR"/>
        </w:rPr>
        <w:br w:type="page"/>
      </w:r>
    </w:p>
    <w:tbl>
      <w:tblPr>
        <w:tblStyle w:val="TableGrid"/>
        <w:tblW w:w="9498" w:type="dxa"/>
        <w:tblLook w:val="04A0" w:firstRow="1" w:lastRow="0" w:firstColumn="1" w:lastColumn="0" w:noHBand="0" w:noVBand="1"/>
      </w:tblPr>
      <w:tblGrid>
        <w:gridCol w:w="4749"/>
        <w:gridCol w:w="4749"/>
      </w:tblGrid>
      <w:tr>
        <w:trPr>
          <w:trHeight w:val="279"/>
        </w:trPr>
        <w:tc>
          <w:tcPr>
            <w:tcW w:w="9498" w:type="dxa"/>
            <w:gridSpan w:val="2"/>
            <w:shd w:val="clear" w:color="auto" w:fill="D9D9D9" w:themeFill="background1" w:themeFillShade="D9"/>
          </w:tcPr>
          <w:p>
            <w:pPr>
              <w:jc w:val="center"/>
              <w:rPr>
                <w:rFonts w:ascii="Times New Roman" w:hAnsi="Times New Roman" w:cs="Times New Roman"/>
                <w:b/>
                <w:noProof/>
                <w:sz w:val="28"/>
                <w:szCs w:val="28"/>
              </w:rPr>
            </w:pPr>
            <w:r>
              <w:rPr>
                <w:rFonts w:ascii="Times New Roman" w:hAnsi="Times New Roman"/>
                <w:b/>
                <w:noProof/>
                <w:sz w:val="28"/>
              </w:rPr>
              <w:t>Éthiopie</w:t>
            </w:r>
          </w:p>
        </w:tc>
      </w:tr>
      <w:tr>
        <w:trPr>
          <w:trHeight w:val="543"/>
        </w:trPr>
        <w:tc>
          <w:tcPr>
            <w:tcW w:w="4749" w:type="dxa"/>
            <w:shd w:val="clear" w:color="auto" w:fill="F2F2F2" w:themeFill="background1" w:themeFillShade="F2"/>
          </w:tcPr>
          <w:p>
            <w:pPr>
              <w:jc w:val="center"/>
              <w:rPr>
                <w:rFonts w:ascii="Times New Roman" w:hAnsi="Times New Roman" w:cs="Times New Roman"/>
                <w:b/>
                <w:noProof/>
                <w:sz w:val="24"/>
                <w:szCs w:val="24"/>
                <w:lang w:val="fr-FR"/>
              </w:rPr>
            </w:pPr>
            <w:r>
              <w:rPr>
                <w:rFonts w:ascii="Times New Roman" w:hAnsi="Times New Roman"/>
                <w:b/>
                <w:noProof/>
                <w:sz w:val="24"/>
                <w:lang w:val="fr-FR"/>
              </w:rPr>
              <w:t>Action et progrès juin-octobre 2016</w:t>
            </w:r>
          </w:p>
        </w:tc>
        <w:tc>
          <w:tcPr>
            <w:tcW w:w="4749" w:type="dxa"/>
            <w:shd w:val="clear" w:color="auto" w:fill="F2F2F2" w:themeFill="background1" w:themeFillShade="F2"/>
          </w:tcPr>
          <w:p>
            <w:pPr>
              <w:jc w:val="center"/>
              <w:rPr>
                <w:rFonts w:ascii="Times New Roman" w:hAnsi="Times New Roman" w:cs="Times New Roman"/>
                <w:b/>
                <w:noProof/>
                <w:sz w:val="24"/>
                <w:szCs w:val="24"/>
              </w:rPr>
            </w:pPr>
            <w:r>
              <w:rPr>
                <w:rFonts w:ascii="Times New Roman" w:hAnsi="Times New Roman"/>
                <w:b/>
                <w:noProof/>
                <w:sz w:val="24"/>
              </w:rPr>
              <w:t>Prochaines étapes</w:t>
            </w:r>
          </w:p>
        </w:tc>
      </w:tr>
      <w:tr>
        <w:trPr>
          <w:trHeight w:val="292"/>
        </w:trPr>
        <w:tc>
          <w:tcPr>
            <w:tcW w:w="4749" w:type="dxa"/>
          </w:tcPr>
          <w:p>
            <w:pPr>
              <w:rPr>
                <w:rFonts w:ascii="Times New Roman" w:hAnsi="Times New Roman" w:cs="Times New Roman"/>
                <w:i/>
                <w:noProof/>
                <w:sz w:val="20"/>
                <w:szCs w:val="20"/>
              </w:rPr>
            </w:pPr>
            <w:r>
              <w:rPr>
                <w:rFonts w:ascii="Times New Roman" w:hAnsi="Times New Roman"/>
                <w:i/>
                <w:noProof/>
                <w:sz w:val="20"/>
              </w:rPr>
              <w:t>Contacts à haut niveau</w:t>
            </w:r>
          </w:p>
          <w:p>
            <w:pPr>
              <w:pStyle w:val="ListParagraph"/>
              <w:numPr>
                <w:ilvl w:val="0"/>
                <w:numId w:val="10"/>
              </w:numPr>
              <w:ind w:left="426"/>
              <w:rPr>
                <w:rFonts w:ascii="Times New Roman" w:hAnsi="Times New Roman"/>
                <w:noProof/>
                <w:sz w:val="20"/>
                <w:szCs w:val="20"/>
                <w:lang w:val="fr-FR"/>
              </w:rPr>
            </w:pPr>
            <w:r>
              <w:rPr>
                <w:rFonts w:ascii="Times New Roman" w:hAnsi="Times New Roman"/>
                <w:noProof/>
                <w:sz w:val="20"/>
                <w:lang w:val="fr-FR"/>
              </w:rPr>
              <w:t>Rencontre entre le président de l’Éthiopie et plusieurs membres du collège, y compris le président Juncker, en vue de signer l’engagement stratégique/dialogue de haut niveau sur les migrations (juin)</w:t>
            </w:r>
          </w:p>
          <w:p>
            <w:pPr>
              <w:pStyle w:val="ListParagraph"/>
              <w:numPr>
                <w:ilvl w:val="0"/>
                <w:numId w:val="10"/>
              </w:numPr>
              <w:ind w:left="426"/>
              <w:rPr>
                <w:rFonts w:ascii="Times New Roman" w:hAnsi="Times New Roman"/>
                <w:noProof/>
                <w:sz w:val="20"/>
                <w:szCs w:val="20"/>
                <w:lang w:val="fr-FR"/>
              </w:rPr>
            </w:pPr>
            <w:r>
              <w:rPr>
                <w:rFonts w:ascii="Times New Roman" w:hAnsi="Times New Roman"/>
                <w:noProof/>
                <w:sz w:val="20"/>
                <w:lang w:val="fr-FR"/>
              </w:rPr>
              <w:t>Rencontres bilatérales entre des représentants de plusieurs États membres, la HR/VP Mogherini et le président de l’Éthiopie, en marge de l'Assemblée générale des Nations unies (septembre)</w:t>
            </w:r>
          </w:p>
          <w:p>
            <w:pPr>
              <w:pStyle w:val="ListParagraph"/>
              <w:numPr>
                <w:ilvl w:val="0"/>
                <w:numId w:val="10"/>
              </w:numPr>
              <w:ind w:left="426"/>
              <w:rPr>
                <w:rFonts w:ascii="Times New Roman" w:hAnsi="Times New Roman"/>
                <w:noProof/>
                <w:sz w:val="20"/>
                <w:szCs w:val="20"/>
                <w:lang w:val="fr-FR"/>
              </w:rPr>
            </w:pPr>
            <w:r>
              <w:rPr>
                <w:rFonts w:ascii="Times New Roman" w:hAnsi="Times New Roman"/>
                <w:noProof/>
                <w:sz w:val="20"/>
                <w:lang w:val="fr-FR"/>
              </w:rPr>
              <w:t>Visite du ministre slovaque des affaires étrangères (octobre)</w:t>
            </w:r>
          </w:p>
          <w:p>
            <w:pPr>
              <w:pStyle w:val="ListParagraph"/>
              <w:numPr>
                <w:ilvl w:val="0"/>
                <w:numId w:val="10"/>
              </w:numPr>
              <w:ind w:left="426"/>
              <w:rPr>
                <w:rFonts w:ascii="Times New Roman" w:hAnsi="Times New Roman"/>
                <w:noProof/>
                <w:sz w:val="20"/>
                <w:szCs w:val="20"/>
                <w:lang w:val="fr-FR"/>
              </w:rPr>
            </w:pPr>
            <w:r>
              <w:rPr>
                <w:rFonts w:ascii="Times New Roman" w:hAnsi="Times New Roman"/>
                <w:noProof/>
                <w:sz w:val="20"/>
                <w:lang w:val="fr-FR"/>
              </w:rPr>
              <w:t>Visite de la chancelière allemande (octobre)</w:t>
            </w:r>
          </w:p>
          <w:p>
            <w:pPr>
              <w:pStyle w:val="ListParagraph"/>
              <w:ind w:left="426"/>
              <w:rPr>
                <w:rFonts w:ascii="Times New Roman" w:hAnsi="Times New Roman"/>
                <w:noProof/>
                <w:sz w:val="20"/>
                <w:szCs w:val="20"/>
                <w:lang w:val="fr-FR"/>
              </w:rPr>
            </w:pPr>
          </w:p>
          <w:p>
            <w:pPr>
              <w:rPr>
                <w:rFonts w:ascii="Times New Roman" w:hAnsi="Times New Roman" w:cs="Times New Roman"/>
                <w:i/>
                <w:noProof/>
                <w:sz w:val="20"/>
                <w:szCs w:val="20"/>
                <w:lang w:val="fr-FR"/>
              </w:rPr>
            </w:pPr>
            <w:r>
              <w:rPr>
                <w:rFonts w:ascii="Times New Roman" w:hAnsi="Times New Roman"/>
                <w:i/>
                <w:noProof/>
                <w:sz w:val="20"/>
                <w:lang w:val="fr-FR"/>
              </w:rPr>
              <w:t>Principaux progrès accomplis par les autorités éthiopiennes</w:t>
            </w:r>
          </w:p>
          <w:p>
            <w:pPr>
              <w:pStyle w:val="ListParagraph"/>
              <w:numPr>
                <w:ilvl w:val="0"/>
                <w:numId w:val="6"/>
              </w:numPr>
              <w:jc w:val="both"/>
              <w:rPr>
                <w:rFonts w:ascii="Times New Roman" w:eastAsia="Calibri" w:hAnsi="Times New Roman"/>
                <w:noProof/>
                <w:sz w:val="20"/>
                <w:szCs w:val="20"/>
                <w:lang w:val="fr-FR"/>
              </w:rPr>
            </w:pPr>
            <w:r>
              <w:rPr>
                <w:rFonts w:ascii="Times New Roman" w:hAnsi="Times New Roman"/>
                <w:noProof/>
                <w:sz w:val="20"/>
                <w:lang w:val="fr-FR"/>
              </w:rPr>
              <w:t>Un point de contact chargé de la coopération avec les États membres en matière d’identification et de retour a été désigné.</w:t>
            </w:r>
          </w:p>
          <w:p>
            <w:pPr>
              <w:pStyle w:val="ListParagraph"/>
              <w:numPr>
                <w:ilvl w:val="0"/>
                <w:numId w:val="6"/>
              </w:numPr>
              <w:jc w:val="both"/>
              <w:rPr>
                <w:rFonts w:ascii="Times New Roman" w:eastAsia="Calibri" w:hAnsi="Times New Roman"/>
                <w:noProof/>
                <w:sz w:val="20"/>
                <w:szCs w:val="20"/>
                <w:lang w:val="fr-FR"/>
              </w:rPr>
            </w:pPr>
            <w:r>
              <w:rPr>
                <w:rFonts w:ascii="Times New Roman" w:hAnsi="Times New Roman"/>
                <w:noProof/>
                <w:sz w:val="20"/>
                <w:lang w:val="fr-FR"/>
              </w:rPr>
              <w:t>Le gouvernement éthiopien a identifié la plupart des personnes ayant fait l’objet de dossiers de retour.</w:t>
            </w:r>
          </w:p>
          <w:p>
            <w:pPr>
              <w:pStyle w:val="ListParagraph"/>
              <w:numPr>
                <w:ilvl w:val="0"/>
                <w:numId w:val="6"/>
              </w:numPr>
              <w:jc w:val="both"/>
              <w:rPr>
                <w:rFonts w:ascii="Times New Roman" w:eastAsia="Calibri" w:hAnsi="Times New Roman"/>
                <w:noProof/>
                <w:sz w:val="20"/>
                <w:szCs w:val="20"/>
                <w:lang w:val="fr-FR"/>
              </w:rPr>
            </w:pPr>
            <w:r>
              <w:rPr>
                <w:rFonts w:ascii="Times New Roman" w:hAnsi="Times New Roman"/>
                <w:noProof/>
                <w:sz w:val="20"/>
                <w:lang w:val="fr-FR"/>
              </w:rPr>
              <w:t>Grâce au soutien de l’UE, l'Éthiopie progresse dans son offre de moyens de subsistance aux réfugiés, et a notamment annoncé, en septembre 2016, qu'elle allait fournir 30 000 emplois aux réfugiés en construisant deux parcs industriels (l'objectif étant la création de 100 000 emplois au total).</w:t>
            </w:r>
          </w:p>
          <w:p>
            <w:pPr>
              <w:jc w:val="both"/>
              <w:rPr>
                <w:rFonts w:ascii="Times New Roman" w:hAnsi="Times New Roman" w:cs="Times New Roman"/>
                <w:i/>
                <w:noProof/>
                <w:sz w:val="20"/>
                <w:szCs w:val="20"/>
                <w:lang w:val="fr-FR"/>
              </w:rPr>
            </w:pPr>
          </w:p>
          <w:p>
            <w:pPr>
              <w:jc w:val="both"/>
              <w:rPr>
                <w:rFonts w:ascii="Times New Roman" w:hAnsi="Times New Roman" w:cs="Times New Roman"/>
                <w:i/>
                <w:noProof/>
                <w:sz w:val="20"/>
                <w:szCs w:val="20"/>
              </w:rPr>
            </w:pPr>
            <w:r>
              <w:rPr>
                <w:rFonts w:ascii="Times New Roman" w:hAnsi="Times New Roman"/>
                <w:i/>
                <w:noProof/>
                <w:sz w:val="20"/>
              </w:rPr>
              <w:t>Aide de l'UE</w:t>
            </w:r>
          </w:p>
          <w:p>
            <w:pPr>
              <w:pStyle w:val="ListParagraph"/>
              <w:numPr>
                <w:ilvl w:val="0"/>
                <w:numId w:val="13"/>
              </w:numPr>
              <w:ind w:left="426" w:hanging="357"/>
              <w:jc w:val="both"/>
              <w:rPr>
                <w:rFonts w:ascii="Times New Roman" w:hAnsi="Times New Roman"/>
                <w:noProof/>
                <w:sz w:val="20"/>
                <w:szCs w:val="20"/>
                <w:lang w:val="fr-FR"/>
              </w:rPr>
            </w:pPr>
            <w:r>
              <w:rPr>
                <w:rFonts w:ascii="Times New Roman" w:hAnsi="Times New Roman"/>
                <w:noProof/>
                <w:sz w:val="20"/>
                <w:lang w:val="fr-FR"/>
              </w:rPr>
              <w:t xml:space="preserve">Le </w:t>
            </w:r>
            <w:r>
              <w:rPr>
                <w:rFonts w:ascii="Times New Roman" w:hAnsi="Times New Roman"/>
                <w:i/>
                <w:noProof/>
                <w:sz w:val="20"/>
                <w:lang w:val="fr-FR"/>
              </w:rPr>
              <w:t>fonds fiduciaire de l'UE pour l’Afrique</w:t>
            </w:r>
            <w:r>
              <w:rPr>
                <w:rFonts w:ascii="Times New Roman" w:hAnsi="Times New Roman"/>
                <w:noProof/>
                <w:sz w:val="20"/>
                <w:lang w:val="fr-FR"/>
              </w:rPr>
              <w:t xml:space="preserve"> a approuvé un certain nombre de projets, complétant les programmes régionaux.</w:t>
            </w:r>
          </w:p>
          <w:p>
            <w:pPr>
              <w:pStyle w:val="ListParagraph"/>
              <w:numPr>
                <w:ilvl w:val="0"/>
                <w:numId w:val="13"/>
              </w:numPr>
              <w:ind w:left="426" w:hanging="357"/>
              <w:jc w:val="both"/>
              <w:rPr>
                <w:rFonts w:ascii="Times New Roman" w:hAnsi="Times New Roman"/>
                <w:noProof/>
                <w:sz w:val="20"/>
                <w:szCs w:val="20"/>
                <w:lang w:val="fr-FR"/>
              </w:rPr>
            </w:pPr>
            <w:r>
              <w:rPr>
                <w:rFonts w:ascii="Times New Roman" w:hAnsi="Times New Roman"/>
                <w:noProof/>
                <w:sz w:val="20"/>
                <w:lang w:val="fr-FR"/>
              </w:rPr>
              <w:t>Des projets en matière de biométrie et de réintégration sont en cours de préparation.</w:t>
            </w:r>
          </w:p>
        </w:tc>
        <w:tc>
          <w:tcPr>
            <w:tcW w:w="4749" w:type="dxa"/>
          </w:tcPr>
          <w:p>
            <w:pPr>
              <w:pStyle w:val="ListParagraph"/>
              <w:numPr>
                <w:ilvl w:val="0"/>
                <w:numId w:val="8"/>
              </w:numPr>
              <w:spacing w:after="120"/>
              <w:contextualSpacing/>
              <w:jc w:val="both"/>
              <w:rPr>
                <w:rFonts w:ascii="Times New Roman" w:hAnsi="Times New Roman"/>
                <w:noProof/>
                <w:sz w:val="20"/>
                <w:szCs w:val="20"/>
                <w:lang w:val="fr-FR"/>
              </w:rPr>
            </w:pPr>
            <w:r>
              <w:rPr>
                <w:rFonts w:ascii="Times New Roman" w:hAnsi="Times New Roman"/>
                <w:noProof/>
                <w:sz w:val="20"/>
                <w:lang w:val="fr-FR"/>
              </w:rPr>
              <w:t>Finaliser la procédure pour les dossiers de retour en cours de traitement</w:t>
            </w:r>
          </w:p>
          <w:p>
            <w:pPr>
              <w:pStyle w:val="ListParagraph"/>
              <w:numPr>
                <w:ilvl w:val="0"/>
                <w:numId w:val="8"/>
              </w:numPr>
              <w:spacing w:after="120"/>
              <w:contextualSpacing/>
              <w:jc w:val="both"/>
              <w:rPr>
                <w:rFonts w:ascii="Times New Roman" w:hAnsi="Times New Roman"/>
                <w:noProof/>
                <w:sz w:val="20"/>
                <w:szCs w:val="20"/>
                <w:lang w:val="fr-FR"/>
              </w:rPr>
            </w:pPr>
            <w:r>
              <w:rPr>
                <w:rFonts w:ascii="Times New Roman" w:hAnsi="Times New Roman"/>
                <w:noProof/>
                <w:sz w:val="20"/>
                <w:lang w:val="fr-FR"/>
              </w:rPr>
              <w:t>Établir une procédure concertée pour convenir des retours et les mettre en œuvre</w:t>
            </w:r>
          </w:p>
          <w:p>
            <w:pPr>
              <w:pStyle w:val="ListParagraph"/>
              <w:numPr>
                <w:ilvl w:val="0"/>
                <w:numId w:val="8"/>
              </w:numPr>
              <w:spacing w:after="120"/>
              <w:contextualSpacing/>
              <w:jc w:val="both"/>
              <w:rPr>
                <w:rFonts w:ascii="Times New Roman" w:hAnsi="Times New Roman"/>
                <w:noProof/>
                <w:sz w:val="20"/>
                <w:szCs w:val="20"/>
                <w:lang w:val="fr-FR"/>
              </w:rPr>
            </w:pPr>
            <w:r>
              <w:rPr>
                <w:rFonts w:ascii="Times New Roman" w:hAnsi="Times New Roman"/>
                <w:noProof/>
                <w:sz w:val="20"/>
                <w:lang w:val="fr-FR"/>
              </w:rPr>
              <w:t>Fournir une aide accrue aux projets améliorant les moyens de subsistance et les possibilités d’emploi des réfugiés</w:t>
            </w:r>
          </w:p>
          <w:p>
            <w:pPr>
              <w:pStyle w:val="ListParagraph"/>
              <w:numPr>
                <w:ilvl w:val="0"/>
                <w:numId w:val="8"/>
              </w:numPr>
              <w:spacing w:after="120"/>
              <w:contextualSpacing/>
              <w:jc w:val="both"/>
              <w:rPr>
                <w:rFonts w:ascii="Times New Roman" w:hAnsi="Times New Roman"/>
                <w:noProof/>
                <w:sz w:val="20"/>
                <w:szCs w:val="20"/>
                <w:lang w:val="fr-FR"/>
              </w:rPr>
            </w:pPr>
            <w:r>
              <w:rPr>
                <w:rFonts w:ascii="Times New Roman" w:hAnsi="Times New Roman"/>
                <w:noProof/>
                <w:sz w:val="20"/>
                <w:lang w:val="fr-FR"/>
              </w:rPr>
              <w:t>Accroître le soutien visant à renforcer le registre d’état civil/les documents d’identité</w:t>
            </w:r>
          </w:p>
          <w:p>
            <w:pPr>
              <w:pStyle w:val="ListParagraph"/>
              <w:numPr>
                <w:ilvl w:val="0"/>
                <w:numId w:val="8"/>
              </w:numPr>
              <w:spacing w:after="120"/>
              <w:contextualSpacing/>
              <w:jc w:val="both"/>
              <w:rPr>
                <w:rFonts w:ascii="Times New Roman" w:eastAsia="Calibri" w:hAnsi="Times New Roman"/>
                <w:noProof/>
                <w:sz w:val="20"/>
                <w:szCs w:val="20"/>
                <w:lang w:val="fr-FR"/>
              </w:rPr>
            </w:pPr>
            <w:r>
              <w:rPr>
                <w:rFonts w:ascii="Times New Roman" w:hAnsi="Times New Roman"/>
                <w:noProof/>
                <w:sz w:val="20"/>
                <w:lang w:val="fr-FR"/>
              </w:rPr>
              <w:t>Dépêcher sur place l’officier de liaison «Migration» européen</w:t>
            </w:r>
          </w:p>
          <w:p>
            <w:pPr>
              <w:pStyle w:val="ListParagraph"/>
              <w:numPr>
                <w:ilvl w:val="0"/>
                <w:numId w:val="8"/>
              </w:numPr>
              <w:spacing w:after="120"/>
              <w:contextualSpacing/>
              <w:jc w:val="both"/>
              <w:rPr>
                <w:rFonts w:ascii="Times New Roman" w:eastAsia="Calibri" w:hAnsi="Times New Roman"/>
                <w:noProof/>
                <w:sz w:val="20"/>
                <w:szCs w:val="20"/>
                <w:lang w:val="fr-FR"/>
              </w:rPr>
            </w:pPr>
            <w:r>
              <w:rPr>
                <w:rFonts w:ascii="Times New Roman" w:hAnsi="Times New Roman"/>
                <w:noProof/>
                <w:sz w:val="20"/>
                <w:lang w:val="fr-FR"/>
              </w:rPr>
              <w:t>Exploiter les occasions qui s'offrent en matière de filières de migration légales, ainsi que les possibilités offertes par ERASMUS et d’autres politiques et outils</w:t>
            </w:r>
          </w:p>
          <w:p>
            <w:pPr>
              <w:rPr>
                <w:rFonts w:ascii="Times New Roman" w:hAnsi="Times New Roman" w:cs="Times New Roman"/>
                <w:noProof/>
                <w:sz w:val="20"/>
                <w:szCs w:val="20"/>
                <w:lang w:val="fr-FR"/>
              </w:rPr>
            </w:pPr>
          </w:p>
        </w:tc>
      </w:tr>
    </w:tbl>
    <w:p>
      <w:pPr>
        <w:rPr>
          <w:rFonts w:ascii="Times New Roman" w:hAnsi="Times New Roman" w:cs="Times New Roman"/>
          <w:noProof/>
          <w:sz w:val="20"/>
          <w:szCs w:val="20"/>
        </w:rPr>
      </w:pPr>
    </w:p>
    <w:p>
      <w:pPr>
        <w:rPr>
          <w:noProof/>
        </w:rPr>
      </w:pPr>
    </w:p>
    <w:sectPr>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329958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center"/>
      <w:rPr>
        <w:rFonts w:ascii="Times New Roman" w:hAnsi="Times New Roman" w:cs="Times New Roman"/>
        <w:b/>
        <w:sz w:val="24"/>
        <w:szCs w:val="24"/>
      </w:rPr>
    </w:pPr>
    <w:r>
      <w:rPr>
        <w:rFonts w:ascii="Times New Roman" w:hAnsi="Times New Roman" w:cs="Times New Roman"/>
        <w:b/>
        <w:sz w:val="24"/>
        <w:szCs w:val="24"/>
      </w:rPr>
      <w:t>ANNEX 3 – PROGRESS IN PRIORITY COUNTRIES</w:t>
    </w:r>
  </w:p>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517D4"/>
    <w:multiLevelType w:val="hybridMultilevel"/>
    <w:tmpl w:val="BFBABC50"/>
    <w:lvl w:ilvl="0" w:tplc="A5AEA5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4F6E94"/>
    <w:multiLevelType w:val="hybridMultilevel"/>
    <w:tmpl w:val="D8561C9C"/>
    <w:lvl w:ilvl="0" w:tplc="A5AEA53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2740FE2"/>
    <w:multiLevelType w:val="hybridMultilevel"/>
    <w:tmpl w:val="6D9680D4"/>
    <w:lvl w:ilvl="0" w:tplc="A5AEA532">
      <w:start w:val="1"/>
      <w:numFmt w:val="bullet"/>
      <w:lvlText w:val=""/>
      <w:lvlJc w:val="left"/>
      <w:pPr>
        <w:ind w:left="360" w:hanging="360"/>
      </w:pPr>
      <w:rPr>
        <w:rFonts w:ascii="Symbol" w:hAnsi="Symbol" w:hint="default"/>
      </w:rPr>
    </w:lvl>
    <w:lvl w:ilvl="1" w:tplc="AF549B2E">
      <w:numFmt w:val="bullet"/>
      <w:lvlText w:val="•"/>
      <w:lvlJc w:val="left"/>
      <w:pPr>
        <w:ind w:left="1080" w:hanging="360"/>
      </w:pPr>
      <w:rPr>
        <w:rFonts w:ascii="Calibri" w:eastAsiaTheme="minorHAnsi"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2891593"/>
    <w:multiLevelType w:val="hybridMultilevel"/>
    <w:tmpl w:val="B9A20F1E"/>
    <w:lvl w:ilvl="0" w:tplc="A5AEA53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518420C"/>
    <w:multiLevelType w:val="hybridMultilevel"/>
    <w:tmpl w:val="289E7DC0"/>
    <w:lvl w:ilvl="0" w:tplc="A5AEA53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79A75E8"/>
    <w:multiLevelType w:val="hybridMultilevel"/>
    <w:tmpl w:val="6B809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34626F7"/>
    <w:multiLevelType w:val="hybridMultilevel"/>
    <w:tmpl w:val="294A5132"/>
    <w:lvl w:ilvl="0" w:tplc="A5AEA5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A306319"/>
    <w:multiLevelType w:val="hybridMultilevel"/>
    <w:tmpl w:val="0D003C58"/>
    <w:lvl w:ilvl="0" w:tplc="A5AEA5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99E54A4"/>
    <w:multiLevelType w:val="hybridMultilevel"/>
    <w:tmpl w:val="9D44BDAC"/>
    <w:lvl w:ilvl="0" w:tplc="A5AEA53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609C1B3B"/>
    <w:multiLevelType w:val="hybridMultilevel"/>
    <w:tmpl w:val="D778B4A6"/>
    <w:lvl w:ilvl="0" w:tplc="A5AEA53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6BE02C85"/>
    <w:multiLevelType w:val="hybridMultilevel"/>
    <w:tmpl w:val="65F01BF4"/>
    <w:lvl w:ilvl="0" w:tplc="A5AEA532">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6DF514FC"/>
    <w:multiLevelType w:val="hybridMultilevel"/>
    <w:tmpl w:val="99DC2C7E"/>
    <w:lvl w:ilvl="0" w:tplc="A5AEA53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759220DC"/>
    <w:multiLevelType w:val="hybridMultilevel"/>
    <w:tmpl w:val="8368BA06"/>
    <w:lvl w:ilvl="0" w:tplc="A5AEA53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762D7EDB"/>
    <w:multiLevelType w:val="hybridMultilevel"/>
    <w:tmpl w:val="DE4A36B0"/>
    <w:lvl w:ilvl="0" w:tplc="A5AEA53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9"/>
  </w:num>
  <w:num w:numId="4">
    <w:abstractNumId w:val="10"/>
  </w:num>
  <w:num w:numId="5">
    <w:abstractNumId w:val="5"/>
  </w:num>
  <w:num w:numId="6">
    <w:abstractNumId w:val="4"/>
  </w:num>
  <w:num w:numId="7">
    <w:abstractNumId w:val="1"/>
  </w:num>
  <w:num w:numId="8">
    <w:abstractNumId w:val="13"/>
  </w:num>
  <w:num w:numId="9">
    <w:abstractNumId w:val="12"/>
  </w:num>
  <w:num w:numId="10">
    <w:abstractNumId w:val="0"/>
  </w:num>
  <w:num w:numId="11">
    <w:abstractNumId w:val="6"/>
  </w:num>
  <w:num w:numId="12">
    <w:abstractNumId w:val="8"/>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revisionView w:markup="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à la"/>
    <w:docVar w:name="LW_ANNEX_NBR_FIRST" w:val="3"/>
    <w:docVar w:name="LW_ANNEX_NBR_LAST" w:val="3"/>
    <w:docVar w:name="LW_CONFIDENCE" w:val=" "/>
    <w:docVar w:name="LW_CONST_RESTREINT_UE" w:val="RESTREINT UE"/>
    <w:docVar w:name="LW_CORRIGENDUM" w:val="&lt;UNUSED&gt;"/>
    <w:docVar w:name="LW_COVERPAGE_GUID" w:val="8F890CFF19B94AA7A1093CD1F098234C"/>
    <w:docVar w:name="LW_CROSSREFERENCE" w:val="&lt;UNUSED&gt;"/>
    <w:docVar w:name="LW_DocType" w:val="NORMAL"/>
    <w:docVar w:name="LW_EMISSION" w:val="18.10.2016"/>
    <w:docVar w:name="LW_EMISSION_ISODATE" w:val="2016-10-18"/>
    <w:docVar w:name="LW_EMISSION_LOCATION" w:val="BRX"/>
    <w:docVar w:name="LW_EMISSION_PREFIX" w:val="Bruxelles, le "/>
    <w:docVar w:name="LW_EMISSION_SUFFIX" w:val=" "/>
    <w:docVar w:name="LW_ID_DOCTYPE_NONLW" w:val="CP-039"/>
    <w:docVar w:name="LW_LANGUE" w:val="FR"/>
    <w:docVar w:name="LW_MARKING" w:val="&lt;UNUSED&gt;"/>
    <w:docVar w:name="LW_NOM.INST" w:val="COMMISSION EUROPÉENNE"/>
    <w:docVar w:name="LW_NOM.INST_JOINTDOC" w:val="&lt;EMPTY&gt;"/>
    <w:docVar w:name="LW_OBJETACTEPRINCIPAL.CP" w:val="Premier rapport d'avancement relatif au cadre de partenariat avec les pays tiers dans le cadre de l'agenda européen en matière de migration"/>
    <w:docVar w:name="LW_PART_NBR" w:val="1"/>
    <w:docVar w:name="LW_PART_NBR_TOTAL" w:val="1"/>
    <w:docVar w:name="LW_REF.INST.NEW" w:val="COM"/>
    <w:docVar w:name="LW_REF.INST.NEW_ADOPTED" w:val="final"/>
    <w:docVar w:name="LW_REF.INST.NEW_TEXT" w:val="(2016) 700"/>
    <w:docVar w:name="LW_REF.INTERNE" w:val="&lt;UNUSED&gt;"/>
    <w:docVar w:name="LW_SUPERTITRE" w:val="&lt;UNUSED&gt;"/>
    <w:docVar w:name="LW_TITRE.OBJ.CP" w:val="&lt;UNUSED&gt;"/>
    <w:docVar w:name="LW_TYPE.DOC.CP" w:val="ANNEXE_x000b_"/>
    <w:docVar w:name="LW_TYPEACTEPRINCIPAL.CP" w:val="COMMUNICATION DE LA COMMISSION AU PARLEMENT EUROPÉEN, AU CONSEIL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basedOn w:val="Normal"/>
    <w:uiPriority w:val="34"/>
    <w:qFormat/>
    <w:pPr>
      <w:spacing w:after="0" w:line="240" w:lineRule="auto"/>
      <w:ind w:left="720"/>
    </w:pPr>
    <w:rPr>
      <w:rFonts w:ascii="Calibri" w:eastAsia="Times New Roman" w:hAnsi="Calibri" w:cs="Times New Roman"/>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basedOn w:val="Normal"/>
    <w:uiPriority w:val="34"/>
    <w:qFormat/>
    <w:pPr>
      <w:spacing w:after="0" w:line="240" w:lineRule="auto"/>
      <w:ind w:left="720"/>
    </w:pPr>
    <w:rPr>
      <w:rFonts w:ascii="Calibri" w:eastAsia="Times New Roman" w:hAnsi="Calibri" w:cs="Times New Roman"/>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1799</Words>
  <Characters>9933</Characters>
  <Application>Microsoft Office Word</Application>
  <DocSecurity>0</DocSecurity>
  <Lines>331</Lines>
  <Paragraphs>139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BARTKIEWICZ Ligia (SG)</dc:creator>
  <cp:lastModifiedBy>DIGIT/A3</cp:lastModifiedBy>
  <cp:revision>14</cp:revision>
  <cp:lastPrinted>2016-10-14T17:56:00Z</cp:lastPrinted>
  <dcterms:created xsi:type="dcterms:W3CDTF">2016-10-17T16:57:00Z</dcterms:created>
  <dcterms:modified xsi:type="dcterms:W3CDTF">2016-10-20T07:50:00Z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3</vt:lpwstr>
  </property>
  <property fmtid="{D5CDD505-2E9C-101B-9397-08002B2CF9AE}" pid="3" name="Last annex">
    <vt:lpwstr>3</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