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3C88BEB18A24B92B05A6ECE58D2BBE0" style="width:450.45pt;height:365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Предложението включва: </w:t>
      </w:r>
    </w:p>
    <w:p>
      <w:pPr>
        <w:pStyle w:val="ListDash"/>
        <w:rPr>
          <w:noProof/>
        </w:rPr>
      </w:pPr>
      <w:r>
        <w:rPr>
          <w:noProof/>
        </w:rPr>
        <w:t>горната граница на годишната сума на вноските за 2018 г.;</w:t>
      </w:r>
    </w:p>
    <w:p>
      <w:pPr>
        <w:pStyle w:val="ListDash"/>
        <w:rPr>
          <w:noProof/>
        </w:rPr>
      </w:pPr>
      <w:r>
        <w:rPr>
          <w:noProof/>
        </w:rPr>
        <w:t>годишната сума на вноските за 2017 г.;</w:t>
      </w:r>
    </w:p>
    <w:p>
      <w:pPr>
        <w:pStyle w:val="ListDash"/>
        <w:rPr>
          <w:noProof/>
        </w:rPr>
      </w:pPr>
      <w:r>
        <w:rPr>
          <w:noProof/>
        </w:rPr>
        <w:t>размера на първата част от вноската за 2017 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11</w:t>
      </w:r>
      <w:r>
        <w:rPr>
          <w:noProof/>
          <w:vertAlign w:val="superscript"/>
        </w:rPr>
        <w:t>-ят</w:t>
      </w:r>
      <w:r>
        <w:rPr>
          <w:noProof/>
        </w:rPr>
        <w:t xml:space="preserve"> ЕФР и другите Европейски фондове за развитие, чието действие все още не е приключило (т.е. 8</w:t>
      </w:r>
      <w:r>
        <w:rPr>
          <w:noProof/>
          <w:vertAlign w:val="superscript"/>
        </w:rPr>
        <w:t>-ият</w:t>
      </w:r>
      <w:r>
        <w:rPr>
          <w:noProof/>
        </w:rPr>
        <w:t>, 9</w:t>
      </w:r>
      <w:r>
        <w:rPr>
          <w:noProof/>
          <w:vertAlign w:val="superscript"/>
        </w:rPr>
        <w:t>-ият</w:t>
      </w:r>
      <w:r>
        <w:rPr>
          <w:noProof/>
        </w:rPr>
        <w:t xml:space="preserve"> и 10</w:t>
      </w:r>
      <w:r>
        <w:rPr>
          <w:noProof/>
          <w:vertAlign w:val="superscript"/>
        </w:rPr>
        <w:t>-ият</w:t>
      </w:r>
      <w:r>
        <w:rPr>
          <w:noProof/>
        </w:rPr>
        <w:t xml:space="preserve"> ЕФР), се управляват съгласно следните правила: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Действащото споразумение за партньорство между членовете на групата държави от Африка, Карибите и Тихоокеанския басейн, от една страна, и Европейската общност и нейните държави членки, от друга страна, с последните му изменения („Споразумението за партньорство АКТБ—ЕС“)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Вътрешното споразумение между представителите на правителствата на държавите — 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(„Вътрешното споразумение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ЕФР“),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Регламент (ЕС) 2015/323 на Съвета относно финансовия регламент, приложим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Европейски фонд за развитие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(„Финансовият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ЕФР“).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Посочените по-горе документи съдържат многогодишните поети задължения от страна на държавите членки за финансова подкрепа на ЕФР. Във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се предвиждат редовни вноски на държавите членки за ЕФР по предварително определени финансови задължения. Редовните вноски се задействат с технически решения на Съвета, които отразяват изпълнението на поетите финансови задължения, за които е взето решение предварително.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Поради това някои от позициите в обяснителния меморандум не се прилагат за поканите за редовни вноски като настоящата.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съответствие с член 21, параграф 7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сумата, управлявана от Комисията, и сумата, управлявана от Европейската инвестиционна банка (ЕИБ), се определят поотделно.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52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ЕИБ изпрати на Комисията актуализираните си прогнози за поетите задължения и за плащанията по инструментите, които управлява.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22, параграф 1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поканите за вноски първо оползотворяват една след друга сумите, предвидени за предходни ЕФР. Поради това поканите за вноски в настоящото предложение се отнасят — както за ЕИБ, така и за Комисията — за суми по 10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 21, параграф 5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Съветът взема решение по това предложение най-късно 21 календарни дни, след като Комисията представи предложението си.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1 от Решение 2013/759/EС на Съвета за установяване на преходния инструмент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вноските на държавите членки, посочени в член 1, параграф 2, буква а) от вътрешните споразумения за 8</w:t>
      </w:r>
      <w:r>
        <w:rPr>
          <w:noProof/>
          <w:vertAlign w:val="superscript"/>
        </w:rPr>
        <w:t>-ия</w:t>
      </w:r>
      <w:r>
        <w:rPr>
          <w:noProof/>
        </w:rPr>
        <w:t>, 9</w:t>
      </w:r>
      <w:r>
        <w:rPr>
          <w:noProof/>
          <w:vertAlign w:val="superscript"/>
        </w:rPr>
        <w:t>-ия</w:t>
      </w:r>
      <w:r>
        <w:rPr>
          <w:noProof/>
        </w:rPr>
        <w:t xml:space="preserve"> и 10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ЕФР, съответно се намалят след влизането в сила на Вътрешното споразумение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ЕФР. Намалението ще има въздействие върху вноските на държавите членки за Комисията за 2015 г., 2016 г. и 2017 г. съгласно варианта за корекция, избран от всяка държава членка.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член 23, параграф 1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се предвижда, че когато държава членка не плати дължимата част от вноската до определения краен срок, от нея се изисква да плати лихва върху неплатената сума; Условията на плащане на лихвата са посочени в същия член.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уредба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2016/0320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финансовите вноски, които трябва да бъдат платени от държавите членки за финансиране на Европейския фонд за развитие, включително горната граница за 2018 г., годишния размер за 2017 г. и първата част от вноската за 2017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 и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 предвид Споразумението за партньорство между членовете на групата държави от Африка, Карибите и Тихоокеанския басейн, от една страна, и Европейската общност и нейните държави членки, от друга страна, с последните му изменения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(„Споразумението за партньорство АКТБ—ЕС“),</w:t>
      </w:r>
    </w:p>
    <w:p>
      <w:pPr>
        <w:rPr>
          <w:noProof/>
        </w:rPr>
      </w:pPr>
      <w:r>
        <w:rPr>
          <w:noProof/>
        </w:rPr>
        <w:t>като взе предвид Вътрешното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(„Вътрешното споразумение“), и по-специално член 7, параграф 2 от него,</w:t>
      </w:r>
    </w:p>
    <w:p>
      <w:pPr>
        <w:rPr>
          <w:noProof/>
        </w:rPr>
      </w:pPr>
      <w:r>
        <w:rPr>
          <w:noProof/>
        </w:rPr>
        <w:t>като взе предвид Регламент (ЕС) 2015/323 на Съвета от 2 март 2015 г. относно Финансовия регламент, приложим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Европейски фонд за развитие („Финансовият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ЕФР“)</w:t>
      </w:r>
      <w:r>
        <w:rPr>
          <w:rStyle w:val="FootnoteReference"/>
          <w:noProof/>
        </w:rPr>
        <w:footnoteReference w:id="7"/>
      </w:r>
      <w:r>
        <w:rPr>
          <w:noProof/>
        </w:rPr>
        <w:t>, и по-специално член 21, параграф 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процедурата, установена в член 21, параграф 2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ЕФР, в срок до 15 октомври 2016 г. Комисията представя предложение, в което се определят: а) горната граница на годишния размер на вноските за 2018 г., б) годишната сума на вноската за 2017 г., в) размера на първата част от вноската за 2017 г. и г) индикативна необвързваща прогноза за очаквания годишен размер на вноските за годините 2019—2020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 52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ЕФР, на 28 юли 2016 г. Европейската инвестиционна банка (ЕИБ) изпрати на Комисията актуализираните си прогнози за поетите задължения и за плащанията по инструментите, които управлява.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член 22, параграф 1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се предвижда, че поканите за вноски първо оползотворяват сумите, предвидени за предходни ЕФР. Затова следва да се отправи покана за средства по 10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ЕФР.</w:t>
      </w:r>
    </w:p>
    <w:p>
      <w:pPr>
        <w:pStyle w:val="ManualConsidrant"/>
        <w:rPr>
          <w:noProof/>
          <w:szCs w:val="24"/>
        </w:rPr>
      </w:pPr>
      <w:r>
        <w:t>(4)</w:t>
      </w:r>
      <w:r>
        <w:tab/>
      </w:r>
      <w:r>
        <w:rPr>
          <w:noProof/>
        </w:rPr>
        <w:t>По предложение на Комисията Съветът прие на 24 ноември 2015 г. решение, с което определи горната граница на годишния размер на вноските на държавите членки за ЕФР за 2017 г. на 3 850 000 000 евро за Комисията и на 150 000 000 евро за Европейската инвестиционна банка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. </w:t>
      </w:r>
    </w:p>
    <w:p>
      <w:pPr>
        <w:pStyle w:val="ManualConsidrant"/>
        <w:rPr>
          <w:noProof/>
          <w:szCs w:val="24"/>
        </w:rPr>
      </w:pPr>
      <w:r>
        <w:t>(5)</w:t>
      </w:r>
      <w:r>
        <w:tab/>
      </w:r>
      <w:r>
        <w:rPr>
          <w:noProof/>
        </w:rPr>
        <w:t>На 12 декември 2013 г. Съветът прие създаването на преходния инструмент, свързан с преходни мерки за управление на ЕФР за периода от 1 януари 2014 г. до влизането в сила на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Европейски фонд за развитие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. </w:t>
      </w:r>
    </w:p>
    <w:p>
      <w:pPr>
        <w:pStyle w:val="Formuledadoption"/>
        <w:spacing w:before="480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 настоящото горната граница на годишния размер на вноските за ЕФР на държавите членки за 2018 г. се определя на 4 550 000 000 евро за Комисията и на 250 000 000 евро за Европейската инвестиционна банка.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Годишната сума на вноските на държавите членки за ЕФР за 2017 г. възлиза на 4 000 000 000 евро. Тя се дели на 3 850 000 000 евро за Комисията и на 150 000 000 евро за Европейската инвестиционна банка.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Отделните вноски за Европейския фонд за развитие, които държавите членки трябва да платят на Европейската комисия и на Европейската инвестиционна банка като първа част от вноската за 2017 г., са посочени в таблицата в приложение 1.</w:t>
      </w:r>
    </w:p>
    <w:p>
      <w:pPr>
        <w:rPr>
          <w:noProof/>
        </w:rPr>
      </w:pPr>
      <w:r>
        <w:rPr>
          <w:noProof/>
        </w:rPr>
        <w:t>Плащанията на посочените вноски могат да бъдат комбинирани с корекции, свързани с прилагането на приспадането на средствата, за които са поети задължения по преходния инструмент, в съответствие с план за корекции, съобщен на Комисията от всяка държава членка при приемането на третата част от вноската за 2015 г.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keepNext/>
        <w:keepLines/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317, 15.12.2000 г., стр. 3.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210, 6.8.2013 г., стр. 1.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58, 3.3.2015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17—38.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335, 14.12.2013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48—49.</w:t>
      </w:r>
    </w:p>
  </w:footnote>
  <w:footnote w:id="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rPr>
          <w:rStyle w:val="FootnoteReference"/>
        </w:rPr>
        <w:footnoteRef/>
      </w:r>
      <w:r>
        <w:t>ОВ</w:t>
      </w:r>
      <w:r>
        <w:rPr>
          <w:lang w:val="pl-PL"/>
        </w:rPr>
        <w:t xml:space="preserve"> L 317, 15.12.2000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3.</w:t>
      </w:r>
    </w:p>
  </w:footnote>
  <w:footnote w:id="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rPr>
          <w:rStyle w:val="FootnoteReference"/>
        </w:rPr>
        <w:footnoteRef/>
      </w:r>
      <w:r>
        <w:t>ОВ</w:t>
      </w:r>
      <w:r>
        <w:rPr>
          <w:lang w:val="pl-PL"/>
        </w:rPr>
        <w:t xml:space="preserve"> L 210, 6.8.2013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1.</w:t>
      </w:r>
    </w:p>
  </w:footnote>
  <w:footnote w:id="7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58, 3.3.2015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17—38.</w:t>
      </w:r>
    </w:p>
  </w:footnote>
  <w:footnote w:id="8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  <w:t xml:space="preserve">OM/2015/0524 — </w:t>
      </w:r>
      <w:r>
        <w:t>Междуинституционално</w:t>
      </w:r>
      <w:r>
        <w:rPr>
          <w:lang w:val="pl-PL"/>
        </w:rPr>
        <w:t xml:space="preserve"> </w:t>
      </w:r>
      <w:r>
        <w:t>досие</w:t>
      </w:r>
      <w:r>
        <w:rPr>
          <w:lang w:val="pl-PL"/>
        </w:rPr>
        <w:t xml:space="preserve"> 2015/0248 (NLE) — CELEX </w:t>
      </w:r>
      <w:r>
        <w:t>приети</w:t>
      </w:r>
      <w:r>
        <w:rPr>
          <w:lang w:val="pl-PL"/>
        </w:rPr>
        <w:t xml:space="preserve"> </w:t>
      </w:r>
      <w:r>
        <w:t>актове</w:t>
      </w:r>
      <w:r>
        <w:rPr>
          <w:lang w:val="pl-PL"/>
        </w:rPr>
        <w:t>: 32015D2288.</w:t>
      </w:r>
    </w:p>
  </w:footnote>
  <w:footnote w:id="9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  <w:t>O</w:t>
      </w:r>
      <w:r>
        <w:t>В</w:t>
      </w:r>
      <w:r>
        <w:rPr>
          <w:lang w:val="pl-PL"/>
        </w:rPr>
        <w:t xml:space="preserve"> L 335, 14.12.2013 </w:t>
      </w:r>
      <w:r>
        <w:t>г</w:t>
      </w:r>
      <w:r>
        <w:rPr>
          <w:lang w:val="pl-PL"/>
        </w:rPr>
        <w:t xml:space="preserve">., </w:t>
      </w:r>
      <w:r>
        <w:t>Регламент</w:t>
      </w:r>
      <w:r>
        <w:rPr>
          <w:lang w:val="pl-PL"/>
        </w:rPr>
        <w:t xml:space="preserve"> (</w:t>
      </w:r>
      <w:r>
        <w:t>ЕС</w:t>
      </w:r>
      <w:r>
        <w:rPr>
          <w:lang w:val="pl-PL"/>
        </w:rPr>
        <w:t xml:space="preserve">) 2013/322 </w:t>
      </w:r>
      <w:r>
        <w:t>на</w:t>
      </w:r>
      <w:r>
        <w:rPr>
          <w:lang w:val="pl-PL"/>
        </w:rPr>
        <w:t xml:space="preserve"> </w:t>
      </w:r>
      <w:r>
        <w:t>Съвета</w:t>
      </w:r>
      <w:r>
        <w:rPr>
          <w:lang w:val="pl-PL"/>
        </w:rPr>
        <w:t xml:space="preserve"> </w:t>
      </w:r>
      <w:r>
        <w:t>от</w:t>
      </w:r>
      <w:r>
        <w:rPr>
          <w:lang w:val="pl-PL"/>
        </w:rPr>
        <w:t xml:space="preserve"> 2 </w:t>
      </w:r>
      <w:r>
        <w:t>март</w:t>
      </w:r>
      <w:r>
        <w:rPr>
          <w:lang w:val="pl-PL"/>
        </w:rPr>
        <w:t xml:space="preserve"> 2015 </w:t>
      </w:r>
      <w:r>
        <w:t>г</w:t>
      </w:r>
      <w:r>
        <w:rPr>
          <w:lang w:val="pl-PL"/>
        </w:rPr>
        <w:t xml:space="preserve">. </w:t>
      </w:r>
      <w:r>
        <w:t>относно</w:t>
      </w:r>
      <w:r>
        <w:rPr>
          <w:lang w:val="pl-PL"/>
        </w:rPr>
        <w:t xml:space="preserve"> </w:t>
      </w:r>
      <w:r>
        <w:t>изпълнението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11-</w:t>
      </w:r>
      <w:r>
        <w:t>ия</w:t>
      </w:r>
      <w:r>
        <w:rPr>
          <w:lang w:val="pl-PL"/>
        </w:rPr>
        <w:t xml:space="preserve"> </w:t>
      </w:r>
      <w:r>
        <w:t>Европейски</w:t>
      </w:r>
      <w:r>
        <w:rPr>
          <w:lang w:val="pl-PL"/>
        </w:rPr>
        <w:t xml:space="preserve"> </w:t>
      </w:r>
      <w:r>
        <w:t>фонд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развитие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9EDD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4365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4BAA7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57CEC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9BCFB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ABE59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7F089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E007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0315490"/>
    <w:multiLevelType w:val="singleLevel"/>
    <w:tmpl w:val="1F86C700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14 09:57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3C88BEB18A24B92B05A6ECE58D2BBE0"/>
    <w:docVar w:name="LW_CROSSREFERENCE" w:val="&lt;UNUSED&gt;"/>
    <w:docVar w:name="LW_DocType" w:val="COM"/>
    <w:docVar w:name="LW_EMISSION" w:val="14.10.2016"/>
    <w:docVar w:name="LW_EMISSION_ISODATE" w:val="2016-10-1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20"/>
    <w:docVar w:name="LW_REF.II.NEW.CP_YEAR" w:val="2016"/>
    <w:docVar w:name="LW_REF.INST.NEW" w:val="COM"/>
    <w:docVar w:name="LW_REF.INST.NEW_ADOPTED" w:val="final"/>
    <w:docVar w:name="LW_REF.INST.NEW_TEXT" w:val="(2016) 654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18 \u1075?., \u1075?\u1086?\u1076?\u1080?\u1096?\u1085?\u1080?\u1103? \u1088?\u1072?\u1079?\u1084?\u1077?\u1088? \u1079?\u1072? 2017 \u1075?. \u1080? \u1087?\u1098?\u1088?\u1074?\u1072?\u1090?\u1072? \u1095?\u1072?\u1089?\u1090? \u1086?\u1090? \u1074?\u1085?\u1086?\u1089?\u1082?\u1072?\u1090?\u1072? \u1079?\u1072? 2017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">
    <w:name w:val="List Dash"/>
    <w:basedOn w:val="Normal"/>
    <w:pPr>
      <w:numPr>
        <w:numId w:val="5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">
    <w:name w:val="List Dash"/>
    <w:basedOn w:val="Normal"/>
    <w:pPr>
      <w:numPr>
        <w:numId w:val="5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346B-CCFA-4104-A5BC-5AB1F682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1351</Words>
  <Characters>7515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2016-08-19T16:58:00Z</cp:lastPrinted>
  <dcterms:created xsi:type="dcterms:W3CDTF">2016-10-13T12:36:00Z</dcterms:created>
  <dcterms:modified xsi:type="dcterms:W3CDTF">2016-10-14T07:57:00Z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