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7088654198D46A185846BA88FBD41D4" style="width:450.35pt;height:397.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rPr>
          <w:noProof/>
        </w:rPr>
      </w:pPr>
    </w:p>
    <w:tbl>
      <w:tblPr>
        <w:tblW w:w="9260" w:type="dxa"/>
        <w:tblInd w:w="98" w:type="dxa"/>
        <w:tblLook w:val="04A0" w:firstRow="1" w:lastRow="0" w:firstColumn="1" w:lastColumn="0" w:noHBand="0" w:noVBand="1"/>
      </w:tblPr>
      <w:tblGrid>
        <w:gridCol w:w="2080"/>
        <w:gridCol w:w="1060"/>
        <w:gridCol w:w="1973"/>
        <w:gridCol w:w="2127"/>
        <w:gridCol w:w="2020"/>
      </w:tblGrid>
      <w:tr>
        <w:trPr>
          <w:trHeight w:val="360"/>
        </w:trPr>
        <w:tc>
          <w:tcPr>
            <w:tcW w:w="208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pPr>
              <w:spacing w:before="0" w:after="0"/>
              <w:jc w:val="center"/>
              <w:rPr>
                <w:rFonts w:ascii="Arial" w:eastAsia="Times New Roman" w:hAnsi="Arial" w:cs="Arial"/>
                <w:noProof/>
                <w:sz w:val="20"/>
                <w:szCs w:val="20"/>
              </w:rPr>
            </w:pPr>
            <w:r>
              <w:rPr>
                <w:rFonts w:ascii="Arial" w:hAnsi="Arial"/>
                <w:noProof/>
                <w:sz w:val="20"/>
              </w:rPr>
              <w:t>ÉTATS MEMBRES</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pPr>
              <w:spacing w:before="0" w:after="0"/>
              <w:jc w:val="center"/>
              <w:rPr>
                <w:rFonts w:ascii="Arial" w:eastAsia="Times New Roman" w:hAnsi="Arial" w:cs="Arial"/>
                <w:noProof/>
                <w:sz w:val="20"/>
                <w:szCs w:val="20"/>
              </w:rPr>
            </w:pPr>
            <w:r>
              <w:rPr>
                <w:rFonts w:ascii="Arial" w:hAnsi="Arial"/>
                <w:noProof/>
                <w:sz w:val="20"/>
              </w:rPr>
              <w:t>Clé 10</w:t>
            </w:r>
            <w:r>
              <w:rPr>
                <w:rFonts w:ascii="Arial" w:hAnsi="Arial"/>
                <w:noProof/>
                <w:sz w:val="20"/>
                <w:vertAlign w:val="superscript"/>
              </w:rPr>
              <w:t>e</w:t>
            </w:r>
            <w:r>
              <w:rPr>
                <w:rFonts w:ascii="Arial" w:hAnsi="Arial"/>
                <w:noProof/>
                <w:sz w:val="20"/>
              </w:rPr>
              <w:t> FED (%)</w:t>
            </w:r>
          </w:p>
        </w:tc>
        <w:tc>
          <w:tcPr>
            <w:tcW w:w="6120" w:type="dxa"/>
            <w:gridSpan w:val="3"/>
            <w:tcBorders>
              <w:top w:val="single" w:sz="8" w:space="0" w:color="auto"/>
              <w:left w:val="nil"/>
              <w:bottom w:val="nil"/>
              <w:right w:val="single" w:sz="8" w:space="0" w:color="000000"/>
            </w:tcBorders>
            <w:shd w:val="clear" w:color="auto" w:fill="auto"/>
            <w:vAlign w:val="center"/>
            <w:hideMark/>
          </w:tcPr>
          <w:p>
            <w:pPr>
              <w:spacing w:before="0" w:after="0"/>
              <w:jc w:val="center"/>
              <w:rPr>
                <w:rFonts w:ascii="Arial" w:eastAsia="Times New Roman" w:hAnsi="Arial" w:cs="Arial"/>
                <w:b/>
                <w:bCs/>
                <w:noProof/>
                <w:sz w:val="20"/>
                <w:szCs w:val="20"/>
              </w:rPr>
            </w:pPr>
            <w:r>
              <w:rPr>
                <w:rFonts w:ascii="Arial" w:hAnsi="Arial"/>
                <w:b/>
                <w:noProof/>
                <w:sz w:val="20"/>
              </w:rPr>
              <w:t>1</w:t>
            </w:r>
            <w:r>
              <w:rPr>
                <w:rFonts w:ascii="Arial" w:hAnsi="Arial"/>
                <w:b/>
                <w:noProof/>
                <w:sz w:val="20"/>
                <w:vertAlign w:val="superscript"/>
              </w:rPr>
              <w:t>e</w:t>
            </w:r>
            <w:r>
              <w:rPr>
                <w:rFonts w:ascii="Arial" w:hAnsi="Arial"/>
                <w:b/>
                <w:noProof/>
                <w:sz w:val="20"/>
              </w:rPr>
              <w:t xml:space="preserve"> tranche 2017 (en EUR)</w:t>
            </w:r>
          </w:p>
        </w:tc>
      </w:tr>
      <w:tr>
        <w:trPr>
          <w:trHeight w:val="300"/>
        </w:trPr>
        <w:tc>
          <w:tcPr>
            <w:tcW w:w="2080" w:type="dxa"/>
            <w:vMerge/>
            <w:tcBorders>
              <w:top w:val="single" w:sz="8" w:space="0" w:color="auto"/>
              <w:left w:val="single" w:sz="8" w:space="0" w:color="auto"/>
              <w:bottom w:val="single" w:sz="4" w:space="0" w:color="000000"/>
              <w:right w:val="single" w:sz="8" w:space="0" w:color="auto"/>
            </w:tcBorders>
            <w:vAlign w:val="center"/>
            <w:hideMark/>
          </w:tcPr>
          <w:p>
            <w:pPr>
              <w:spacing w:before="0" w:after="0"/>
              <w:jc w:val="left"/>
              <w:rPr>
                <w:rFonts w:ascii="Arial" w:eastAsia="Times New Roman" w:hAnsi="Arial" w:cs="Arial"/>
                <w:noProof/>
                <w:sz w:val="20"/>
                <w:szCs w:val="20"/>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rFonts w:ascii="Arial" w:eastAsia="Times New Roman" w:hAnsi="Arial" w:cs="Arial"/>
                <w:noProof/>
                <w:sz w:val="20"/>
                <w:szCs w:val="20"/>
              </w:rPr>
            </w:pPr>
          </w:p>
        </w:tc>
        <w:tc>
          <w:tcPr>
            <w:tcW w:w="1973" w:type="dxa"/>
            <w:tcBorders>
              <w:top w:val="single" w:sz="4" w:space="0" w:color="auto"/>
              <w:left w:val="nil"/>
              <w:bottom w:val="nil"/>
              <w:right w:val="nil"/>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hAnsi="Arial"/>
                <w:noProof/>
                <w:sz w:val="20"/>
              </w:rPr>
              <w:t>versée à la</w:t>
            </w:r>
          </w:p>
        </w:tc>
        <w:tc>
          <w:tcPr>
            <w:tcW w:w="2127" w:type="dxa"/>
            <w:tcBorders>
              <w:top w:val="single" w:sz="4" w:space="0" w:color="auto"/>
              <w:left w:val="single" w:sz="4" w:space="0" w:color="auto"/>
              <w:bottom w:val="nil"/>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hAnsi="Arial"/>
                <w:noProof/>
                <w:sz w:val="20"/>
              </w:rPr>
              <w:t>versée à la</w:t>
            </w:r>
          </w:p>
        </w:tc>
        <w:tc>
          <w:tcPr>
            <w:tcW w:w="202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pPr>
              <w:spacing w:before="0" w:after="0"/>
              <w:jc w:val="center"/>
              <w:rPr>
                <w:rFonts w:ascii="Arial" w:eastAsia="Times New Roman" w:hAnsi="Arial" w:cs="Arial"/>
                <w:b/>
                <w:bCs/>
                <w:noProof/>
                <w:sz w:val="20"/>
                <w:szCs w:val="20"/>
              </w:rPr>
            </w:pPr>
            <w:r>
              <w:rPr>
                <w:rFonts w:ascii="Arial" w:hAnsi="Arial"/>
                <w:b/>
                <w:noProof/>
                <w:sz w:val="20"/>
              </w:rPr>
              <w:t xml:space="preserve">Total </w:t>
            </w:r>
          </w:p>
        </w:tc>
      </w:tr>
      <w:tr>
        <w:trPr>
          <w:trHeight w:val="300"/>
        </w:trPr>
        <w:tc>
          <w:tcPr>
            <w:tcW w:w="2080" w:type="dxa"/>
            <w:vMerge/>
            <w:tcBorders>
              <w:top w:val="single" w:sz="8" w:space="0" w:color="auto"/>
              <w:left w:val="single" w:sz="8" w:space="0" w:color="auto"/>
              <w:bottom w:val="single" w:sz="4" w:space="0" w:color="000000"/>
              <w:right w:val="single" w:sz="8" w:space="0" w:color="auto"/>
            </w:tcBorders>
            <w:vAlign w:val="center"/>
            <w:hideMark/>
          </w:tcPr>
          <w:p>
            <w:pPr>
              <w:spacing w:before="0" w:after="0"/>
              <w:jc w:val="left"/>
              <w:rPr>
                <w:rFonts w:ascii="Arial" w:eastAsia="Times New Roman" w:hAnsi="Arial" w:cs="Arial"/>
                <w:noProof/>
                <w:sz w:val="20"/>
                <w:szCs w:val="20"/>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rFonts w:ascii="Arial" w:eastAsia="Times New Roman" w:hAnsi="Arial" w:cs="Arial"/>
                <w:noProof/>
                <w:sz w:val="20"/>
                <w:szCs w:val="20"/>
              </w:rPr>
            </w:pPr>
          </w:p>
        </w:tc>
        <w:tc>
          <w:tcPr>
            <w:tcW w:w="1973" w:type="dxa"/>
            <w:tcBorders>
              <w:top w:val="nil"/>
              <w:left w:val="nil"/>
              <w:bottom w:val="nil"/>
              <w:right w:val="nil"/>
            </w:tcBorders>
            <w:shd w:val="clear" w:color="auto" w:fill="auto"/>
            <w:noWrap/>
            <w:vAlign w:val="bottom"/>
            <w:hideMark/>
          </w:tcPr>
          <w:p>
            <w:pPr>
              <w:spacing w:before="0" w:after="0"/>
              <w:jc w:val="center"/>
              <w:rPr>
                <w:rFonts w:ascii="Arial" w:eastAsia="Times New Roman" w:hAnsi="Arial" w:cs="Arial"/>
                <w:b/>
                <w:bCs/>
                <w:noProof/>
                <w:sz w:val="20"/>
                <w:szCs w:val="20"/>
              </w:rPr>
            </w:pPr>
            <w:r>
              <w:rPr>
                <w:rFonts w:ascii="Arial" w:hAnsi="Arial"/>
                <w:b/>
                <w:noProof/>
                <w:sz w:val="20"/>
              </w:rPr>
              <w:t>BEI</w:t>
            </w:r>
          </w:p>
        </w:tc>
        <w:tc>
          <w:tcPr>
            <w:tcW w:w="2127" w:type="dxa"/>
            <w:tcBorders>
              <w:top w:val="nil"/>
              <w:left w:val="single" w:sz="4" w:space="0" w:color="auto"/>
              <w:bottom w:val="nil"/>
              <w:right w:val="single" w:sz="4" w:space="0" w:color="auto"/>
            </w:tcBorders>
            <w:shd w:val="clear" w:color="auto" w:fill="auto"/>
            <w:noWrap/>
            <w:vAlign w:val="bottom"/>
            <w:hideMark/>
          </w:tcPr>
          <w:p>
            <w:pPr>
              <w:spacing w:before="0" w:after="0"/>
              <w:jc w:val="center"/>
              <w:rPr>
                <w:rFonts w:ascii="Arial" w:eastAsia="Times New Roman" w:hAnsi="Arial" w:cs="Arial"/>
                <w:b/>
                <w:bCs/>
                <w:noProof/>
                <w:sz w:val="20"/>
                <w:szCs w:val="20"/>
              </w:rPr>
            </w:pPr>
            <w:r>
              <w:rPr>
                <w:rFonts w:ascii="Arial" w:hAnsi="Arial"/>
                <w:b/>
                <w:noProof/>
                <w:sz w:val="20"/>
              </w:rPr>
              <w:t>Commission</w:t>
            </w:r>
          </w:p>
        </w:tc>
        <w:tc>
          <w:tcPr>
            <w:tcW w:w="2020" w:type="dxa"/>
            <w:vMerge/>
            <w:tcBorders>
              <w:top w:val="single" w:sz="4" w:space="0" w:color="auto"/>
              <w:left w:val="single" w:sz="4" w:space="0" w:color="auto"/>
              <w:bottom w:val="single" w:sz="4" w:space="0" w:color="000000"/>
              <w:right w:val="single" w:sz="8" w:space="0" w:color="auto"/>
            </w:tcBorders>
            <w:vAlign w:val="center"/>
            <w:hideMark/>
          </w:tcPr>
          <w:p>
            <w:pPr>
              <w:spacing w:before="0" w:after="0"/>
              <w:jc w:val="left"/>
              <w:rPr>
                <w:rFonts w:ascii="Arial" w:eastAsia="Times New Roman" w:hAnsi="Arial" w:cs="Arial"/>
                <w:b/>
                <w:bCs/>
                <w:noProof/>
                <w:sz w:val="20"/>
                <w:szCs w:val="20"/>
              </w:rPr>
            </w:pPr>
          </w:p>
        </w:tc>
      </w:tr>
      <w:tr>
        <w:trPr>
          <w:trHeight w:val="300"/>
        </w:trPr>
        <w:tc>
          <w:tcPr>
            <w:tcW w:w="2080" w:type="dxa"/>
            <w:vMerge/>
            <w:tcBorders>
              <w:top w:val="single" w:sz="8" w:space="0" w:color="auto"/>
              <w:left w:val="single" w:sz="8" w:space="0" w:color="auto"/>
              <w:bottom w:val="single" w:sz="4" w:space="0" w:color="000000"/>
              <w:right w:val="single" w:sz="8" w:space="0" w:color="auto"/>
            </w:tcBorders>
            <w:vAlign w:val="center"/>
            <w:hideMark/>
          </w:tcPr>
          <w:p>
            <w:pPr>
              <w:spacing w:before="0" w:after="0"/>
              <w:jc w:val="left"/>
              <w:rPr>
                <w:rFonts w:ascii="Arial" w:eastAsia="Times New Roman" w:hAnsi="Arial" w:cs="Arial"/>
                <w:noProof/>
                <w:sz w:val="20"/>
                <w:szCs w:val="20"/>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rFonts w:ascii="Arial" w:eastAsia="Times New Roman" w:hAnsi="Arial" w:cs="Arial"/>
                <w:noProof/>
                <w:sz w:val="20"/>
                <w:szCs w:val="20"/>
              </w:rPr>
            </w:pPr>
          </w:p>
        </w:tc>
        <w:tc>
          <w:tcPr>
            <w:tcW w:w="197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b/>
                <w:bCs/>
                <w:noProof/>
                <w:sz w:val="20"/>
                <w:szCs w:val="20"/>
              </w:rPr>
            </w:pPr>
            <w:r>
              <w:rPr>
                <w:rFonts w:ascii="Arial" w:hAnsi="Arial"/>
                <w:b/>
                <w:noProof/>
                <w:sz w:val="20"/>
              </w:rPr>
              <w:t>10</w:t>
            </w:r>
            <w:r>
              <w:rPr>
                <w:rFonts w:ascii="Arial" w:hAnsi="Arial"/>
                <w:b/>
                <w:noProof/>
                <w:sz w:val="20"/>
                <w:vertAlign w:val="superscript"/>
              </w:rPr>
              <w:t>e</w:t>
            </w:r>
            <w:r>
              <w:rPr>
                <w:rFonts w:ascii="Arial" w:hAnsi="Arial"/>
                <w:b/>
                <w:noProof/>
                <w:sz w:val="20"/>
              </w:rPr>
              <w:t xml:space="preserve"> FED</w:t>
            </w:r>
          </w:p>
        </w:tc>
        <w:tc>
          <w:tcPr>
            <w:tcW w:w="212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b/>
                <w:bCs/>
                <w:noProof/>
                <w:sz w:val="20"/>
                <w:szCs w:val="20"/>
              </w:rPr>
            </w:pPr>
            <w:r>
              <w:rPr>
                <w:rFonts w:ascii="Arial" w:hAnsi="Arial"/>
                <w:b/>
                <w:noProof/>
                <w:sz w:val="20"/>
              </w:rPr>
              <w:t>10</w:t>
            </w:r>
            <w:r>
              <w:rPr>
                <w:rFonts w:ascii="Arial" w:hAnsi="Arial"/>
                <w:b/>
                <w:noProof/>
                <w:sz w:val="20"/>
                <w:vertAlign w:val="superscript"/>
              </w:rPr>
              <w:t>e</w:t>
            </w:r>
            <w:r>
              <w:rPr>
                <w:rFonts w:ascii="Arial" w:hAnsi="Arial"/>
                <w:b/>
                <w:noProof/>
                <w:sz w:val="20"/>
              </w:rPr>
              <w:t xml:space="preserve"> FED</w:t>
            </w:r>
          </w:p>
        </w:tc>
        <w:tc>
          <w:tcPr>
            <w:tcW w:w="2020" w:type="dxa"/>
            <w:vMerge/>
            <w:tcBorders>
              <w:top w:val="single" w:sz="4" w:space="0" w:color="auto"/>
              <w:left w:val="single" w:sz="4" w:space="0" w:color="auto"/>
              <w:bottom w:val="single" w:sz="4" w:space="0" w:color="000000"/>
              <w:right w:val="single" w:sz="8" w:space="0" w:color="auto"/>
            </w:tcBorders>
            <w:vAlign w:val="center"/>
            <w:hideMark/>
          </w:tcPr>
          <w:p>
            <w:pPr>
              <w:spacing w:before="0" w:after="0"/>
              <w:jc w:val="left"/>
              <w:rPr>
                <w:rFonts w:ascii="Arial" w:eastAsia="Times New Roman" w:hAnsi="Arial" w:cs="Arial"/>
                <w:b/>
                <w:bCs/>
                <w:noProof/>
                <w:sz w:val="20"/>
                <w:szCs w:val="20"/>
              </w:rPr>
            </w:pP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AUTRICHE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2,41</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2 410 000,00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40 970 000,00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43 380 000,00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BELGIQUE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3,53</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3 530 000,00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60 010 000,00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63 540 000,00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BULGARIE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0,14</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140 000,00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2 380 000,00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2 520 000,00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CHYPRE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0,09</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90 000,00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1 530 000,00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1 620 000,0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RÉP. TCHÈQUE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0,51</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510 000,00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8 670 000,00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9 180 000,00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DANEMARK</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2,00</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2 000 000,00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34 000 000,00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36 000 000,00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ESTONIE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0,05</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50 000,00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850 000,00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900 000,00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FINLANDE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1,47</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1 470 000,00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24 990 000,00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26 460 000,00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FRANCE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19,55</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19 550 000,00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332 350 000,00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351 900 000,00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ALLEMAGNE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20,50</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20 500 000,00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348 500 000,00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369 000 000,00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GRÈCE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1,47</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1 470 000,00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24 990 000,00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26 460 000,00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HONGRIE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0,55</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550 000,00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9 350 000,00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9 900 000,00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IRLANDE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0,91</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910 000,00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15 470 000,00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16 380 000,00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ITALIE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12,86</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12 860 000,00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218 620 000,00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231 480 000,00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LETTONIE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0,07</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70 000,00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1 190 000,00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1 260 000,00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LITUANIE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0,12</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120 000,00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2 040 000,00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2 160 000,00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LUXEMBOURG</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0,27</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270 000,00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4 590 000,00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4 860 000,00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MALTE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0,03</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30 000,00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510 000,00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540 000,00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PAYS-BAS</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4,85</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4 850 000,00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82 450 000,00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87 300 000,00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POLOGNE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1,30</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1 300 000,00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22 100 000,00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23 400 000,00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PORTUGAL</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1,15</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1 150 000,00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19 550 000,00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20 700 000,00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ROUMANIE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0,37</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370 000,00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6 290 000,00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6 660 000,00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SLOVAQUIE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0,21</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210 000,00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3 570 000,00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3 780 000,00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SLOVÉNIE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0,18</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180 000,00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3 060 000,00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3 240 000,00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ESPAGNE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7,85</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7 850 000,00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133 450 000,00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141 300 000,00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SUÈDE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2,74</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2 740 000,00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46 580 000,00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49 320 000,00</w:t>
            </w:r>
          </w:p>
        </w:tc>
      </w:tr>
      <w:tr>
        <w:trPr>
          <w:trHeight w:val="270"/>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r>
              <w:rPr>
                <w:rFonts w:ascii="Arial" w:hAnsi="Arial"/>
                <w:noProof/>
                <w:sz w:val="20"/>
              </w:rPr>
              <w:t>ROYAUME-UNI</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rPr>
            </w:pPr>
            <w:r>
              <w:rPr>
                <w:rFonts w:ascii="Arial" w:hAnsi="Arial"/>
                <w:noProof/>
                <w:sz w:val="20"/>
              </w:rPr>
              <w:t>14,82</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14 820 000,00</w:t>
            </w:r>
          </w:p>
        </w:tc>
        <w:tc>
          <w:tcPr>
            <w:tcW w:w="2127" w:type="dxa"/>
            <w:tcBorders>
              <w:top w:val="nil"/>
              <w:left w:val="nil"/>
              <w:bottom w:val="single" w:sz="8" w:space="0" w:color="auto"/>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251 940 000,00</w:t>
            </w:r>
          </w:p>
        </w:tc>
        <w:tc>
          <w:tcPr>
            <w:tcW w:w="2020" w:type="dxa"/>
            <w:tcBorders>
              <w:top w:val="nil"/>
              <w:left w:val="nil"/>
              <w:bottom w:val="single" w:sz="8" w:space="0" w:color="auto"/>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rPr>
            </w:pPr>
            <w:r>
              <w:rPr>
                <w:rFonts w:ascii="Arial" w:hAnsi="Arial"/>
                <w:noProof/>
                <w:sz w:val="20"/>
              </w:rPr>
              <w:t>266 760 000,00</w:t>
            </w:r>
          </w:p>
        </w:tc>
      </w:tr>
      <w:tr>
        <w:trPr>
          <w:trHeight w:val="270"/>
        </w:trPr>
        <w:tc>
          <w:tcPr>
            <w:tcW w:w="2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before="0" w:after="0"/>
              <w:jc w:val="left"/>
              <w:rPr>
                <w:rFonts w:ascii="Arial" w:eastAsia="Times New Roman" w:hAnsi="Arial" w:cs="Arial"/>
                <w:b/>
                <w:bCs/>
                <w:noProof/>
                <w:sz w:val="20"/>
                <w:szCs w:val="20"/>
              </w:rPr>
            </w:pPr>
            <w:r>
              <w:rPr>
                <w:rFonts w:ascii="Arial" w:hAnsi="Arial"/>
                <w:b/>
                <w:noProof/>
                <w:sz w:val="20"/>
              </w:rPr>
              <w:t>TOTAL UE</w:t>
            </w:r>
            <w:r>
              <w:rPr>
                <w:noProof/>
              </w:rPr>
              <w:noBreakHyphen/>
            </w:r>
            <w:r>
              <w:rPr>
                <w:rFonts w:ascii="Arial" w:hAnsi="Arial"/>
                <w:b/>
                <w:noProof/>
                <w:sz w:val="20"/>
              </w:rPr>
              <w:t>27</w:t>
            </w:r>
          </w:p>
        </w:tc>
        <w:tc>
          <w:tcPr>
            <w:tcW w:w="1060" w:type="dxa"/>
            <w:tcBorders>
              <w:top w:val="single" w:sz="8" w:space="0" w:color="auto"/>
              <w:left w:val="nil"/>
              <w:bottom w:val="single" w:sz="8" w:space="0" w:color="auto"/>
              <w:right w:val="single" w:sz="8" w:space="0" w:color="auto"/>
            </w:tcBorders>
            <w:shd w:val="clear" w:color="000000" w:fill="C0C0C0"/>
            <w:noWrap/>
            <w:vAlign w:val="bottom"/>
            <w:hideMark/>
          </w:tcPr>
          <w:p>
            <w:pPr>
              <w:spacing w:before="0" w:after="0"/>
              <w:jc w:val="center"/>
              <w:rPr>
                <w:rFonts w:ascii="Arial" w:eastAsia="Times New Roman" w:hAnsi="Arial" w:cs="Arial"/>
                <w:b/>
                <w:bCs/>
                <w:noProof/>
                <w:sz w:val="20"/>
                <w:szCs w:val="20"/>
              </w:rPr>
            </w:pPr>
            <w:r>
              <w:rPr>
                <w:rFonts w:ascii="Arial" w:hAnsi="Arial"/>
                <w:b/>
                <w:noProof/>
                <w:sz w:val="20"/>
              </w:rPr>
              <w:t>100,00</w:t>
            </w:r>
          </w:p>
        </w:tc>
        <w:tc>
          <w:tcPr>
            <w:tcW w:w="197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pPr>
              <w:spacing w:before="0" w:after="0"/>
              <w:ind w:firstLineChars="100" w:firstLine="201"/>
              <w:jc w:val="right"/>
              <w:rPr>
                <w:rFonts w:ascii="Arial" w:eastAsia="Times New Roman" w:hAnsi="Arial" w:cs="Arial"/>
                <w:b/>
                <w:bCs/>
                <w:noProof/>
                <w:sz w:val="20"/>
                <w:szCs w:val="20"/>
              </w:rPr>
            </w:pPr>
            <w:r>
              <w:rPr>
                <w:rFonts w:ascii="Arial" w:hAnsi="Arial"/>
                <w:b/>
                <w:noProof/>
                <w:sz w:val="20"/>
              </w:rPr>
              <w:t>100 000 000,00</w:t>
            </w:r>
          </w:p>
        </w:tc>
        <w:tc>
          <w:tcPr>
            <w:tcW w:w="2127" w:type="dxa"/>
            <w:tcBorders>
              <w:top w:val="nil"/>
              <w:left w:val="nil"/>
              <w:bottom w:val="single" w:sz="8" w:space="0" w:color="auto"/>
              <w:right w:val="single" w:sz="4" w:space="0" w:color="auto"/>
            </w:tcBorders>
            <w:shd w:val="clear" w:color="auto" w:fill="auto"/>
            <w:noWrap/>
            <w:vAlign w:val="bottom"/>
            <w:hideMark/>
          </w:tcPr>
          <w:p>
            <w:pPr>
              <w:spacing w:before="0" w:after="0"/>
              <w:ind w:firstLineChars="100" w:firstLine="201"/>
              <w:jc w:val="right"/>
              <w:rPr>
                <w:rFonts w:ascii="Arial" w:eastAsia="Times New Roman" w:hAnsi="Arial" w:cs="Arial"/>
                <w:b/>
                <w:bCs/>
                <w:noProof/>
                <w:sz w:val="20"/>
                <w:szCs w:val="20"/>
              </w:rPr>
            </w:pPr>
            <w:r>
              <w:rPr>
                <w:rFonts w:ascii="Arial" w:hAnsi="Arial"/>
                <w:b/>
                <w:noProof/>
                <w:sz w:val="20"/>
              </w:rPr>
              <w:t>1 700 000 000,00</w:t>
            </w:r>
          </w:p>
        </w:tc>
        <w:tc>
          <w:tcPr>
            <w:tcW w:w="2020" w:type="dxa"/>
            <w:tcBorders>
              <w:top w:val="nil"/>
              <w:left w:val="nil"/>
              <w:bottom w:val="single" w:sz="8" w:space="0" w:color="auto"/>
              <w:right w:val="single" w:sz="8" w:space="0" w:color="auto"/>
            </w:tcBorders>
            <w:shd w:val="clear" w:color="auto" w:fill="auto"/>
            <w:noWrap/>
            <w:vAlign w:val="bottom"/>
            <w:hideMark/>
          </w:tcPr>
          <w:p>
            <w:pPr>
              <w:spacing w:before="0" w:after="0"/>
              <w:ind w:firstLineChars="100" w:firstLine="201"/>
              <w:jc w:val="right"/>
              <w:rPr>
                <w:rFonts w:ascii="Arial" w:eastAsia="Times New Roman" w:hAnsi="Arial" w:cs="Arial"/>
                <w:b/>
                <w:bCs/>
                <w:noProof/>
                <w:sz w:val="20"/>
                <w:szCs w:val="20"/>
              </w:rPr>
            </w:pPr>
            <w:r>
              <w:rPr>
                <w:rFonts w:ascii="Arial" w:hAnsi="Arial"/>
                <w:b/>
                <w:noProof/>
                <w:sz w:val="20"/>
              </w:rPr>
              <w:t>1 800 000 000,00</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628F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88624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6094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CAC2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F88F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D824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22E21A"/>
    <w:lvl w:ilvl="0">
      <w:start w:val="1"/>
      <w:numFmt w:val="decimal"/>
      <w:pStyle w:val="ListNumber"/>
      <w:lvlText w:val="%1."/>
      <w:lvlJc w:val="left"/>
      <w:pPr>
        <w:tabs>
          <w:tab w:val="num" w:pos="360"/>
        </w:tabs>
        <w:ind w:left="360" w:hanging="360"/>
      </w:pPr>
    </w:lvl>
  </w:abstractNum>
  <w:abstractNum w:abstractNumId="7">
    <w:nsid w:val="FFFFFF89"/>
    <w:multiLevelType w:val="singleLevel"/>
    <w:tmpl w:val="3BD4A3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4 09:57: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à là"/>
    <w:docVar w:name="LW_ACCOMPAGNANT.CP" w:val="à là"/>
    <w:docVar w:name="LW_ANNEX_NBR_FIRST" w:val="1"/>
    <w:docVar w:name="LW_ANNEX_NBR_LAST" w:val="1"/>
    <w:docVar w:name="LW_CONFIDENCE" w:val=" "/>
    <w:docVar w:name="LW_CONST_RESTREINT_UE" w:val="RESTREINT UE"/>
    <w:docVar w:name="LW_CORRIGENDUM" w:val="&lt;UNUSED&gt;"/>
    <w:docVar w:name="LW_COVERPAGE_GUID" w:val="07088654198D46A185846BA88FBD41D4"/>
    <w:docVar w:name="LW_CROSSREFERENCE" w:val="&lt;UNUSED&gt;"/>
    <w:docVar w:name="LW_DocType" w:val="ANNEX"/>
    <w:docVar w:name="LW_EMISSION" w:val="14.10.2016"/>
    <w:docVar w:name="LW_EMISSION_ISODATE" w:val="2016-10-1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aux contributions financières à verser par les États membres pour financer le Fonds européen de développement, notamment le plafond pour l'exercice 2018, le montant annuel pour l'exercice 2017 et la première tranche pour l'exercice 2017."/>
    <w:docVar w:name="LW_OBJETACTEPRINCIPAL.CP" w:val="relative aux contributions financières à verser par les États membres pour financer le Fonds européen de développement, notamment le plafond pour l'exercice 2018, le montant annuel pour l'exercice 2017 et la première tranche pour l'exercice 2017."/>
    <w:docVar w:name="LW_PART_NBR" w:val="1"/>
    <w:docVar w:name="LW_PART_NBR_TOTAL" w:val="1"/>
    <w:docVar w:name="LW_REF.INST.NEW" w:val="COM"/>
    <w:docVar w:name="LW_REF.INST.NEW_ADOPTED" w:val="final"/>
    <w:docVar w:name="LW_REF.INST.NEW_TEXT" w:val="(2016) 654"/>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55577">
      <w:bodyDiv w:val="1"/>
      <w:marLeft w:val="0"/>
      <w:marRight w:val="0"/>
      <w:marTop w:val="0"/>
      <w:marBottom w:val="0"/>
      <w:divBdr>
        <w:top w:val="none" w:sz="0" w:space="0" w:color="auto"/>
        <w:left w:val="none" w:sz="0" w:space="0" w:color="auto"/>
        <w:bottom w:val="none" w:sz="0" w:space="0" w:color="auto"/>
        <w:right w:val="none" w:sz="0" w:space="0" w:color="auto"/>
      </w:divBdr>
    </w:div>
    <w:div w:id="1150750783">
      <w:bodyDiv w:val="1"/>
      <w:marLeft w:val="0"/>
      <w:marRight w:val="0"/>
      <w:marTop w:val="0"/>
      <w:marBottom w:val="0"/>
      <w:divBdr>
        <w:top w:val="none" w:sz="0" w:space="0" w:color="auto"/>
        <w:left w:val="none" w:sz="0" w:space="0" w:color="auto"/>
        <w:bottom w:val="none" w:sz="0" w:space="0" w:color="auto"/>
        <w:right w:val="none" w:sz="0" w:space="0" w:color="auto"/>
      </w:divBdr>
    </w:div>
    <w:div w:id="19149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329</Words>
  <Characters>1339</Characters>
  <Application>Microsoft Office Word</Application>
  <DocSecurity>0</DocSecurity>
  <Lines>191</Lines>
  <Paragraphs>185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CHEIKH Yagoub (DEVCO R1)</dc:creator>
  <cp:lastModifiedBy>DIGIT/A3</cp:lastModifiedBy>
  <cp:revision>7</cp:revision>
  <cp:lastPrinted>2016-09-29T08:57:00Z</cp:lastPrinted>
  <dcterms:created xsi:type="dcterms:W3CDTF">2016-09-30T13:39:00Z</dcterms:created>
  <dcterms:modified xsi:type="dcterms:W3CDTF">2016-10-14T07:57:00Z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