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57" w:rsidRDefault="002A2732">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33A833BEA8B4670AB1BA56E26905F4A" style="width:450.6pt;height:307.85pt">
            <v:imagedata r:id="rId9" o:title=""/>
          </v:shape>
        </w:pict>
      </w:r>
    </w:p>
    <w:bookmarkEnd w:id="0"/>
    <w:p w:rsidR="00542B57" w:rsidRDefault="00542B57">
      <w:pPr>
        <w:rPr>
          <w:noProof/>
        </w:rPr>
        <w:sectPr w:rsidR="00542B5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542B57" w:rsidRDefault="002A2732">
      <w:pPr>
        <w:spacing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lastRenderedPageBreak/>
        <w:t>Communication from the Commission to the European Parliament, the European Council and the Council</w:t>
      </w:r>
    </w:p>
    <w:p w:rsidR="00542B57" w:rsidRDefault="00542B57">
      <w:pPr>
        <w:spacing w:line="240" w:lineRule="auto"/>
        <w:jc w:val="center"/>
        <w:rPr>
          <w:rFonts w:ascii="Times New Roman" w:hAnsi="Times New Roman" w:cs="Times New Roman"/>
          <w:b/>
          <w:noProof/>
          <w:sz w:val="28"/>
          <w:szCs w:val="28"/>
        </w:rPr>
      </w:pPr>
    </w:p>
    <w:p w:rsidR="00542B57" w:rsidRDefault="002A2732">
      <w:pPr>
        <w:spacing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Towards a robust trade policy for the EU in the interest of jobs and growth</w:t>
      </w:r>
    </w:p>
    <w:p w:rsidR="00542B57" w:rsidRDefault="00542B57">
      <w:pPr>
        <w:spacing w:after="0" w:line="240" w:lineRule="auto"/>
        <w:jc w:val="both"/>
        <w:rPr>
          <w:rFonts w:ascii="Times New Roman" w:eastAsia="Times New Roman" w:hAnsi="Times New Roman" w:cs="Times New Roman"/>
          <w:noProof/>
          <w:sz w:val="24"/>
          <w:szCs w:val="24"/>
          <w:lang w:eastAsia="en-GB"/>
        </w:rPr>
      </w:pPr>
    </w:p>
    <w:p w:rsidR="00542B57" w:rsidRDefault="002A2732">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modern global economy, </w:t>
      </w:r>
      <w:r>
        <w:rPr>
          <w:rFonts w:ascii="Times New Roman" w:eastAsia="Times New Roman" w:hAnsi="Times New Roman" w:cs="Times New Roman"/>
          <w:b/>
          <w:noProof/>
          <w:sz w:val="24"/>
          <w:szCs w:val="24"/>
          <w:lang w:eastAsia="en-GB"/>
        </w:rPr>
        <w:t>trade is essential for growth, jobs and competiveness</w:t>
      </w:r>
      <w:r>
        <w:rPr>
          <w:rFonts w:ascii="Times New Roman" w:eastAsia="Times New Roman" w:hAnsi="Times New Roman" w:cs="Times New Roman"/>
          <w:noProof/>
          <w:sz w:val="24"/>
          <w:szCs w:val="24"/>
          <w:lang w:eastAsia="en-GB"/>
        </w:rPr>
        <w:t>, and the EU is committed to an open rules-based trading system. Exports now support almost one</w:t>
      </w:r>
      <w:r>
        <w:rPr>
          <w:rFonts w:ascii="Times New Roman" w:eastAsia="Times New Roman" w:hAnsi="Times New Roman" w:cs="Times New Roman"/>
          <w:noProof/>
          <w:sz w:val="24"/>
          <w:szCs w:val="24"/>
          <w:lang w:eastAsia="en-GB"/>
        </w:rPr>
        <w:t xml:space="preserve"> in seven manufacturing jobs in Europe (i.e. more than 30 million jobs – two thirds more than 15 years ago), while imports are a major source of productivity gains and allow consumers to benefit from access to more choice and lower cost products. Productio</w:t>
      </w:r>
      <w:r>
        <w:rPr>
          <w:rFonts w:ascii="Times New Roman" w:eastAsia="Times New Roman" w:hAnsi="Times New Roman" w:cs="Times New Roman"/>
          <w:noProof/>
          <w:sz w:val="24"/>
          <w:szCs w:val="24"/>
          <w:lang w:eastAsia="en-GB"/>
        </w:rPr>
        <w:t>n in the EU is dependent not only on energy and raw material imports, but also on parts, components and capital goods like machinery. Together, these products make up 80% of EU imports.</w:t>
      </w:r>
    </w:p>
    <w:p w:rsidR="00542B57" w:rsidRDefault="00542B57">
      <w:pPr>
        <w:spacing w:after="0" w:line="240" w:lineRule="auto"/>
        <w:jc w:val="both"/>
        <w:rPr>
          <w:rFonts w:ascii="Times New Roman" w:eastAsia="Times New Roman" w:hAnsi="Times New Roman" w:cs="Times New Roman"/>
          <w:noProof/>
          <w:sz w:val="24"/>
          <w:szCs w:val="24"/>
          <w:lang w:eastAsia="en-GB"/>
        </w:rPr>
      </w:pPr>
    </w:p>
    <w:p w:rsidR="00542B57" w:rsidRDefault="002A2732">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However, we are not naïve. </w:t>
      </w:r>
      <w:r>
        <w:rPr>
          <w:rFonts w:ascii="Times New Roman" w:eastAsia="Times New Roman" w:hAnsi="Times New Roman" w:cs="Times New Roman"/>
          <w:b/>
          <w:noProof/>
          <w:sz w:val="24"/>
          <w:szCs w:val="24"/>
          <w:lang w:eastAsia="en-GB"/>
        </w:rPr>
        <w:t>Free trade must also be fair</w:t>
      </w:r>
      <w:r>
        <w:rPr>
          <w:rFonts w:ascii="Times New Roman" w:eastAsia="Times New Roman" w:hAnsi="Times New Roman" w:cs="Times New Roman"/>
          <w:noProof/>
          <w:sz w:val="24"/>
          <w:szCs w:val="24"/>
          <w:lang w:eastAsia="en-GB"/>
        </w:rPr>
        <w:t>, and unfair t</w:t>
      </w:r>
      <w:r>
        <w:rPr>
          <w:rFonts w:ascii="Times New Roman" w:eastAsia="Times New Roman" w:hAnsi="Times New Roman" w:cs="Times New Roman"/>
          <w:noProof/>
          <w:sz w:val="24"/>
          <w:szCs w:val="24"/>
          <w:lang w:eastAsia="en-GB"/>
        </w:rPr>
        <w:t>rading practices, such as dumping and subsidisation by foreign producers and governments cause serious harm to EU industry and workers, undermining s</w:t>
      </w:r>
      <w:r>
        <w:rPr>
          <w:rFonts w:ascii="Times New Roman" w:hAnsi="Times New Roman" w:cs="Times New Roman"/>
          <w:noProof/>
          <w:sz w:val="24"/>
          <w:szCs w:val="24"/>
        </w:rPr>
        <w:t>upport for free trade, which is already under attack from many directions. For the Commission, this issue i</w:t>
      </w:r>
      <w:r>
        <w:rPr>
          <w:rFonts w:ascii="Times New Roman" w:hAnsi="Times New Roman" w:cs="Times New Roman"/>
          <w:noProof/>
          <w:sz w:val="24"/>
          <w:szCs w:val="24"/>
        </w:rPr>
        <w:t>s about making globalisation work fairly for the benefit of all.</w:t>
      </w:r>
    </w:p>
    <w:p w:rsidR="00542B57" w:rsidRDefault="00542B57">
      <w:pPr>
        <w:spacing w:after="0" w:line="240" w:lineRule="auto"/>
        <w:jc w:val="both"/>
        <w:rPr>
          <w:rFonts w:ascii="Times New Roman" w:hAnsi="Times New Roman" w:cs="Times New Roman"/>
          <w:noProof/>
          <w:sz w:val="24"/>
          <w:szCs w:val="24"/>
        </w:rPr>
      </w:pPr>
    </w:p>
    <w:p w:rsidR="00542B57" w:rsidRDefault="002A2732">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challenge of </w:t>
      </w:r>
      <w:r>
        <w:rPr>
          <w:rFonts w:ascii="Times New Roman" w:eastAsia="Times New Roman" w:hAnsi="Times New Roman" w:cs="Times New Roman"/>
          <w:b/>
          <w:noProof/>
          <w:sz w:val="24"/>
          <w:szCs w:val="24"/>
          <w:lang w:eastAsia="en-GB"/>
        </w:rPr>
        <w:t>unfair trade practices by third countries is getting more acute</w:t>
      </w:r>
      <w:r>
        <w:rPr>
          <w:rFonts w:ascii="Times New Roman" w:eastAsia="Times New Roman" w:hAnsi="Times New Roman" w:cs="Times New Roman"/>
          <w:noProof/>
          <w:sz w:val="24"/>
          <w:szCs w:val="24"/>
          <w:lang w:eastAsia="en-GB"/>
        </w:rPr>
        <w:t xml:space="preserve">. Government intervention, massive subsidies and policies that distort prices have resulted in huge overcapacities and ultimately in dumped exports on the EU market. This year has seen massive </w:t>
      </w:r>
      <w:r>
        <w:rPr>
          <w:rFonts w:ascii="Times New Roman" w:eastAsia="Times New Roman" w:hAnsi="Times New Roman" w:cs="Times New Roman"/>
          <w:b/>
          <w:noProof/>
          <w:sz w:val="24"/>
          <w:szCs w:val="24"/>
          <w:lang w:eastAsia="en-GB"/>
        </w:rPr>
        <w:t>overcapacities</w:t>
      </w:r>
      <w:r>
        <w:rPr>
          <w:rFonts w:ascii="Times New Roman" w:eastAsia="Times New Roman" w:hAnsi="Times New Roman" w:cs="Times New Roman"/>
          <w:noProof/>
          <w:sz w:val="24"/>
          <w:szCs w:val="24"/>
          <w:lang w:eastAsia="en-GB"/>
        </w:rPr>
        <w:t xml:space="preserve"> harm the EU steel sector. The steel overcapacity</w:t>
      </w:r>
      <w:r>
        <w:rPr>
          <w:rFonts w:ascii="Times New Roman" w:eastAsia="Times New Roman" w:hAnsi="Times New Roman" w:cs="Times New Roman"/>
          <w:noProof/>
          <w:sz w:val="24"/>
          <w:szCs w:val="24"/>
          <w:lang w:eastAsia="en-GB"/>
        </w:rPr>
        <w:t xml:space="preserve"> in China alone has been estimated at around 350 million tonnes, almost the double of the Union's annual production. Steel imports from China to the EU have surged in the last three years. Market prices for some steel products fell by up to 40% due to the </w:t>
      </w:r>
      <w:r>
        <w:rPr>
          <w:rFonts w:ascii="Times New Roman" w:eastAsia="Times New Roman" w:hAnsi="Times New Roman" w:cs="Times New Roman"/>
          <w:noProof/>
          <w:sz w:val="24"/>
          <w:szCs w:val="24"/>
          <w:lang w:eastAsia="en-GB"/>
        </w:rPr>
        <w:t>surge of volumes, particularly damaging in the steel sector which has seen 40.000 jobs lost since the beginning of the financial crisis</w:t>
      </w:r>
      <w:r>
        <w:rPr>
          <w:rStyle w:val="FootnoteReference"/>
          <w:rFonts w:ascii="Times New Roman" w:eastAsia="Times New Roman" w:hAnsi="Times New Roman"/>
          <w:noProof/>
          <w:sz w:val="24"/>
          <w:szCs w:val="24"/>
          <w:lang w:eastAsia="en-GB"/>
        </w:rPr>
        <w:footnoteReference w:id="2"/>
      </w:r>
      <w:r>
        <w:rPr>
          <w:rFonts w:ascii="Times New Roman" w:eastAsia="Times New Roman" w:hAnsi="Times New Roman" w:cs="Times New Roman"/>
          <w:noProof/>
          <w:sz w:val="24"/>
          <w:szCs w:val="24"/>
          <w:lang w:eastAsia="en-GB"/>
        </w:rPr>
        <w:t>.Overcapacities are also developing very fast in other sectors, for instance aluminium. China has almost 10 million tons</w:t>
      </w:r>
      <w:r>
        <w:rPr>
          <w:rFonts w:ascii="Times New Roman" w:eastAsia="Times New Roman" w:hAnsi="Times New Roman" w:cs="Times New Roman"/>
          <w:noProof/>
          <w:sz w:val="24"/>
          <w:szCs w:val="24"/>
          <w:lang w:eastAsia="en-GB"/>
        </w:rPr>
        <w:t xml:space="preserve"> of excess aluminium capacity, doubled from five years ago, boosted by subsidised energy (which represents up to 40% of the aluminium production cost). </w:t>
      </w:r>
    </w:p>
    <w:p w:rsidR="00542B57" w:rsidRDefault="002A2732">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addition, the higher duties imposed by other major World Trade Organisation members can lead to </w:t>
      </w:r>
      <w:r>
        <w:rPr>
          <w:rFonts w:ascii="Times New Roman" w:eastAsia="Times New Roman" w:hAnsi="Times New Roman" w:cs="Times New Roman"/>
          <w:b/>
          <w:noProof/>
          <w:sz w:val="24"/>
          <w:szCs w:val="24"/>
          <w:lang w:eastAsia="en-GB"/>
        </w:rPr>
        <w:t>trad</w:t>
      </w:r>
      <w:r>
        <w:rPr>
          <w:rFonts w:ascii="Times New Roman" w:eastAsia="Times New Roman" w:hAnsi="Times New Roman" w:cs="Times New Roman"/>
          <w:b/>
          <w:noProof/>
          <w:sz w:val="24"/>
          <w:szCs w:val="24"/>
          <w:lang w:eastAsia="en-GB"/>
        </w:rPr>
        <w:t>e diversion</w:t>
      </w:r>
      <w:r>
        <w:rPr>
          <w:rFonts w:ascii="Times New Roman" w:eastAsia="Times New Roman" w:hAnsi="Times New Roman" w:cs="Times New Roman"/>
          <w:noProof/>
          <w:sz w:val="24"/>
          <w:szCs w:val="24"/>
          <w:lang w:eastAsia="en-GB"/>
        </w:rPr>
        <w:t xml:space="preserve"> of dumped products into the EU market, further exacerbating the problem.</w:t>
      </w:r>
    </w:p>
    <w:p w:rsidR="00542B57" w:rsidRDefault="002A2732">
      <w:pPr>
        <w:pStyle w:val="FootnoteText"/>
        <w:rPr>
          <w:noProof/>
          <w:sz w:val="24"/>
          <w:szCs w:val="24"/>
          <w:lang w:val="en-US"/>
        </w:rPr>
      </w:pPr>
      <w:r>
        <w:rPr>
          <w:noProof/>
          <w:sz w:val="24"/>
          <w:szCs w:val="24"/>
        </w:rPr>
        <w:t>The EU's Trade Defence Instruments are an instrument to shield the EU against unfair trade. The Commission's use of these instruments is carefully targeted and evidence-ba</w:t>
      </w:r>
      <w:r>
        <w:rPr>
          <w:noProof/>
          <w:sz w:val="24"/>
          <w:szCs w:val="24"/>
        </w:rPr>
        <w:t>sed. The EU uses Trade Defence Instruments less than many other jurisdictions and only 0.21% of imports are affected.</w:t>
      </w:r>
    </w:p>
    <w:p w:rsidR="00542B57" w:rsidRDefault="00542B57">
      <w:pPr>
        <w:spacing w:after="0" w:line="240" w:lineRule="auto"/>
        <w:jc w:val="both"/>
        <w:rPr>
          <w:rFonts w:ascii="Times New Roman" w:eastAsia="Times New Roman" w:hAnsi="Times New Roman" w:cs="Times New Roman"/>
          <w:noProof/>
          <w:sz w:val="24"/>
          <w:szCs w:val="24"/>
          <w:lang w:val="en-US" w:eastAsia="en-GB"/>
        </w:rPr>
      </w:pPr>
    </w:p>
    <w:p w:rsidR="00542B57" w:rsidRDefault="002A2732">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Faced with massive overcapacities flooding the EU market, the European Commission has taken an unprecedented number of anti-dumping and a</w:t>
      </w:r>
      <w:r>
        <w:rPr>
          <w:rFonts w:ascii="Times New Roman" w:hAnsi="Times New Roman"/>
          <w:noProof/>
          <w:sz w:val="24"/>
          <w:szCs w:val="24"/>
        </w:rPr>
        <w:t xml:space="preserve">nti-subsidies measures. </w:t>
      </w:r>
      <w:r>
        <w:rPr>
          <w:rFonts w:ascii="Times New Roman" w:hAnsi="Times New Roman"/>
          <w:b/>
          <w:noProof/>
          <w:sz w:val="24"/>
          <w:szCs w:val="24"/>
        </w:rPr>
        <w:t>A</w:t>
      </w:r>
      <w:r>
        <w:rPr>
          <w:rFonts w:ascii="Times New Roman" w:eastAsia="Times New Roman" w:hAnsi="Times New Roman" w:cs="Times New Roman"/>
          <w:b/>
          <w:noProof/>
          <w:sz w:val="24"/>
          <w:szCs w:val="24"/>
          <w:lang w:eastAsia="en-GB"/>
        </w:rPr>
        <w:t xml:space="preserve">round </w:t>
      </w:r>
      <w:r>
        <w:rPr>
          <w:rFonts w:ascii="Times New Roman" w:eastAsia="Times New Roman" w:hAnsi="Times New Roman" w:cs="Times New Roman"/>
          <w:b/>
          <w:noProof/>
          <w:sz w:val="24"/>
          <w:szCs w:val="24"/>
          <w:lang w:eastAsia="en-GB"/>
        </w:rPr>
        <w:lastRenderedPageBreak/>
        <w:t>315,000 jobs in Europe have been protected,</w:t>
      </w:r>
      <w:r>
        <w:rPr>
          <w:rFonts w:ascii="Times New Roman" w:eastAsia="Times New Roman" w:hAnsi="Times New Roman" w:cs="Times New Roman"/>
          <w:noProof/>
          <w:sz w:val="24"/>
          <w:szCs w:val="24"/>
          <w:lang w:eastAsia="en-GB"/>
        </w:rPr>
        <w:t xml:space="preserve"> primarily in the iron and steel, chemical and allied industries, ceramics and mechanical engineering sectors. </w:t>
      </w:r>
      <w:r>
        <w:rPr>
          <w:rFonts w:ascii="Times New Roman" w:hAnsi="Times New Roman"/>
          <w:noProof/>
          <w:sz w:val="24"/>
          <w:szCs w:val="24"/>
        </w:rPr>
        <w:t xml:space="preserve">In the steel sector alone, </w:t>
      </w:r>
      <w:r>
        <w:rPr>
          <w:rFonts w:ascii="Times New Roman" w:hAnsi="Times New Roman" w:cs="Times New Roman"/>
          <w:noProof/>
          <w:sz w:val="24"/>
          <w:szCs w:val="24"/>
        </w:rPr>
        <w:t>the EU already has 39 anti-dumping and anti-</w:t>
      </w:r>
      <w:r>
        <w:rPr>
          <w:rFonts w:ascii="Times New Roman" w:hAnsi="Times New Roman" w:cs="Times New Roman"/>
          <w:noProof/>
          <w:sz w:val="24"/>
          <w:szCs w:val="24"/>
        </w:rPr>
        <w:t xml:space="preserve">subsidy measures in place to protect our steel industry from unfair competition, 17 of those concern China. Within the limits of existing EU law, the </w:t>
      </w:r>
      <w:r>
        <w:rPr>
          <w:rFonts w:ascii="Times New Roman" w:eastAsia="Times New Roman" w:hAnsi="Times New Roman" w:cs="Times New Roman"/>
          <w:noProof/>
          <w:sz w:val="24"/>
          <w:szCs w:val="24"/>
          <w:lang w:eastAsia="en-GB"/>
        </w:rPr>
        <w:t>Commission has been deploying the full force of the existing Trade Defence Instruments, including registra</w:t>
      </w:r>
      <w:r>
        <w:rPr>
          <w:rFonts w:ascii="Times New Roman" w:eastAsia="Times New Roman" w:hAnsi="Times New Roman" w:cs="Times New Roman"/>
          <w:noProof/>
          <w:sz w:val="24"/>
          <w:szCs w:val="24"/>
          <w:lang w:eastAsia="en-GB"/>
        </w:rPr>
        <w:t>tion of imports, increased transparency, faster imposition of measures, as well as – exceptionally - initiating cases on the basis of threat of injury.</w:t>
      </w:r>
    </w:p>
    <w:p w:rsidR="00542B57" w:rsidRDefault="002A2732">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However, we have reached the limit of what is feasible under the existing EU trade defence legislation t</w:t>
      </w:r>
      <w:r>
        <w:rPr>
          <w:rFonts w:ascii="Times New Roman" w:eastAsia="Times New Roman" w:hAnsi="Times New Roman" w:cs="Times New Roman"/>
          <w:noProof/>
          <w:sz w:val="24"/>
          <w:szCs w:val="24"/>
          <w:lang w:eastAsia="en-GB"/>
        </w:rPr>
        <w:t xml:space="preserve">o rein in external overcapacities and dumping. In order to preserve European jobs and ensure fair competition in open markets it is of crucial importance that the EU's trade defence instruments are effective in the face of these global challenges. This is </w:t>
      </w:r>
      <w:r>
        <w:rPr>
          <w:rFonts w:ascii="Times New Roman" w:eastAsia="Times New Roman" w:hAnsi="Times New Roman" w:cs="Times New Roman"/>
          <w:noProof/>
          <w:sz w:val="24"/>
          <w:szCs w:val="24"/>
          <w:lang w:eastAsia="en-GB"/>
        </w:rPr>
        <w:t xml:space="preserve">why </w:t>
      </w:r>
      <w:r>
        <w:rPr>
          <w:rFonts w:ascii="Times New Roman" w:eastAsia="Times New Roman" w:hAnsi="Times New Roman" w:cs="Times New Roman"/>
          <w:b/>
          <w:noProof/>
          <w:sz w:val="24"/>
          <w:szCs w:val="24"/>
          <w:lang w:eastAsia="en-GB"/>
        </w:rPr>
        <w:t>the 2013 Commission proposal to modernise trade defence instruments</w:t>
      </w:r>
      <w:r>
        <w:rPr>
          <w:rStyle w:val="FootnoteReference"/>
          <w:rFonts w:ascii="Times New Roman" w:eastAsia="Times New Roman" w:hAnsi="Times New Roman"/>
          <w:noProof/>
          <w:sz w:val="24"/>
          <w:szCs w:val="24"/>
          <w:lang w:eastAsia="en-GB"/>
        </w:rPr>
        <w:footnoteReference w:id="3"/>
      </w:r>
      <w:r>
        <w:rPr>
          <w:rFonts w:ascii="Times New Roman" w:hAnsi="Times New Roman"/>
          <w:noProof/>
          <w:sz w:val="24"/>
        </w:rPr>
        <w:t xml:space="preserve"> </w:t>
      </w:r>
      <w:r>
        <w:rPr>
          <w:rFonts w:ascii="Times New Roman" w:eastAsia="Times New Roman" w:hAnsi="Times New Roman" w:cs="Times New Roman"/>
          <w:b/>
          <w:noProof/>
          <w:sz w:val="24"/>
          <w:szCs w:val="24"/>
          <w:lang w:eastAsia="en-GB"/>
        </w:rPr>
        <w:t>must be adopted as a matter of urgency.</w:t>
      </w:r>
    </w:p>
    <w:p w:rsidR="00542B57" w:rsidRDefault="00542B57">
      <w:pPr>
        <w:spacing w:after="0" w:line="240" w:lineRule="auto"/>
        <w:jc w:val="both"/>
        <w:rPr>
          <w:rFonts w:ascii="Times New Roman" w:hAnsi="Times New Roman" w:cs="Times New Roman"/>
          <w:noProof/>
          <w:sz w:val="24"/>
          <w:szCs w:val="24"/>
        </w:rPr>
      </w:pPr>
    </w:p>
    <w:p w:rsidR="00542B57" w:rsidRDefault="002A2732">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addition, the international legal framework is changing as certain provisions on dumping calculations in the Accession Protocols of China, Vietnam and Tajikistan to the World Trade Organisation will shortly expire. The Commission envisages </w:t>
      </w:r>
      <w:r>
        <w:rPr>
          <w:rFonts w:ascii="Times New Roman" w:eastAsia="Times New Roman" w:hAnsi="Times New Roman" w:cs="Times New Roman"/>
          <w:b/>
          <w:noProof/>
          <w:sz w:val="24"/>
          <w:szCs w:val="24"/>
          <w:lang w:eastAsia="en-GB"/>
        </w:rPr>
        <w:t>further amend</w:t>
      </w:r>
      <w:r>
        <w:rPr>
          <w:rFonts w:ascii="Times New Roman" w:eastAsia="Times New Roman" w:hAnsi="Times New Roman" w:cs="Times New Roman"/>
          <w:b/>
          <w:noProof/>
          <w:sz w:val="24"/>
          <w:szCs w:val="24"/>
          <w:lang w:eastAsia="en-GB"/>
        </w:rPr>
        <w:t>ments to the current EU Trade Defence legislation</w:t>
      </w:r>
      <w:r>
        <w:rPr>
          <w:rFonts w:ascii="Times New Roman" w:eastAsia="Times New Roman" w:hAnsi="Times New Roman" w:cs="Times New Roman"/>
          <w:noProof/>
          <w:sz w:val="24"/>
          <w:szCs w:val="24"/>
          <w:lang w:eastAsia="en-GB"/>
        </w:rPr>
        <w:t xml:space="preserve">, including a new methodology for calculating dumping, allowing for action on newly revealed subsidies and ensuring an orderly transition to the new situation. </w:t>
      </w:r>
    </w:p>
    <w:p w:rsidR="00542B57" w:rsidRDefault="00542B57">
      <w:pPr>
        <w:spacing w:after="0" w:line="240" w:lineRule="auto"/>
        <w:jc w:val="both"/>
        <w:rPr>
          <w:rFonts w:ascii="Times New Roman" w:eastAsia="Times New Roman" w:hAnsi="Times New Roman" w:cs="Times New Roman"/>
          <w:noProof/>
          <w:sz w:val="24"/>
          <w:szCs w:val="24"/>
          <w:lang w:eastAsia="en-GB"/>
        </w:rPr>
      </w:pPr>
    </w:p>
    <w:p w:rsidR="00542B57" w:rsidRDefault="002A2732">
      <w:pPr>
        <w:spacing w:after="0" w:line="240" w:lineRule="auto"/>
        <w:jc w:val="both"/>
        <w:rPr>
          <w:rFonts w:ascii="Times New Roman" w:eastAsia="Times New Roman" w:hAnsi="Times New Roman" w:cs="Times New Roman"/>
          <w:b/>
          <w:noProof/>
          <w:sz w:val="24"/>
          <w:szCs w:val="24"/>
          <w:lang w:eastAsia="en-GB"/>
        </w:rPr>
      </w:pPr>
      <w:r>
        <w:rPr>
          <w:rFonts w:ascii="Times New Roman" w:hAnsi="Times New Roman" w:cs="Times New Roman"/>
          <w:b/>
          <w:noProof/>
          <w:sz w:val="24"/>
          <w:szCs w:val="24"/>
        </w:rPr>
        <w:t>T</w:t>
      </w:r>
      <w:r>
        <w:rPr>
          <w:rFonts w:ascii="Times New Roman" w:eastAsia="Times New Roman" w:hAnsi="Times New Roman" w:cs="Times New Roman"/>
          <w:b/>
          <w:noProof/>
          <w:sz w:val="24"/>
          <w:szCs w:val="24"/>
          <w:lang w:eastAsia="en-GB"/>
        </w:rPr>
        <w:t xml:space="preserve">he Commission believes it is now imperative </w:t>
      </w:r>
      <w:r>
        <w:rPr>
          <w:rFonts w:ascii="Times New Roman" w:eastAsia="Times New Roman" w:hAnsi="Times New Roman" w:cs="Times New Roman"/>
          <w:b/>
          <w:noProof/>
          <w:sz w:val="24"/>
          <w:szCs w:val="24"/>
          <w:lang w:eastAsia="en-GB"/>
        </w:rPr>
        <w:t xml:space="preserve">for the EU's Trade Defence Instruments to be updated, strengthened and made legally more robust.  </w:t>
      </w:r>
    </w:p>
    <w:p w:rsidR="00542B57" w:rsidRDefault="00542B57">
      <w:pPr>
        <w:spacing w:after="0" w:line="240" w:lineRule="auto"/>
        <w:jc w:val="both"/>
        <w:rPr>
          <w:rFonts w:ascii="Times New Roman" w:eastAsia="Times New Roman" w:hAnsi="Times New Roman" w:cs="Times New Roman"/>
          <w:noProof/>
          <w:sz w:val="24"/>
          <w:szCs w:val="24"/>
          <w:lang w:eastAsia="en-GB"/>
        </w:rPr>
      </w:pPr>
    </w:p>
    <w:p w:rsidR="00542B57" w:rsidRDefault="00542B57">
      <w:pPr>
        <w:spacing w:after="0" w:line="240" w:lineRule="auto"/>
        <w:jc w:val="both"/>
        <w:rPr>
          <w:rFonts w:ascii="Times New Roman" w:eastAsia="Times New Roman" w:hAnsi="Times New Roman" w:cs="Times New Roman"/>
          <w:noProof/>
          <w:sz w:val="24"/>
          <w:szCs w:val="24"/>
          <w:lang w:eastAsia="en-GB"/>
        </w:rPr>
      </w:pPr>
    </w:p>
    <w:p w:rsidR="00542B57" w:rsidRDefault="002A2732">
      <w:pPr>
        <w:spacing w:after="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1.</w:t>
      </w:r>
      <w:r>
        <w:rPr>
          <w:rFonts w:ascii="Times New Roman" w:eastAsia="Times New Roman" w:hAnsi="Times New Roman" w:cs="Times New Roman"/>
          <w:b/>
          <w:noProof/>
          <w:sz w:val="24"/>
          <w:szCs w:val="24"/>
          <w:lang w:eastAsia="en-GB"/>
        </w:rPr>
        <w:tab/>
        <w:t>The 2013 Commission proposal on the Modernisation of Trade Defence Instruments</w:t>
      </w:r>
    </w:p>
    <w:p w:rsidR="00542B57" w:rsidRDefault="00542B57">
      <w:pPr>
        <w:spacing w:after="0" w:line="240" w:lineRule="auto"/>
        <w:jc w:val="both"/>
        <w:rPr>
          <w:rFonts w:ascii="Times New Roman" w:eastAsia="Times New Roman" w:hAnsi="Times New Roman" w:cs="Times New Roman"/>
          <w:noProof/>
          <w:sz w:val="24"/>
          <w:szCs w:val="24"/>
          <w:lang w:eastAsia="en-GB"/>
        </w:rPr>
      </w:pPr>
    </w:p>
    <w:p w:rsidR="00542B57" w:rsidRDefault="002A2732">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April 2013, the Commission adopted an ambitious proposal to modernise</w:t>
      </w:r>
      <w:r>
        <w:rPr>
          <w:rFonts w:ascii="Times New Roman" w:eastAsia="Times New Roman" w:hAnsi="Times New Roman" w:cs="Times New Roman"/>
          <w:noProof/>
          <w:sz w:val="24"/>
          <w:szCs w:val="24"/>
          <w:lang w:eastAsia="en-GB"/>
        </w:rPr>
        <w:t xml:space="preserve"> Trade Defence Instruments, including better transparency, faster procedures and more effective enforcement. </w:t>
      </w:r>
      <w:r>
        <w:rPr>
          <w:rFonts w:ascii="Times New Roman" w:hAnsi="Times New Roman"/>
          <w:noProof/>
          <w:sz w:val="24"/>
          <w:szCs w:val="24"/>
        </w:rPr>
        <w:t>The Commission notably proposed  no longer to apply the lesser duty rule in certain well defined, narrow circumstances, i.e. for exports which bene</w:t>
      </w:r>
      <w:r>
        <w:rPr>
          <w:rFonts w:ascii="Times New Roman" w:hAnsi="Times New Roman"/>
          <w:noProof/>
          <w:sz w:val="24"/>
          <w:szCs w:val="24"/>
        </w:rPr>
        <w:t xml:space="preserve">fit from significant raw material distortions (such as through dual pricing, export taxes etc.). </w:t>
      </w:r>
      <w:r>
        <w:rPr>
          <w:rFonts w:ascii="Times New Roman" w:eastAsia="Times New Roman" w:hAnsi="Times New Roman" w:cs="Times New Roman"/>
          <w:noProof/>
          <w:sz w:val="24"/>
          <w:szCs w:val="24"/>
          <w:lang w:eastAsia="en-GB"/>
        </w:rPr>
        <w:t xml:space="preserve">The European Parliament adopted its position on the proposal in 2014. </w:t>
      </w:r>
    </w:p>
    <w:p w:rsidR="00542B57" w:rsidRDefault="00542B57">
      <w:pPr>
        <w:pStyle w:val="FootnoteText"/>
        <w:jc w:val="both"/>
        <w:rPr>
          <w:b/>
          <w:i/>
          <w:noProof/>
          <w:sz w:val="24"/>
          <w:szCs w:val="24"/>
        </w:rPr>
      </w:pPr>
    </w:p>
    <w:p w:rsidR="00542B57" w:rsidRDefault="002A2732">
      <w:pPr>
        <w:pStyle w:val="FootnoteText"/>
        <w:pBdr>
          <w:top w:val="single" w:sz="4" w:space="1" w:color="auto"/>
          <w:left w:val="single" w:sz="4" w:space="4" w:color="auto"/>
          <w:bottom w:val="single" w:sz="4" w:space="1" w:color="auto"/>
          <w:right w:val="single" w:sz="4" w:space="4" w:color="auto"/>
        </w:pBdr>
        <w:jc w:val="both"/>
        <w:rPr>
          <w:b/>
          <w:i/>
          <w:noProof/>
          <w:sz w:val="24"/>
          <w:szCs w:val="24"/>
        </w:rPr>
      </w:pPr>
      <w:r>
        <w:rPr>
          <w:b/>
          <w:i/>
          <w:noProof/>
          <w:sz w:val="24"/>
          <w:szCs w:val="24"/>
        </w:rPr>
        <w:t>What is the lesser duty rule?</w:t>
      </w:r>
    </w:p>
    <w:p w:rsidR="00542B57" w:rsidRDefault="002A2732">
      <w:pPr>
        <w:pStyle w:val="FootnoteText"/>
        <w:pBdr>
          <w:top w:val="single" w:sz="4" w:space="1" w:color="auto"/>
          <w:left w:val="single" w:sz="4" w:space="4" w:color="auto"/>
          <w:bottom w:val="single" w:sz="4" w:space="1" w:color="auto"/>
          <w:right w:val="single" w:sz="4" w:space="4" w:color="auto"/>
        </w:pBdr>
        <w:jc w:val="both"/>
        <w:rPr>
          <w:noProof/>
          <w:sz w:val="24"/>
          <w:szCs w:val="24"/>
        </w:rPr>
      </w:pPr>
      <w:r>
        <w:rPr>
          <w:noProof/>
          <w:sz w:val="24"/>
          <w:szCs w:val="24"/>
        </w:rPr>
        <w:t>To impose anti-dumping measures, there needs to be proven</w:t>
      </w:r>
      <w:r>
        <w:rPr>
          <w:noProof/>
          <w:sz w:val="24"/>
          <w:szCs w:val="24"/>
        </w:rPr>
        <w:t xml:space="preserve"> dumping from a third country </w:t>
      </w:r>
      <w:r>
        <w:rPr>
          <w:noProof/>
          <w:sz w:val="24"/>
          <w:szCs w:val="24"/>
          <w:u w:val="single"/>
        </w:rPr>
        <w:t>and</w:t>
      </w:r>
      <w:r>
        <w:rPr>
          <w:noProof/>
          <w:sz w:val="24"/>
          <w:szCs w:val="24"/>
        </w:rPr>
        <w:t xml:space="preserve"> proven injury for EU industry with a causal link between them. The level of anti-dumping duties is then imposed at the level of the dumping margin </w:t>
      </w:r>
      <w:r>
        <w:rPr>
          <w:noProof/>
          <w:sz w:val="24"/>
          <w:szCs w:val="24"/>
          <w:u w:val="single"/>
        </w:rPr>
        <w:t>or</w:t>
      </w:r>
      <w:r>
        <w:rPr>
          <w:noProof/>
          <w:sz w:val="24"/>
          <w:szCs w:val="24"/>
        </w:rPr>
        <w:t xml:space="preserve"> the level that removes injury, whichever is lower (the 'lesser duty'). F</w:t>
      </w:r>
      <w:r>
        <w:rPr>
          <w:noProof/>
          <w:sz w:val="24"/>
          <w:szCs w:val="24"/>
        </w:rPr>
        <w:t>or example, in the measures imposed on hot rolled coils originating in China</w:t>
      </w:r>
      <w:r>
        <w:rPr>
          <w:rStyle w:val="FootnoteReference"/>
          <w:noProof/>
        </w:rPr>
        <w:footnoteReference w:id="4"/>
      </w:r>
      <w:r>
        <w:rPr>
          <w:rStyle w:val="FootnoteReference"/>
          <w:noProof/>
        </w:rPr>
        <w:t xml:space="preserve">, </w:t>
      </w:r>
      <w:r>
        <w:rPr>
          <w:noProof/>
          <w:sz w:val="24"/>
          <w:szCs w:val="24"/>
        </w:rPr>
        <w:t xml:space="preserve">the dumping margin was 102% and the injury margin was 19%, which was the level of the duties set. </w:t>
      </w:r>
      <w:r>
        <w:rPr>
          <w:b/>
          <w:noProof/>
          <w:sz w:val="24"/>
          <w:szCs w:val="24"/>
        </w:rPr>
        <w:t xml:space="preserve">The lesser duty rule therefore caps the level of duties that can be imposed. </w:t>
      </w:r>
    </w:p>
    <w:p w:rsidR="00542B57" w:rsidRDefault="00542B57">
      <w:pPr>
        <w:pStyle w:val="FootnoteText"/>
        <w:pBdr>
          <w:top w:val="single" w:sz="4" w:space="1" w:color="auto"/>
          <w:left w:val="single" w:sz="4" w:space="4" w:color="auto"/>
          <w:bottom w:val="single" w:sz="4" w:space="1" w:color="auto"/>
          <w:right w:val="single" w:sz="4" w:space="4" w:color="auto"/>
        </w:pBdr>
        <w:jc w:val="both"/>
        <w:rPr>
          <w:noProof/>
          <w:sz w:val="24"/>
          <w:szCs w:val="24"/>
        </w:rPr>
      </w:pPr>
    </w:p>
    <w:p w:rsidR="00542B57" w:rsidRDefault="002A2732">
      <w:pPr>
        <w:pStyle w:val="FootnoteText"/>
        <w:pBdr>
          <w:top w:val="single" w:sz="4" w:space="1" w:color="auto"/>
          <w:left w:val="single" w:sz="4" w:space="4" w:color="auto"/>
          <w:bottom w:val="single" w:sz="4" w:space="1" w:color="auto"/>
          <w:right w:val="single" w:sz="4" w:space="4" w:color="auto"/>
        </w:pBdr>
        <w:jc w:val="both"/>
        <w:rPr>
          <w:noProof/>
          <w:sz w:val="24"/>
          <w:szCs w:val="24"/>
        </w:rPr>
      </w:pPr>
      <w:r>
        <w:rPr>
          <w:noProof/>
          <w:sz w:val="24"/>
          <w:szCs w:val="24"/>
        </w:rPr>
        <w:t xml:space="preserve">The EU's systematic application of the lesser duty rule goes beyond the basic obligations set out in the WTO Anti-Dumping Agreement. </w:t>
      </w:r>
      <w:r>
        <w:rPr>
          <w:b/>
          <w:noProof/>
          <w:sz w:val="24"/>
          <w:szCs w:val="24"/>
        </w:rPr>
        <w:t xml:space="preserve">The vast majority of other WTO Members </w:t>
      </w:r>
      <w:r>
        <w:rPr>
          <w:b/>
          <w:noProof/>
          <w:sz w:val="24"/>
          <w:szCs w:val="24"/>
        </w:rPr>
        <w:lastRenderedPageBreak/>
        <w:t>(including the US) do not exercise this type of self-restraint</w:t>
      </w:r>
      <w:r>
        <w:rPr>
          <w:noProof/>
          <w:sz w:val="24"/>
          <w:szCs w:val="24"/>
        </w:rPr>
        <w:t>. The US imposes twice</w:t>
      </w:r>
      <w:r>
        <w:rPr>
          <w:noProof/>
          <w:sz w:val="24"/>
          <w:szCs w:val="24"/>
        </w:rPr>
        <w:t xml:space="preserve"> as many anti-dumping measures as the EU, with typically much higher duties. For instance, in Cold rolled steel products, the US imposed a China countrywide anti-dumping rate of 266% in 2015, whereas in the EU, the equivalent rate was 21.1%</w:t>
      </w:r>
      <w:r>
        <w:rPr>
          <w:rStyle w:val="FootnoteReference"/>
          <w:noProof/>
          <w:sz w:val="24"/>
          <w:szCs w:val="24"/>
        </w:rPr>
        <w:footnoteReference w:id="5"/>
      </w:r>
      <w:r>
        <w:rPr>
          <w:noProof/>
          <w:sz w:val="24"/>
          <w:szCs w:val="24"/>
        </w:rPr>
        <w:t>. In Steel reba</w:t>
      </w:r>
      <w:r>
        <w:rPr>
          <w:noProof/>
          <w:sz w:val="24"/>
          <w:szCs w:val="24"/>
        </w:rPr>
        <w:t>rs, the US imposed a countrywide duty rate of 133% on imports from China in 2012, compared to 22.5%</w:t>
      </w:r>
      <w:r>
        <w:rPr>
          <w:rStyle w:val="FootnoteReference"/>
          <w:noProof/>
          <w:sz w:val="24"/>
          <w:szCs w:val="24"/>
        </w:rPr>
        <w:footnoteReference w:id="6"/>
      </w:r>
      <w:r>
        <w:rPr>
          <w:noProof/>
          <w:sz w:val="24"/>
          <w:szCs w:val="24"/>
        </w:rPr>
        <w:t xml:space="preserve"> imposed by the EU in 2016. </w:t>
      </w:r>
      <w:r>
        <w:rPr>
          <w:b/>
          <w:noProof/>
          <w:sz w:val="24"/>
          <w:szCs w:val="24"/>
        </w:rPr>
        <w:t>This marked difference in duty levels risks diverting trade to the EU, putting additional pressure on EU industry and workers.</w:t>
      </w:r>
    </w:p>
    <w:p w:rsidR="00542B57" w:rsidRDefault="00542B57">
      <w:pPr>
        <w:pStyle w:val="FootnoteText"/>
        <w:jc w:val="both"/>
        <w:rPr>
          <w:noProof/>
          <w:sz w:val="24"/>
          <w:szCs w:val="24"/>
        </w:rPr>
      </w:pPr>
    </w:p>
    <w:p w:rsidR="00542B57" w:rsidRDefault="002A2732">
      <w:pPr>
        <w:pStyle w:val="FootnoteText"/>
        <w:jc w:val="both"/>
        <w:rPr>
          <w:noProof/>
          <w:sz w:val="24"/>
          <w:szCs w:val="24"/>
        </w:rPr>
      </w:pPr>
      <w:r>
        <w:rPr>
          <w:noProof/>
          <w:sz w:val="24"/>
          <w:szCs w:val="24"/>
        </w:rPr>
        <w:t>In its Communication "Steel: Preserving sustainable jobs and growth in Europe" of March 2016 the Commission committed to using the existing Trade Defence Instruments to the maximum possible but also urged the Council to proceed swiftly to the adoption of t</w:t>
      </w:r>
      <w:r>
        <w:rPr>
          <w:noProof/>
          <w:sz w:val="24"/>
          <w:szCs w:val="24"/>
        </w:rPr>
        <w:t>he modernisation proposal. The Commission has also advanced ideas to the Council for legal changes on how to shorten trade defence investigations by two months and on how to change the present methodology for calculating the target profit.</w:t>
      </w:r>
    </w:p>
    <w:p w:rsidR="00542B57" w:rsidRDefault="00542B57">
      <w:pPr>
        <w:pStyle w:val="FootnoteText"/>
        <w:jc w:val="both"/>
        <w:rPr>
          <w:noProof/>
          <w:sz w:val="24"/>
          <w:szCs w:val="24"/>
        </w:rPr>
      </w:pPr>
    </w:p>
    <w:p w:rsidR="00542B57" w:rsidRDefault="002A2732">
      <w:pPr>
        <w:pStyle w:val="FootnoteText"/>
        <w:jc w:val="both"/>
        <w:rPr>
          <w:noProof/>
          <w:sz w:val="24"/>
          <w:szCs w:val="24"/>
        </w:rPr>
      </w:pPr>
      <w:r>
        <w:rPr>
          <w:noProof/>
          <w:sz w:val="24"/>
          <w:szCs w:val="24"/>
        </w:rPr>
        <w:t>The President o</w:t>
      </w:r>
      <w:r>
        <w:rPr>
          <w:noProof/>
          <w:sz w:val="24"/>
          <w:szCs w:val="24"/>
        </w:rPr>
        <w:t>f the Commission in the State of the Union Address in September 2016 said: "</w:t>
      </w:r>
      <w:r>
        <w:rPr>
          <w:i/>
          <w:noProof/>
          <w:sz w:val="24"/>
          <w:szCs w:val="24"/>
        </w:rPr>
        <w:t>we need to do more, as overproduction in some parts of the world is putting European producers out of business. This is why I was in China twice this year to address the issue of o</w:t>
      </w:r>
      <w:r>
        <w:rPr>
          <w:i/>
          <w:noProof/>
          <w:sz w:val="24"/>
          <w:szCs w:val="24"/>
        </w:rPr>
        <w:t>vercapacity. This is also why the Commission has proposed to change the lesser duty rule</w:t>
      </w:r>
      <w:r>
        <w:rPr>
          <w:i/>
          <w:noProof/>
        </w:rPr>
        <w:t xml:space="preserve">.  </w:t>
      </w:r>
      <w:r>
        <w:rPr>
          <w:rFonts w:cs="EC Square Sans Pro"/>
          <w:i/>
          <w:noProof/>
          <w:color w:val="000000"/>
          <w:sz w:val="23"/>
          <w:szCs w:val="23"/>
        </w:rPr>
        <w:t xml:space="preserve">The United States imposes a 265 % import tariff on Chinese steel, but here in Europe, some governments have for years insisted we reduce tariffs on Chinese steel. I </w:t>
      </w:r>
      <w:r>
        <w:rPr>
          <w:rFonts w:cs="EC Square Sans Pro"/>
          <w:i/>
          <w:noProof/>
          <w:color w:val="000000"/>
          <w:sz w:val="23"/>
          <w:szCs w:val="23"/>
        </w:rPr>
        <w:t xml:space="preserve">call on all Member States and on this Parliament to support the Commission in strengthening our trade defence instruments. </w:t>
      </w:r>
      <w:r>
        <w:rPr>
          <w:rFonts w:cs="EC Square Sans Pro"/>
          <w:bCs/>
          <w:i/>
          <w:noProof/>
          <w:color w:val="000000"/>
          <w:sz w:val="23"/>
          <w:szCs w:val="23"/>
        </w:rPr>
        <w:t>We should not be naïve free traders, but be able to respond as forcefully to dumping as the United States</w:t>
      </w:r>
      <w:r>
        <w:rPr>
          <w:rFonts w:cs="EC Square Sans Pro"/>
          <w:noProof/>
          <w:color w:val="000000"/>
          <w:sz w:val="23"/>
          <w:szCs w:val="23"/>
        </w:rPr>
        <w:t xml:space="preserve">. </w:t>
      </w:r>
      <w:r>
        <w:rPr>
          <w:noProof/>
        </w:rPr>
        <w:t>"</w:t>
      </w:r>
      <w:r>
        <w:rPr>
          <w:rStyle w:val="FootnoteReference"/>
          <w:noProof/>
          <w:sz w:val="24"/>
          <w:szCs w:val="24"/>
        </w:rPr>
        <w:footnoteReference w:id="7"/>
      </w:r>
      <w:r>
        <w:rPr>
          <w:noProof/>
          <w:sz w:val="24"/>
          <w:szCs w:val="24"/>
        </w:rPr>
        <w:t xml:space="preserve"> </w:t>
      </w:r>
    </w:p>
    <w:p w:rsidR="00542B57" w:rsidRDefault="00542B57">
      <w:pPr>
        <w:pStyle w:val="FootnoteText"/>
        <w:jc w:val="both"/>
        <w:rPr>
          <w:noProof/>
          <w:sz w:val="24"/>
          <w:szCs w:val="24"/>
        </w:rPr>
      </w:pPr>
    </w:p>
    <w:p w:rsidR="00542B57" w:rsidRDefault="002A2732">
      <w:pPr>
        <w:pStyle w:val="FootnoteText"/>
        <w:jc w:val="both"/>
        <w:rPr>
          <w:noProof/>
          <w:sz w:val="24"/>
          <w:szCs w:val="24"/>
        </w:rPr>
      </w:pPr>
      <w:r>
        <w:rPr>
          <w:noProof/>
          <w:sz w:val="24"/>
          <w:szCs w:val="24"/>
        </w:rPr>
        <w:t>However, despite nume</w:t>
      </w:r>
      <w:r>
        <w:rPr>
          <w:noProof/>
          <w:sz w:val="24"/>
          <w:szCs w:val="24"/>
        </w:rPr>
        <w:t>rous calls by the European Council to take swift action, including in March and June 2016, the Council has to this date not been able to find an agreement on the modernisation proposal, notably due to an impasse over the adaptation of the lesser duty rule.</w:t>
      </w:r>
      <w:r>
        <w:rPr>
          <w:noProof/>
          <w:sz w:val="24"/>
          <w:szCs w:val="24"/>
        </w:rPr>
        <w:t xml:space="preserve"> </w:t>
      </w:r>
    </w:p>
    <w:p w:rsidR="00542B57" w:rsidRDefault="00542B57">
      <w:pPr>
        <w:pStyle w:val="FootnoteText"/>
        <w:jc w:val="both"/>
        <w:rPr>
          <w:noProof/>
          <w:sz w:val="24"/>
          <w:szCs w:val="24"/>
        </w:rPr>
      </w:pPr>
    </w:p>
    <w:p w:rsidR="00542B57" w:rsidRDefault="002A2732">
      <w:pPr>
        <w:pStyle w:val="FootnoteText"/>
        <w:jc w:val="both"/>
        <w:rPr>
          <w:noProof/>
          <w:sz w:val="24"/>
          <w:szCs w:val="24"/>
        </w:rPr>
      </w:pPr>
      <w:r>
        <w:rPr>
          <w:noProof/>
          <w:sz w:val="24"/>
          <w:szCs w:val="24"/>
        </w:rPr>
        <w:t>The Commission has proposed possible compromises in which the lesser duty rule would be adapted in some specific and carefully-defined cases where there are massive overcapacities and/or raw material distortions (for example in energy prices).</w:t>
      </w:r>
    </w:p>
    <w:p w:rsidR="00542B57" w:rsidRDefault="00542B57">
      <w:pPr>
        <w:pStyle w:val="FootnoteText"/>
        <w:jc w:val="both"/>
        <w:rPr>
          <w:noProof/>
          <w:sz w:val="24"/>
          <w:szCs w:val="24"/>
        </w:rPr>
      </w:pPr>
    </w:p>
    <w:p w:rsidR="00542B57" w:rsidRDefault="002A2732">
      <w:pPr>
        <w:spacing w:after="0" w:line="240" w:lineRule="auto"/>
        <w:jc w:val="both"/>
        <w:rPr>
          <w:rFonts w:ascii="Times New Roman" w:hAnsi="Times New Roman" w:cs="Times New Roman"/>
          <w:b/>
          <w:noProof/>
          <w:sz w:val="24"/>
          <w:szCs w:val="24"/>
        </w:rPr>
      </w:pPr>
      <w:r>
        <w:rPr>
          <w:rFonts w:ascii="Times New Roman" w:hAnsi="Times New Roman" w:cs="Times New Roman"/>
          <w:noProof/>
          <w:sz w:val="24"/>
          <w:szCs w:val="24"/>
        </w:rPr>
        <w:t>Given th</w:t>
      </w:r>
      <w:r>
        <w:rPr>
          <w:rFonts w:ascii="Times New Roman" w:hAnsi="Times New Roman" w:cs="Times New Roman"/>
          <w:noProof/>
          <w:sz w:val="24"/>
          <w:szCs w:val="24"/>
        </w:rPr>
        <w:t xml:space="preserve">e challenges currently faced by EU industry, </w:t>
      </w:r>
      <w:r>
        <w:rPr>
          <w:rFonts w:ascii="Times New Roman" w:hAnsi="Times New Roman" w:cs="Times New Roman"/>
          <w:b/>
          <w:noProof/>
          <w:sz w:val="24"/>
          <w:szCs w:val="24"/>
        </w:rPr>
        <w:t>finding an agreement on this proposal has become critical.</w:t>
      </w:r>
    </w:p>
    <w:p w:rsidR="00542B57" w:rsidRDefault="00542B57">
      <w:pPr>
        <w:spacing w:after="0" w:line="240" w:lineRule="auto"/>
        <w:jc w:val="both"/>
        <w:rPr>
          <w:rFonts w:ascii="Times New Roman" w:eastAsia="Times New Roman" w:hAnsi="Times New Roman" w:cs="Times New Roman"/>
          <w:noProof/>
          <w:sz w:val="24"/>
          <w:szCs w:val="24"/>
          <w:lang w:eastAsia="en-GB"/>
        </w:rPr>
      </w:pPr>
    </w:p>
    <w:p w:rsidR="00542B57" w:rsidRDefault="00542B57">
      <w:pPr>
        <w:spacing w:after="0" w:line="240" w:lineRule="auto"/>
        <w:jc w:val="both"/>
        <w:rPr>
          <w:rFonts w:ascii="Times New Roman" w:eastAsia="Times New Roman" w:hAnsi="Times New Roman" w:cs="Times New Roman"/>
          <w:noProof/>
          <w:sz w:val="24"/>
          <w:szCs w:val="24"/>
          <w:lang w:eastAsia="en-GB"/>
        </w:rPr>
      </w:pPr>
    </w:p>
    <w:p w:rsidR="00542B57" w:rsidRDefault="002A2732">
      <w:pPr>
        <w:spacing w:line="240"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2. </w:t>
      </w:r>
      <w:r>
        <w:rPr>
          <w:rFonts w:ascii="Times New Roman" w:eastAsia="Times New Roman" w:hAnsi="Times New Roman" w:cs="Times New Roman"/>
          <w:b/>
          <w:noProof/>
          <w:sz w:val="24"/>
          <w:szCs w:val="24"/>
          <w:lang w:eastAsia="en-GB"/>
        </w:rPr>
        <w:tab/>
        <w:t xml:space="preserve">The Commission's forthcoming proposal: addressing situations where market prices do not prevail </w:t>
      </w:r>
    </w:p>
    <w:p w:rsidR="00542B57" w:rsidRDefault="002A2732">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 world of global and complex supply chains, the traditional calculation of dumping does not capture all the factors and distortions that exist in some emerging and transition economies. The EU cannot remain defenceless against massive subsidies, govern</w:t>
      </w:r>
      <w:r>
        <w:rPr>
          <w:rFonts w:ascii="Times New Roman" w:eastAsia="Times New Roman" w:hAnsi="Times New Roman" w:cs="Times New Roman"/>
          <w:noProof/>
          <w:sz w:val="24"/>
          <w:szCs w:val="24"/>
          <w:lang w:eastAsia="en-GB"/>
        </w:rPr>
        <w:t xml:space="preserve">ment interference, lack of transparency and non-independent financial sector providing unfair advantages to exporters in some countries. </w:t>
      </w:r>
    </w:p>
    <w:p w:rsidR="00542B57" w:rsidRDefault="002A2732">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In response to these new challenges and transitions in some world economies, the Commission intends to propose further</w:t>
      </w:r>
      <w:r>
        <w:rPr>
          <w:rFonts w:ascii="Times New Roman" w:eastAsia="Times New Roman" w:hAnsi="Times New Roman" w:cs="Times New Roman"/>
          <w:noProof/>
          <w:sz w:val="24"/>
          <w:szCs w:val="24"/>
          <w:lang w:eastAsia="en-GB"/>
        </w:rPr>
        <w:t xml:space="preserve"> amendments to the EU Trade Defence legislation. </w:t>
      </w:r>
      <w:r>
        <w:rPr>
          <w:rFonts w:ascii="Times New Roman" w:hAnsi="Times New Roman" w:cs="Times New Roman"/>
          <w:noProof/>
          <w:sz w:val="24"/>
          <w:szCs w:val="24"/>
        </w:rPr>
        <w:t>The proposal will not grant 'market economy status' to any country but ensure that the EU's Trade Defence Instruments are adapted to face the new challenges and legal and economic realities, while maintainin</w:t>
      </w:r>
      <w:r>
        <w:rPr>
          <w:rFonts w:ascii="Times New Roman" w:hAnsi="Times New Roman" w:cs="Times New Roman"/>
          <w:noProof/>
          <w:sz w:val="24"/>
          <w:szCs w:val="24"/>
        </w:rPr>
        <w:t xml:space="preserve">g an equivalent level of protection. </w:t>
      </w:r>
    </w:p>
    <w:p w:rsidR="00542B57" w:rsidRDefault="00542B57">
      <w:pPr>
        <w:spacing w:after="0" w:line="240" w:lineRule="auto"/>
        <w:jc w:val="both"/>
        <w:rPr>
          <w:rFonts w:ascii="Times New Roman" w:eastAsia="Times New Roman" w:hAnsi="Times New Roman" w:cs="Times New Roman"/>
          <w:noProof/>
          <w:sz w:val="24"/>
          <w:szCs w:val="24"/>
          <w:lang w:eastAsia="en-GB"/>
        </w:rPr>
      </w:pPr>
    </w:p>
    <w:p w:rsidR="00542B57" w:rsidRDefault="002A2732">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will propose a new anti-dumping methodology to capture market distortions linked to state intervention in third countries that mask the true extent of dumping practices. In determining distortions, seve</w:t>
      </w:r>
      <w:r>
        <w:rPr>
          <w:rFonts w:ascii="Times New Roman" w:eastAsia="Times New Roman" w:hAnsi="Times New Roman" w:cs="Times New Roman"/>
          <w:noProof/>
          <w:sz w:val="24"/>
          <w:szCs w:val="24"/>
          <w:lang w:eastAsia="en-GB"/>
        </w:rPr>
        <w:t xml:space="preserve">ral criteria will be considered, such as inter alia, state policies and influence, the widespread presence of state - owned enterprises, discrimination in favour of domestic companies and the independence of the financial sector. This new methodology will </w:t>
      </w:r>
      <w:r>
        <w:rPr>
          <w:rFonts w:ascii="Times New Roman" w:eastAsia="Times New Roman" w:hAnsi="Times New Roman" w:cs="Times New Roman"/>
          <w:noProof/>
          <w:sz w:val="24"/>
          <w:szCs w:val="24"/>
          <w:lang w:eastAsia="en-GB"/>
        </w:rPr>
        <w:t>be country neutral as it can be applied equally to all members of the World Trade Organisation. It will involve the removal of the list of non-market economy countries in the anti-dumping legislation. It would bring EU legislation and practice closer to th</w:t>
      </w:r>
      <w:r>
        <w:rPr>
          <w:rFonts w:ascii="Times New Roman" w:eastAsia="Times New Roman" w:hAnsi="Times New Roman" w:cs="Times New Roman"/>
          <w:noProof/>
          <w:sz w:val="24"/>
          <w:szCs w:val="24"/>
          <w:lang w:eastAsia="en-GB"/>
        </w:rPr>
        <w:t>at of some other international partners such as the US and Canada.</w:t>
      </w:r>
    </w:p>
    <w:p w:rsidR="00542B57" w:rsidRDefault="00542B57">
      <w:pPr>
        <w:spacing w:after="0" w:line="240" w:lineRule="auto"/>
        <w:jc w:val="both"/>
        <w:rPr>
          <w:rFonts w:ascii="Times New Roman" w:eastAsia="Times New Roman" w:hAnsi="Times New Roman" w:cs="Times New Roman"/>
          <w:noProof/>
          <w:sz w:val="24"/>
          <w:szCs w:val="24"/>
          <w:lang w:eastAsia="en-GB"/>
        </w:rPr>
      </w:pPr>
    </w:p>
    <w:p w:rsidR="00542B57" w:rsidRDefault="002A2732">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Where distortions are found, prices and cost will be disregarded for calculating dumping and the Commission will use other available benchmarks, including costs and prices in other economi</w:t>
      </w:r>
      <w:r>
        <w:rPr>
          <w:rFonts w:ascii="Times New Roman" w:eastAsia="Times New Roman" w:hAnsi="Times New Roman" w:cs="Times New Roman"/>
          <w:noProof/>
          <w:sz w:val="24"/>
          <w:szCs w:val="24"/>
          <w:lang w:eastAsia="en-GB"/>
        </w:rPr>
        <w:t xml:space="preserve">es. The Commission will draft specific reports for countries or sectors where it will identify distortions. As is the case today, it will be for the EU industry to file complaints, but they can rely on such reports by the Commission to make their case. </w:t>
      </w:r>
    </w:p>
    <w:p w:rsidR="00542B57" w:rsidRDefault="00542B57">
      <w:pPr>
        <w:spacing w:after="0" w:line="240" w:lineRule="auto"/>
        <w:jc w:val="both"/>
        <w:rPr>
          <w:rFonts w:ascii="Times New Roman" w:eastAsia="Times New Roman" w:hAnsi="Times New Roman" w:cs="Times New Roman"/>
          <w:b/>
          <w:noProof/>
          <w:sz w:val="24"/>
          <w:szCs w:val="24"/>
          <w:lang w:eastAsia="en-GB"/>
        </w:rPr>
      </w:pPr>
    </w:p>
    <w:p w:rsidR="00542B57" w:rsidRDefault="002A2732">
      <w:pPr>
        <w:spacing w:after="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lang w:eastAsia="en-GB"/>
        </w:rPr>
        <w:t>T</w:t>
      </w:r>
      <w:r>
        <w:rPr>
          <w:rFonts w:ascii="Times New Roman" w:eastAsia="Times New Roman" w:hAnsi="Times New Roman" w:cs="Times New Roman"/>
          <w:noProof/>
          <w:sz w:val="24"/>
          <w:szCs w:val="24"/>
          <w:lang w:eastAsia="en-GB"/>
        </w:rPr>
        <w:t>here is lack of transparency in many third countries regarding subsidies. Subsidies manifestly contribute to distortions and overcapacities. The EU's Trade Defence Instruments should be strengthened by allowing the Commission to take action on new subsidie</w:t>
      </w:r>
      <w:r>
        <w:rPr>
          <w:rFonts w:ascii="Times New Roman" w:eastAsia="Times New Roman" w:hAnsi="Times New Roman" w:cs="Times New Roman"/>
          <w:noProof/>
          <w:sz w:val="24"/>
          <w:szCs w:val="24"/>
          <w:lang w:eastAsia="en-GB"/>
        </w:rPr>
        <w:t xml:space="preserve">s which are only revealed in the course of an investigation. </w:t>
      </w:r>
    </w:p>
    <w:p w:rsidR="00542B57" w:rsidRDefault="00542B57">
      <w:pPr>
        <w:spacing w:after="0" w:line="240" w:lineRule="auto"/>
        <w:jc w:val="both"/>
        <w:rPr>
          <w:rFonts w:ascii="Times New Roman" w:eastAsia="Times New Roman" w:hAnsi="Times New Roman" w:cs="Times New Roman"/>
          <w:b/>
          <w:noProof/>
          <w:sz w:val="24"/>
          <w:szCs w:val="24"/>
          <w:lang w:eastAsia="en-GB"/>
        </w:rPr>
      </w:pPr>
    </w:p>
    <w:p w:rsidR="00542B57" w:rsidRDefault="002A273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implementing its new methodology, the Commission will ensure</w:t>
      </w:r>
      <w:r>
        <w:rPr>
          <w:noProof/>
        </w:rPr>
        <w:t xml:space="preserve"> </w:t>
      </w:r>
      <w:r>
        <w:rPr>
          <w:rFonts w:ascii="Times New Roman" w:hAnsi="Times New Roman" w:cs="Times New Roman"/>
          <w:noProof/>
          <w:sz w:val="24"/>
          <w:szCs w:val="24"/>
        </w:rPr>
        <w:t xml:space="preserve">an orderly and transparent transition to the new system ("grandfathering"). The Commission therefore intends to propose that the </w:t>
      </w:r>
      <w:r>
        <w:rPr>
          <w:rFonts w:ascii="Times New Roman" w:hAnsi="Times New Roman" w:cs="Times New Roman"/>
          <w:noProof/>
          <w:sz w:val="24"/>
          <w:szCs w:val="24"/>
        </w:rPr>
        <w:t xml:space="preserve">new system will only apply to investigations initiated after the legislative change enters into force. </w:t>
      </w:r>
    </w:p>
    <w:p w:rsidR="00542B57" w:rsidRDefault="00542B57">
      <w:pPr>
        <w:spacing w:after="0" w:line="240" w:lineRule="auto"/>
        <w:jc w:val="both"/>
        <w:rPr>
          <w:rFonts w:ascii="Times New Roman" w:hAnsi="Times New Roman" w:cs="Times New Roman"/>
          <w:noProof/>
          <w:sz w:val="24"/>
          <w:szCs w:val="24"/>
        </w:rPr>
      </w:pPr>
    </w:p>
    <w:p w:rsidR="00542B57" w:rsidRDefault="002A2732">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3. </w:t>
      </w:r>
      <w:r>
        <w:rPr>
          <w:rFonts w:ascii="Times New Roman" w:hAnsi="Times New Roman" w:cs="Times New Roman"/>
          <w:b/>
          <w:noProof/>
          <w:sz w:val="24"/>
          <w:szCs w:val="24"/>
        </w:rPr>
        <w:tab/>
        <w:t>Conclusion</w:t>
      </w:r>
    </w:p>
    <w:p w:rsidR="00542B57" w:rsidRDefault="00542B57">
      <w:pPr>
        <w:spacing w:after="0" w:line="240" w:lineRule="auto"/>
        <w:jc w:val="both"/>
        <w:rPr>
          <w:rFonts w:ascii="Times New Roman" w:hAnsi="Times New Roman" w:cs="Times New Roman"/>
          <w:noProof/>
          <w:sz w:val="24"/>
          <w:szCs w:val="24"/>
        </w:rPr>
      </w:pPr>
    </w:p>
    <w:p w:rsidR="00542B57" w:rsidRDefault="002A273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2013 Commission proposal, coupled with this new methodology, will ensure that the EU's Trade Defence Instruments remain economicall</w:t>
      </w:r>
      <w:r>
        <w:rPr>
          <w:rFonts w:ascii="Times New Roman" w:hAnsi="Times New Roman" w:cs="Times New Roman"/>
          <w:noProof/>
          <w:sz w:val="24"/>
          <w:szCs w:val="24"/>
        </w:rPr>
        <w:t xml:space="preserve">y effective, legally robust and politically sustainable in safeguarding the principles of free and fair trade, on which the EU's trade policy is built. </w:t>
      </w:r>
    </w:p>
    <w:p w:rsidR="00542B57" w:rsidRDefault="00542B57">
      <w:pPr>
        <w:spacing w:after="0" w:line="240" w:lineRule="auto"/>
        <w:jc w:val="both"/>
        <w:rPr>
          <w:rFonts w:ascii="Times New Roman" w:hAnsi="Times New Roman" w:cs="Times New Roman"/>
          <w:noProof/>
          <w:sz w:val="24"/>
          <w:szCs w:val="24"/>
        </w:rPr>
      </w:pPr>
    </w:p>
    <w:p w:rsidR="00542B57" w:rsidRDefault="002A273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invites the European Council to support its efforts in line with the approach outlined in this Communication. In particular, the Commission invites the European Council: </w:t>
      </w:r>
    </w:p>
    <w:p w:rsidR="00542B57" w:rsidRDefault="00542B57">
      <w:pPr>
        <w:spacing w:after="0" w:line="240" w:lineRule="auto"/>
        <w:jc w:val="both"/>
        <w:rPr>
          <w:rFonts w:ascii="Times New Roman" w:hAnsi="Times New Roman" w:cs="Times New Roman"/>
          <w:noProof/>
          <w:sz w:val="24"/>
          <w:szCs w:val="24"/>
        </w:rPr>
      </w:pPr>
    </w:p>
    <w:p w:rsidR="00542B57" w:rsidRDefault="002A2732">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ensure a political agreement on the 2013 Commission proposal at th</w:t>
      </w:r>
      <w:r>
        <w:rPr>
          <w:rFonts w:ascii="Times New Roman" w:hAnsi="Times New Roman" w:cs="Times New Roman"/>
          <w:noProof/>
          <w:sz w:val="24"/>
          <w:szCs w:val="24"/>
        </w:rPr>
        <w:t>e Council meeting of 11 November, including the adaptation of the lesser duty rule in well-targeted and specific circumstances of overcapacities and/or raw material distortions (for example in the case of energy), and</w:t>
      </w:r>
    </w:p>
    <w:p w:rsidR="00542B57" w:rsidRDefault="002A2732">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support the approach outlined in th</w:t>
      </w:r>
      <w:r>
        <w:rPr>
          <w:rFonts w:ascii="Times New Roman" w:hAnsi="Times New Roman" w:cs="Times New Roman"/>
          <w:noProof/>
          <w:sz w:val="24"/>
          <w:szCs w:val="24"/>
        </w:rPr>
        <w:t>is Communication to address situations where market prices do not prevail and deal with forthcoming changes in various World Trade Organisation Accession Protocols.</w:t>
      </w:r>
    </w:p>
    <w:p w:rsidR="00542B57" w:rsidRDefault="00542B57">
      <w:pPr>
        <w:rPr>
          <w:rFonts w:ascii="Times New Roman" w:hAnsi="Times New Roman" w:cs="Times New Roman"/>
          <w:noProof/>
          <w:sz w:val="24"/>
          <w:szCs w:val="24"/>
        </w:rPr>
      </w:pPr>
    </w:p>
    <w:sectPr w:rsidR="00542B5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B57" w:rsidRDefault="002A2732">
      <w:pPr>
        <w:spacing w:after="0" w:line="240" w:lineRule="auto"/>
      </w:pPr>
      <w:r>
        <w:separator/>
      </w:r>
    </w:p>
  </w:endnote>
  <w:endnote w:type="continuationSeparator" w:id="0">
    <w:p w:rsidR="00542B57" w:rsidRDefault="002A2732">
      <w:pPr>
        <w:spacing w:after="0" w:line="240" w:lineRule="auto"/>
      </w:pPr>
      <w:r>
        <w:continuationSeparator/>
      </w:r>
    </w:p>
  </w:endnote>
  <w:endnote w:type="continuationNotice" w:id="1">
    <w:p w:rsidR="00542B57" w:rsidRDefault="00542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57" w:rsidRDefault="00542B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57" w:rsidRDefault="002A2732">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57" w:rsidRDefault="00542B5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57" w:rsidRDefault="00542B5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109251"/>
      <w:docPartObj>
        <w:docPartGallery w:val="Page Numbers (Bottom of Page)"/>
        <w:docPartUnique/>
      </w:docPartObj>
    </w:sdtPr>
    <w:sdtEndPr>
      <w:rPr>
        <w:rFonts w:ascii="Times New Roman" w:hAnsi="Times New Roman"/>
      </w:rPr>
    </w:sdtEndPr>
    <w:sdtContent>
      <w:p w:rsidR="00542B57" w:rsidRDefault="002A2732">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5</w:t>
        </w:r>
        <w:r>
          <w:rPr>
            <w:rFonts w:ascii="Times New Roman" w:hAnsi="Times New Roman"/>
          </w:rPr>
          <w:fldChar w:fldCharType="end"/>
        </w:r>
      </w:p>
    </w:sdtContent>
  </w:sdt>
  <w:p w:rsidR="00542B57" w:rsidRDefault="00542B5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57" w:rsidRDefault="00542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B57" w:rsidRDefault="002A2732">
      <w:pPr>
        <w:spacing w:after="0" w:line="240" w:lineRule="auto"/>
      </w:pPr>
      <w:r>
        <w:separator/>
      </w:r>
    </w:p>
  </w:footnote>
  <w:footnote w:type="continuationSeparator" w:id="0">
    <w:p w:rsidR="00542B57" w:rsidRDefault="002A2732">
      <w:pPr>
        <w:spacing w:after="0" w:line="240" w:lineRule="auto"/>
      </w:pPr>
      <w:r>
        <w:continuationSeparator/>
      </w:r>
    </w:p>
  </w:footnote>
  <w:footnote w:type="continuationNotice" w:id="1">
    <w:p w:rsidR="00542B57" w:rsidRDefault="00542B57">
      <w:pPr>
        <w:spacing w:after="0" w:line="240" w:lineRule="auto"/>
      </w:pPr>
    </w:p>
  </w:footnote>
  <w:footnote w:id="2">
    <w:p w:rsidR="00542B57" w:rsidRDefault="002A2732">
      <w:pPr>
        <w:rPr>
          <w:rFonts w:ascii="Times New Roman" w:hAnsi="Times New Roman" w:cs="Times New Roman"/>
          <w:sz w:val="20"/>
          <w:szCs w:val="20"/>
        </w:rPr>
      </w:pPr>
      <w:r>
        <w:rPr>
          <w:rStyle w:val="FootnoteReference"/>
          <w:sz w:val="20"/>
          <w:szCs w:val="20"/>
        </w:rPr>
        <w:footnoteRef/>
      </w:r>
      <w:r>
        <w:rPr>
          <w:rFonts w:ascii="Times New Roman" w:hAnsi="Times New Roman" w:cs="Times New Roman"/>
          <w:sz w:val="20"/>
          <w:szCs w:val="20"/>
        </w:rPr>
        <w:t xml:space="preserve"> </w:t>
      </w:r>
      <w:hyperlink r:id="rId1" w:history="1">
        <w:r>
          <w:rPr>
            <w:rStyle w:val="Hyperlink"/>
            <w:rFonts w:ascii="Times New Roman" w:hAnsi="Times New Roman" w:cs="Times New Roman"/>
            <w:sz w:val="20"/>
            <w:szCs w:val="20"/>
          </w:rPr>
          <w:t>https://ec.europa.eu/growth/sectors/raw-materials/industries/metals/steel_en</w:t>
        </w:r>
      </w:hyperlink>
    </w:p>
    <w:p w:rsidR="00542B57" w:rsidRDefault="00542B57">
      <w:pPr>
        <w:pStyle w:val="FootnoteText"/>
      </w:pPr>
    </w:p>
  </w:footnote>
  <w:footnote w:id="3">
    <w:p w:rsidR="00542B57" w:rsidRDefault="002A2732">
      <w:pPr>
        <w:pStyle w:val="FootnoteText"/>
        <w:rPr>
          <w:lang w:val="pt-PT"/>
        </w:rPr>
      </w:pPr>
      <w:r>
        <w:rPr>
          <w:rStyle w:val="FootnoteReference"/>
        </w:rPr>
        <w:footnoteRef/>
      </w:r>
      <w:r>
        <w:rPr>
          <w:lang w:val="pt-PT"/>
        </w:rPr>
        <w:t xml:space="preserve"> COM(2013) 192 final</w:t>
      </w:r>
    </w:p>
  </w:footnote>
  <w:footnote w:id="4">
    <w:p w:rsidR="00542B57" w:rsidRDefault="002A2732">
      <w:pPr>
        <w:pStyle w:val="FootnoteText"/>
        <w:rPr>
          <w:lang w:val="pt-PT"/>
        </w:rPr>
      </w:pPr>
      <w:r>
        <w:rPr>
          <w:rStyle w:val="FootnoteReference"/>
        </w:rPr>
        <w:footnoteRef/>
      </w:r>
      <w:r>
        <w:rPr>
          <w:lang w:val="pt-PT"/>
        </w:rPr>
        <w:t xml:space="preserve"> OJ L 272, 7.10.2016, p. 33 </w:t>
      </w:r>
    </w:p>
  </w:footnote>
  <w:footnote w:id="5">
    <w:p w:rsidR="00542B57" w:rsidRDefault="002A2732">
      <w:pPr>
        <w:pStyle w:val="FootnoteText"/>
      </w:pPr>
      <w:r>
        <w:rPr>
          <w:rStyle w:val="FootnoteReference"/>
        </w:rPr>
        <w:footnoteRef/>
      </w:r>
      <w:r>
        <w:t xml:space="preserve"> OJ L210 of 4.8.2016, p.1.</w:t>
      </w:r>
    </w:p>
  </w:footnote>
  <w:footnote w:id="6">
    <w:p w:rsidR="00542B57" w:rsidRDefault="002A2732">
      <w:pPr>
        <w:pStyle w:val="FootnoteText"/>
      </w:pPr>
      <w:r>
        <w:rPr>
          <w:rStyle w:val="FootnoteReference"/>
        </w:rPr>
        <w:footnoteRef/>
      </w:r>
      <w:r>
        <w:t xml:space="preserve"> OJ L2</w:t>
      </w:r>
      <w:r>
        <w:t>04 of 29.7.2016, p.70.</w:t>
      </w:r>
    </w:p>
  </w:footnote>
  <w:footnote w:id="7">
    <w:p w:rsidR="00542B57" w:rsidRDefault="002A2732">
      <w:pPr>
        <w:pStyle w:val="FootnoteText"/>
      </w:pPr>
      <w:r>
        <w:rPr>
          <w:rStyle w:val="FootnoteReference"/>
        </w:rPr>
        <w:footnoteRef/>
      </w:r>
      <w:r>
        <w:t xml:space="preserve"> http://europa.eu/rapid/press-release_SPEECH-16-3043_en.htm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57" w:rsidRDefault="00542B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57" w:rsidRDefault="00542B5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57" w:rsidRDefault="00542B5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57" w:rsidRDefault="00542B5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57" w:rsidRDefault="00542B5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57" w:rsidRDefault="00542B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17B1"/>
    <w:multiLevelType w:val="hybridMultilevel"/>
    <w:tmpl w:val="4E7EAE3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nsid w:val="12C3727D"/>
    <w:multiLevelType w:val="hybridMultilevel"/>
    <w:tmpl w:val="D7C09C0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E1087D"/>
    <w:multiLevelType w:val="hybridMultilevel"/>
    <w:tmpl w:val="A3DE0638"/>
    <w:lvl w:ilvl="0" w:tplc="08090001">
      <w:start w:val="1"/>
      <w:numFmt w:val="bullet"/>
      <w:lvlText w:val=""/>
      <w:lvlJc w:val="left"/>
      <w:pPr>
        <w:ind w:left="720" w:hanging="360"/>
      </w:pPr>
      <w:rPr>
        <w:rFonts w:ascii="Symbol" w:hAnsi="Symbol" w:hint="default"/>
      </w:rPr>
    </w:lvl>
    <w:lvl w:ilvl="1" w:tplc="D64841D6">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D0172A"/>
    <w:multiLevelType w:val="hybridMultilevel"/>
    <w:tmpl w:val="C774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B0505"/>
    <w:multiLevelType w:val="hybridMultilevel"/>
    <w:tmpl w:val="61F2E576"/>
    <w:lvl w:ilvl="0" w:tplc="7D708D9E">
      <w:start w:val="1"/>
      <w:numFmt w:val="decimal"/>
      <w:lvlText w:val="(%1)"/>
      <w:lvlJc w:val="left"/>
      <w:pPr>
        <w:ind w:left="786" w:hanging="360"/>
      </w:pPr>
      <w:rPr>
        <w:rFonts w:hint="default"/>
        <w:lang w:val="fr-B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nsid w:val="44245FD8"/>
    <w:multiLevelType w:val="hybridMultilevel"/>
    <w:tmpl w:val="440CC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2136F30"/>
    <w:multiLevelType w:val="hybridMultilevel"/>
    <w:tmpl w:val="65609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A45D3A"/>
    <w:multiLevelType w:val="hybridMultilevel"/>
    <w:tmpl w:val="7F02C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33A833BEA8B4670AB1BA56E26905F4A"/>
    <w:docVar w:name="LW_CROSSREFERENCE" w:val="&lt;UNUSED&gt;"/>
    <w:docVar w:name="LW_DocType" w:val="NORMAL"/>
    <w:docVar w:name="LW_EMISSION" w:val="18.10.2016"/>
    <w:docVar w:name="LW_EMISSION_ISODATE" w:val="2016-10-18"/>
    <w:docVar w:name="LW_EMISSION_LOCATION" w:val="BRX"/>
    <w:docVar w:name="LW_EMISSION_PREFIX" w:val="Brussels, "/>
    <w:docVar w:name="LW_EMISSION_SUFFIX" w:val=" "/>
    <w:docVar w:name="LW_ID_DOCTYPE_NONLW" w:val="CP-009"/>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690"/>
    <w:docVar w:name="LW_REF.INTERNE" w:val="&lt;UNUSED&gt;"/>
    <w:docVar w:name="LW_SOUS.TITRE.OBJ.CP" w:val="&lt;UNUSED&gt;"/>
    <w:docVar w:name="LW_SUPERTITRE" w:val="&lt;UNUSED&gt;"/>
    <w:docVar w:name="LW_TITRE.OBJ.CP" w:val="Towards a robust trade policy for the EU in the interest of jobs and growth"/>
    <w:docVar w:name="LW_TYPE.DOC.CP" w:val="COMMUNICATION FROM THE COMMISSION"/>
    <w:docVar w:name="LW_TYPE.DOC.CP.USERTEXT" w:val="TO THE EUROPEAN PARLIAMENT, THE EUROPEAN COUNCIL AND THE COUNCIL"/>
  </w:docVars>
  <w:rsids>
    <w:rsidRoot w:val="00542B57"/>
    <w:rsid w:val="002A2732"/>
    <w:rsid w:val="00542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uiPriority w:val="99"/>
    <w:rPr>
      <w:rFonts w:cs="Times New Roman"/>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Revision">
    <w:name w:val="Revision"/>
    <w:hidden/>
    <w:uiPriority w:val="99"/>
    <w:semiHidden/>
    <w:pPr>
      <w:spacing w:after="0" w:line="240" w:lineRule="auto"/>
    </w:pPr>
  </w:style>
  <w:style w:type="paragraph" w:customStyle="1" w:styleId="Pa17">
    <w:name w:val="Pa17"/>
    <w:basedOn w:val="Normal"/>
    <w:next w:val="Normal"/>
    <w:uiPriority w:val="99"/>
    <w:pPr>
      <w:autoSpaceDE w:val="0"/>
      <w:autoSpaceDN w:val="0"/>
      <w:adjustRightInd w:val="0"/>
      <w:spacing w:after="0" w:line="241" w:lineRule="atLeast"/>
    </w:pPr>
    <w:rPr>
      <w:rFonts w:ascii="EC Square Sans Pro" w:hAnsi="EC Square Sans Pro"/>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uiPriority w:val="99"/>
    <w:rPr>
      <w:rFonts w:cs="Times New Roman"/>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Revision">
    <w:name w:val="Revision"/>
    <w:hidden/>
    <w:uiPriority w:val="99"/>
    <w:semiHidden/>
    <w:pPr>
      <w:spacing w:after="0" w:line="240" w:lineRule="auto"/>
    </w:pPr>
  </w:style>
  <w:style w:type="paragraph" w:customStyle="1" w:styleId="Pa17">
    <w:name w:val="Pa17"/>
    <w:basedOn w:val="Normal"/>
    <w:next w:val="Normal"/>
    <w:uiPriority w:val="99"/>
    <w:pPr>
      <w:autoSpaceDE w:val="0"/>
      <w:autoSpaceDN w:val="0"/>
      <w:adjustRightInd w:val="0"/>
      <w:spacing w:after="0" w:line="241" w:lineRule="atLeast"/>
    </w:pPr>
    <w:rPr>
      <w:rFonts w:ascii="EC Square Sans Pro" w:hAnsi="EC Square Sans Pro"/>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428370">
      <w:bodyDiv w:val="1"/>
      <w:marLeft w:val="0"/>
      <w:marRight w:val="0"/>
      <w:marTop w:val="0"/>
      <w:marBottom w:val="0"/>
      <w:divBdr>
        <w:top w:val="none" w:sz="0" w:space="0" w:color="auto"/>
        <w:left w:val="none" w:sz="0" w:space="0" w:color="auto"/>
        <w:bottom w:val="none" w:sz="0" w:space="0" w:color="auto"/>
        <w:right w:val="none" w:sz="0" w:space="0" w:color="auto"/>
      </w:divBdr>
    </w:div>
    <w:div w:id="894119220">
      <w:bodyDiv w:val="1"/>
      <w:marLeft w:val="0"/>
      <w:marRight w:val="0"/>
      <w:marTop w:val="0"/>
      <w:marBottom w:val="0"/>
      <w:divBdr>
        <w:top w:val="none" w:sz="0" w:space="0" w:color="auto"/>
        <w:left w:val="none" w:sz="0" w:space="0" w:color="auto"/>
        <w:bottom w:val="none" w:sz="0" w:space="0" w:color="auto"/>
        <w:right w:val="none" w:sz="0" w:space="0" w:color="auto"/>
      </w:divBdr>
    </w:div>
    <w:div w:id="1233126155">
      <w:bodyDiv w:val="1"/>
      <w:marLeft w:val="0"/>
      <w:marRight w:val="0"/>
      <w:marTop w:val="0"/>
      <w:marBottom w:val="0"/>
      <w:divBdr>
        <w:top w:val="none" w:sz="0" w:space="0" w:color="auto"/>
        <w:left w:val="none" w:sz="0" w:space="0" w:color="auto"/>
        <w:bottom w:val="none" w:sz="0" w:space="0" w:color="auto"/>
        <w:right w:val="none" w:sz="0" w:space="0" w:color="auto"/>
      </w:divBdr>
    </w:div>
    <w:div w:id="1588421572">
      <w:bodyDiv w:val="1"/>
      <w:marLeft w:val="0"/>
      <w:marRight w:val="0"/>
      <w:marTop w:val="0"/>
      <w:marBottom w:val="0"/>
      <w:divBdr>
        <w:top w:val="none" w:sz="0" w:space="0" w:color="auto"/>
        <w:left w:val="none" w:sz="0" w:space="0" w:color="auto"/>
        <w:bottom w:val="none" w:sz="0" w:space="0" w:color="auto"/>
        <w:right w:val="none" w:sz="0" w:space="0" w:color="auto"/>
      </w:divBdr>
    </w:div>
    <w:div w:id="203149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ectors/raw-materials/industries/metals/steel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1AAB5-1599-42AC-81BB-E2915702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1941</Words>
  <Characters>10212</Characters>
  <Application>Microsoft Office Word</Application>
  <DocSecurity>0</DocSecurity>
  <Lines>510</Lines>
  <Paragraphs>319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17</cp:revision>
  <cp:lastPrinted>2016-10-18T06:34:00Z</cp:lastPrinted>
  <dcterms:created xsi:type="dcterms:W3CDTF">2016-10-17T15:17:00Z</dcterms:created>
  <dcterms:modified xsi:type="dcterms:W3CDTF">2016-10-18T06:34:00Z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