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C7EE1F9790547DAB0A9F8F0FC2BCFF3" style="width:450.75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ANNEXE</w:t>
      </w:r>
    </w:p>
    <w:p>
      <w:pPr>
        <w:jc w:val="center"/>
        <w:rPr>
          <w:b/>
          <w:noProof/>
        </w:rPr>
      </w:pPr>
      <w:r>
        <w:rPr>
          <w:b/>
          <w:noProof/>
        </w:rPr>
        <w:t>RÉFORME DE LA RÈGLE DU DROIT MOINDRE: LE CONTEXTE</w:t>
      </w:r>
    </w:p>
    <w:p>
      <w:pPr>
        <w:jc w:val="center"/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1. </w:t>
      </w:r>
      <w:r>
        <w:rPr>
          <w:noProof/>
        </w:rPr>
        <w:tab/>
      </w:r>
      <w:r>
        <w:rPr>
          <w:b/>
          <w:noProof/>
        </w:rPr>
        <w:t>Pays appliquant la règle du droit moindre</w:t>
      </w:r>
    </w:p>
    <w:p>
      <w:pPr>
        <w:jc w:val="both"/>
        <w:rPr>
          <w:noProof/>
        </w:rPr>
      </w:pPr>
      <w:r>
        <w:rPr>
          <w:noProof/>
        </w:rPr>
        <w:t xml:space="preserve">L'application systématique par l'UE de la règle du droit moindre va au-delà des obligations de base imposées par l'accord antidumping de l'OMC. La grande majorité des autres membres de l'OMC (dont les États-Unis) n'exercent pas ce type d'autolimitation. Parmi les pays ayant recours à des instruments de défense commerciale, seuls l'Inde, la Turquie, le Brésil et l'Australie utilisent une certaine forme de règle du droit moindre. </w:t>
      </w:r>
    </w:p>
    <w:p>
      <w:pPr>
        <w:rPr>
          <w:b/>
          <w:noProof/>
        </w:rPr>
      </w:pPr>
      <w:r>
        <w:rPr>
          <w:b/>
          <w:noProof/>
        </w:rPr>
        <w:t>2.</w:t>
      </w:r>
      <w:r>
        <w:rPr>
          <w:noProof/>
        </w:rPr>
        <w:tab/>
      </w:r>
      <w:r>
        <w:rPr>
          <w:b/>
          <w:noProof/>
        </w:rPr>
        <w:t>Comparaison de la part des mesures antidumping/de la part des importations à l'échelon mondial</w:t>
      </w:r>
    </w:p>
    <w:p>
      <w:pPr>
        <w:contextualSpacing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651375" cy="2804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contextualSpacing/>
        <w:rPr>
          <w:i/>
          <w:noProof/>
          <w:sz w:val="16"/>
          <w:szCs w:val="16"/>
        </w:rPr>
      </w:pPr>
      <w:r>
        <w:rPr>
          <w:i/>
          <w:noProof/>
          <w:sz w:val="16"/>
        </w:rPr>
        <w:t xml:space="preserve">Source: OMC, Rapport sur le commerce mondial, 2015 </w:t>
      </w: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>3. Comparaison UE/États-Unis</w:t>
      </w:r>
    </w:p>
    <w:p>
      <w:pPr>
        <w:rPr>
          <w:noProof/>
        </w:rPr>
      </w:pPr>
      <w:r>
        <w:rPr>
          <w:noProof/>
        </w:rPr>
        <w:t>Comparaison des droits institués par l'UE et les États-Unis à l'encontre des importations chinoises</w:t>
      </w:r>
      <w:r>
        <w:rPr>
          <w:rStyle w:val="FootnoteReference"/>
          <w:noProof/>
        </w:rPr>
        <w:footnoteReference w:id="1"/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040"/>
        <w:gridCol w:w="1340"/>
        <w:gridCol w:w="1340"/>
        <w:gridCol w:w="2080"/>
      </w:tblGrid>
      <w:tr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UE / États-Unis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br/>
            </w:r>
            <w:r>
              <w:rPr>
                <w:rFonts w:ascii="Calibri" w:hAnsi="Calibri"/>
                <w:noProof/>
                <w:color w:val="000000"/>
              </w:rPr>
              <w:t>(produits comparables)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Droit moyen dans l'UE (en %)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 xml:space="preserve">Droit moyen aux États-Unis (en %) 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Différence</w:t>
            </w:r>
          </w:p>
        </w:tc>
      </w:tr>
      <w:tr>
        <w:trPr>
          <w:trHeight w:val="31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</w:tr>
      <w:tr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 xml:space="preserve">Barres d’armature du béton en acier à haute tenue à la fatigue / 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br/>
            </w:r>
            <w:r>
              <w:rPr>
                <w:rFonts w:ascii="Calibri" w:hAnsi="Calibri"/>
                <w:noProof/>
                <w:color w:val="000000"/>
              </w:rPr>
              <w:t>Barres d'armature du béton en acier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21,3 %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133 %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111,7 %</w:t>
            </w:r>
          </w:p>
        </w:tc>
      </w:tr>
      <w:tr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Produits plats laminés à froid en aciers inoxydables / Certains produits résistants à la corrosion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24,9 %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255,8 %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230,9 %</w:t>
            </w:r>
          </w:p>
        </w:tc>
      </w:tr>
      <w:tr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 xml:space="preserve">Produits plats laminés à froid en acier 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br/>
            </w:r>
            <w:r>
              <w:rPr>
                <w:rFonts w:ascii="Calibri" w:hAnsi="Calibri"/>
                <w:noProof/>
                <w:color w:val="000000"/>
              </w:rPr>
              <w:t>Certains produits plats laminés à froid en acier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br/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21,1 %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265,8 %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244,7 %</w:t>
            </w:r>
          </w:p>
        </w:tc>
      </w:tr>
    </w:tbl>
    <w:p>
      <w:pPr>
        <w:rPr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70048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Les produits visés peuvent ne pas être pleinement identiques.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524"/>
    <w:multiLevelType w:val="hybridMultilevel"/>
    <w:tmpl w:val="C2A0FA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164"/>
    <w:multiLevelType w:val="hybridMultilevel"/>
    <w:tmpl w:val="9EEEA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AFB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2166"/>
    <w:multiLevelType w:val="hybridMultilevel"/>
    <w:tmpl w:val="1A58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C7EE1F9790547DAB0A9F8F0FC2BCFF3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Vers une politique commerciale solide de l'UE, au service de l'emploi et de la croissance"/>
    <w:docVar w:name="LW_PART_NBR" w:val="1"/>
    <w:docVar w:name="LW_PART_NBR_TOTAL" w:val="1"/>
    <w:docVar w:name="LW_REF.INST.NEW" w:val="COM"/>
    <w:docVar w:name="LW_REF.INST.NEW_ADOPTED" w:val="final"/>
    <w:docVar w:name="LW_REF.INST.NEW_TEXT" w:val="(2016) 69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37A6-8B8C-4C23-8A96-E17D1E7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213</Words>
  <Characters>1093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BOSMANS Petra (TRADE)</dc:creator>
  <cp:lastModifiedBy>DIGIT/A3</cp:lastModifiedBy>
  <cp:revision>12</cp:revision>
  <cp:lastPrinted>2016-10-17T12:33:00Z</cp:lastPrinted>
  <dcterms:created xsi:type="dcterms:W3CDTF">2016-10-17T12:27:00Z</dcterms:created>
  <dcterms:modified xsi:type="dcterms:W3CDTF">2016-10-18T09:51:00Z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