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1040A3D3234C3BA246BFB1AB87E3D6" style="width:451pt;height:374.9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Като взе предвид:</w:t>
      </w:r>
    </w:p>
    <w:p>
      <w:pPr>
        <w:pStyle w:val="Tiret0"/>
        <w:tabs>
          <w:tab w:val="clear" w:pos="850"/>
          <w:tab w:val="num" w:pos="1004"/>
        </w:tabs>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rFonts w:cs="Arial"/>
          <w:noProof/>
          <w:szCs w:val="18"/>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2"/>
      </w:r>
      <w:r>
        <w:rPr>
          <w:noProof/>
        </w:rPr>
        <w:t>, и по-специално член 41 от него,</w:t>
      </w:r>
    </w:p>
    <w:p>
      <w:pPr>
        <w:pStyle w:val="Tiret0"/>
        <w:tabs>
          <w:tab w:val="clear" w:pos="850"/>
          <w:tab w:val="num" w:pos="927"/>
        </w:tabs>
        <w:rPr>
          <w:noProof/>
        </w:rPr>
      </w:pPr>
      <w:r>
        <w:rPr>
          <w:noProof/>
        </w:rPr>
        <w:t>проекта на общ бюджет на Европейския съюз за 2017 финансова година, приет от Комисията на 18 юли 2016 г.</w:t>
      </w:r>
      <w:r>
        <w:rPr>
          <w:rStyle w:val="FootnoteReference"/>
          <w:noProof/>
        </w:rPr>
        <w:footnoteReference w:id="3"/>
      </w:r>
      <w:r>
        <w:rPr>
          <w:noProof/>
        </w:rPr>
        <w:t>,</w:t>
      </w:r>
    </w:p>
    <w:p>
      <w:pPr>
        <w:spacing w:after="600"/>
        <w:jc w:val="both"/>
        <w:rPr>
          <w:noProof/>
        </w:rPr>
      </w:pPr>
      <w:r>
        <w:rPr>
          <w:noProof/>
        </w:rPr>
        <w:t>с настоящото Европейската комисия представя на Европейския парламент и на Съвета писмо за внасяне на корекции № 1 в проекта на общ бюджет на Европейския съюз за 2017 финансова година поради причините, изложени в обяснителния меморандум.</w:t>
      </w:r>
    </w:p>
    <w:p>
      <w:pPr>
        <w:spacing w:after="240"/>
        <w:jc w:val="both"/>
        <w:rPr>
          <w:b/>
          <w:noProof/>
          <w:u w:val="single"/>
        </w:rPr>
      </w:pPr>
      <w:r>
        <w:rPr>
          <w:b/>
          <w:noProof/>
          <w:u w:val="single"/>
        </w:rPr>
        <w:t>ПРОМЕНИ В ПРИХОДНАТА И РАЗХОДНАТА ЧАСТ НА БЮДЖЕТА ПО РАЗДЕЛИ</w:t>
      </w:r>
    </w:p>
    <w:p>
      <w:pPr>
        <w:jc w:val="both"/>
        <w:rPr>
          <w:noProof/>
        </w:rPr>
      </w:pPr>
      <w:r>
        <w:rPr>
          <w:noProof/>
        </w:rPr>
        <w:t>Промените в приходната и разходната част на бюджета по раздели са достъпни в EUR-Lex (</w:t>
      </w:r>
      <w:hyperlink r:id="rId16">
        <w:r>
          <w:rPr>
            <w:rStyle w:val="Hyperlink"/>
            <w:noProof/>
            <w:color w:val="auto"/>
          </w:rPr>
          <w:t>http://eur-lex.europa.eu/budget/www/index-en.htm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СЪДЪРЖАНИЕ</w:t>
      </w:r>
    </w:p>
    <w:p>
      <w:pPr>
        <w:pStyle w:val="TOCHeading"/>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65250553"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_Toc465250553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65250554" w:history="1">
        <w:r>
          <w:rPr>
            <w:rStyle w:val="Hyperlink"/>
            <w:noProof/>
          </w:rPr>
          <w:t>2.</w:t>
        </w:r>
        <w:r>
          <w:rPr>
            <w:rFonts w:asciiTheme="minorHAnsi" w:eastAsiaTheme="minorEastAsia" w:hAnsiTheme="minorHAnsi" w:cstheme="minorBidi"/>
            <w:b w:val="0"/>
            <w:bCs w:val="0"/>
            <w:caps w:val="0"/>
            <w:noProof/>
            <w:sz w:val="22"/>
            <w:szCs w:val="22"/>
            <w:lang w:val="en-GB" w:eastAsia="en-GB" w:bidi="ar-SA"/>
          </w:rPr>
          <w:tab/>
        </w:r>
        <w:r>
          <w:rPr>
            <w:rStyle w:val="Hyperlink"/>
            <w:noProof/>
          </w:rPr>
          <w:t>Селско стопанство и рибарство</w:t>
        </w:r>
        <w:r>
          <w:rPr>
            <w:noProof/>
            <w:webHidden/>
          </w:rPr>
          <w:tab/>
        </w:r>
        <w:r>
          <w:rPr>
            <w:noProof/>
            <w:webHidden/>
          </w:rPr>
          <w:fldChar w:fldCharType="begin"/>
        </w:r>
        <w:r>
          <w:rPr>
            <w:noProof/>
            <w:webHidden/>
          </w:rPr>
          <w:instrText xml:space="preserve"> PAGEREF _Toc465250554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55" w:history="1">
        <w:r>
          <w:rPr>
            <w:rStyle w:val="Hyperlink"/>
            <w:noProof/>
          </w:rPr>
          <w:t xml:space="preserve">2.1 </w:t>
        </w:r>
        <w:r>
          <w:rPr>
            <w:rFonts w:asciiTheme="minorHAnsi" w:eastAsiaTheme="minorEastAsia" w:hAnsiTheme="minorHAnsi" w:cstheme="minorBidi"/>
            <w:smallCaps w:val="0"/>
            <w:noProof/>
            <w:sz w:val="22"/>
            <w:szCs w:val="22"/>
            <w:lang w:val="en-GB" w:eastAsia="en-GB" w:bidi="ar-SA"/>
          </w:rPr>
          <w:tab/>
        </w:r>
        <w:r>
          <w:rPr>
            <w:rStyle w:val="Hyperlink"/>
            <w:noProof/>
          </w:rPr>
          <w:t>Основни предложени промени</w:t>
        </w:r>
        <w:r>
          <w:rPr>
            <w:noProof/>
            <w:webHidden/>
          </w:rPr>
          <w:tab/>
        </w:r>
        <w:r>
          <w:rPr>
            <w:noProof/>
            <w:webHidden/>
          </w:rPr>
          <w:fldChar w:fldCharType="begin"/>
        </w:r>
        <w:r>
          <w:rPr>
            <w:noProof/>
            <w:webHidden/>
          </w:rPr>
          <w:instrText xml:space="preserve"> PAGEREF _Toc465250555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56" w:history="1">
        <w:r>
          <w:rPr>
            <w:rStyle w:val="Hyperlink"/>
            <w:noProof/>
          </w:rPr>
          <w:t xml:space="preserve">2.2 </w:t>
        </w:r>
        <w:r>
          <w:rPr>
            <w:rFonts w:asciiTheme="minorHAnsi" w:eastAsiaTheme="minorEastAsia" w:hAnsiTheme="minorHAnsi" w:cstheme="minorBidi"/>
            <w:smallCaps w:val="0"/>
            <w:noProof/>
            <w:sz w:val="22"/>
            <w:szCs w:val="22"/>
            <w:lang w:val="en-GB" w:eastAsia="en-GB" w:bidi="ar-SA"/>
          </w:rPr>
          <w:tab/>
        </w:r>
        <w:r>
          <w:rPr>
            <w:rStyle w:val="Hyperlink"/>
            <w:noProof/>
          </w:rPr>
          <w:t>Европейски фонд за гарантиране на земеделието (ЕФГЗ)</w:t>
        </w:r>
        <w:r>
          <w:rPr>
            <w:noProof/>
            <w:webHidden/>
          </w:rPr>
          <w:tab/>
        </w:r>
        <w:r>
          <w:rPr>
            <w:noProof/>
            <w:webHidden/>
          </w:rPr>
          <w:fldChar w:fldCharType="begin"/>
        </w:r>
        <w:r>
          <w:rPr>
            <w:noProof/>
            <w:webHidden/>
          </w:rPr>
          <w:instrText xml:space="preserve"> PAGEREF _Toc465250556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200"/>
          <w:tab w:val="right" w:leader="dot" w:pos="9061"/>
        </w:tabs>
        <w:rPr>
          <w:rFonts w:asciiTheme="minorHAnsi" w:eastAsiaTheme="minorEastAsia" w:hAnsiTheme="minorHAnsi" w:cstheme="minorBidi"/>
          <w:i w:val="0"/>
          <w:iCs w:val="0"/>
          <w:noProof/>
          <w:sz w:val="22"/>
          <w:szCs w:val="22"/>
          <w:lang w:val="en-GB" w:eastAsia="en-GB" w:bidi="ar-SA"/>
        </w:rPr>
      </w:pPr>
      <w:hyperlink w:anchor="_Toc465250557" w:history="1">
        <w:r>
          <w:rPr>
            <w:rStyle w:val="Hyperlink"/>
            <w:noProof/>
          </w:rPr>
          <w:t xml:space="preserve">2.2.1 </w:t>
        </w:r>
        <w:r>
          <w:rPr>
            <w:rFonts w:asciiTheme="minorHAnsi" w:eastAsiaTheme="minorEastAsia" w:hAnsiTheme="minorHAnsi" w:cstheme="minorBidi"/>
            <w:i w:val="0"/>
            <w:iCs w:val="0"/>
            <w:noProof/>
            <w:sz w:val="22"/>
            <w:szCs w:val="22"/>
            <w:lang w:val="en-GB" w:eastAsia="en-GB" w:bidi="ar-SA"/>
          </w:rPr>
          <w:tab/>
        </w:r>
        <w:r>
          <w:rPr>
            <w:rStyle w:val="Hyperlink"/>
            <w:noProof/>
          </w:rPr>
          <w:t>Преглед</w:t>
        </w:r>
        <w:r>
          <w:rPr>
            <w:noProof/>
            <w:webHidden/>
          </w:rPr>
          <w:tab/>
        </w:r>
        <w:r>
          <w:rPr>
            <w:noProof/>
            <w:webHidden/>
          </w:rPr>
          <w:fldChar w:fldCharType="begin"/>
        </w:r>
        <w:r>
          <w:rPr>
            <w:noProof/>
            <w:webHidden/>
          </w:rPr>
          <w:instrText xml:space="preserve"> PAGEREF _Toc465250557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200"/>
          <w:tab w:val="right" w:leader="dot" w:pos="9061"/>
        </w:tabs>
        <w:rPr>
          <w:rFonts w:asciiTheme="minorHAnsi" w:eastAsiaTheme="minorEastAsia" w:hAnsiTheme="minorHAnsi" w:cstheme="minorBidi"/>
          <w:i w:val="0"/>
          <w:iCs w:val="0"/>
          <w:noProof/>
          <w:sz w:val="22"/>
          <w:szCs w:val="22"/>
          <w:lang w:val="en-GB" w:eastAsia="en-GB" w:bidi="ar-SA"/>
        </w:rPr>
      </w:pPr>
      <w:hyperlink w:anchor="_Toc465250558" w:history="1">
        <w:r>
          <w:rPr>
            <w:rStyle w:val="Hyperlink"/>
            <w:noProof/>
          </w:rPr>
          <w:t xml:space="preserve">2.2.2 </w:t>
        </w:r>
        <w:r>
          <w:rPr>
            <w:rFonts w:asciiTheme="minorHAnsi" w:eastAsiaTheme="minorEastAsia" w:hAnsiTheme="minorHAnsi" w:cstheme="minorBidi"/>
            <w:i w:val="0"/>
            <w:iCs w:val="0"/>
            <w:noProof/>
            <w:sz w:val="22"/>
            <w:szCs w:val="22"/>
            <w:lang w:val="en-GB" w:eastAsia="en-GB" w:bidi="ar-SA"/>
          </w:rPr>
          <w:tab/>
        </w:r>
        <w:r>
          <w:rPr>
            <w:rStyle w:val="Hyperlink"/>
            <w:noProof/>
          </w:rPr>
          <w:t>Подробни бележки</w:t>
        </w:r>
        <w:r>
          <w:rPr>
            <w:noProof/>
            <w:webHidden/>
          </w:rPr>
          <w:tab/>
        </w:r>
        <w:r>
          <w:rPr>
            <w:noProof/>
            <w:webHidden/>
          </w:rPr>
          <w:fldChar w:fldCharType="begin"/>
        </w:r>
        <w:r>
          <w:rPr>
            <w:noProof/>
            <w:webHidden/>
          </w:rPr>
          <w:instrText xml:space="preserve"> PAGEREF _Toc465250558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59" w:history="1">
        <w:r>
          <w:rPr>
            <w:rStyle w:val="Hyperlink"/>
            <w:noProof/>
          </w:rPr>
          <w:t xml:space="preserve">2.3 </w:t>
        </w:r>
        <w:r>
          <w:rPr>
            <w:rFonts w:asciiTheme="minorHAnsi" w:eastAsiaTheme="minorEastAsia" w:hAnsiTheme="minorHAnsi" w:cstheme="minorBidi"/>
            <w:smallCaps w:val="0"/>
            <w:noProof/>
            <w:sz w:val="22"/>
            <w:szCs w:val="22"/>
            <w:lang w:val="en-GB" w:eastAsia="en-GB" w:bidi="ar-SA"/>
          </w:rPr>
          <w:tab/>
        </w:r>
        <w:r>
          <w:rPr>
            <w:rStyle w:val="Hyperlink"/>
            <w:noProof/>
          </w:rPr>
          <w:t>Споразумения за партньорство в областта на устойчивото рибарство</w:t>
        </w:r>
        <w:r>
          <w:rPr>
            <w:noProof/>
            <w:webHidden/>
          </w:rPr>
          <w:tab/>
        </w:r>
        <w:r>
          <w:rPr>
            <w:noProof/>
            <w:webHidden/>
          </w:rPr>
          <w:fldChar w:fldCharType="begin"/>
        </w:r>
        <w:r>
          <w:rPr>
            <w:noProof/>
            <w:webHidden/>
          </w:rPr>
          <w:instrText xml:space="preserve"> PAGEREF _Toc465250559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65250560"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Растеж и работни места: укрепване на успешните програми и инструменти</w:t>
        </w:r>
        <w:r>
          <w:rPr>
            <w:noProof/>
            <w:webHidden/>
          </w:rPr>
          <w:tab/>
        </w:r>
        <w:r>
          <w:rPr>
            <w:noProof/>
            <w:webHidden/>
          </w:rPr>
          <w:fldChar w:fldCharType="begin"/>
        </w:r>
        <w:r>
          <w:rPr>
            <w:noProof/>
            <w:webHidden/>
          </w:rPr>
          <w:instrText xml:space="preserve"> PAGEREF _Toc465250560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61" w:history="1">
        <w:r>
          <w:rPr>
            <w:rStyle w:val="Hyperlink"/>
            <w:noProof/>
          </w:rPr>
          <w:t xml:space="preserve">3.1 </w:t>
        </w:r>
        <w:r>
          <w:rPr>
            <w:rFonts w:asciiTheme="minorHAnsi" w:eastAsiaTheme="minorEastAsia" w:hAnsiTheme="minorHAnsi" w:cstheme="minorBidi"/>
            <w:smallCaps w:val="0"/>
            <w:noProof/>
            <w:sz w:val="22"/>
            <w:szCs w:val="22"/>
            <w:lang w:val="en-GB" w:eastAsia="en-GB" w:bidi="ar-SA"/>
          </w:rPr>
          <w:tab/>
        </w:r>
        <w:r>
          <w:rPr>
            <w:rStyle w:val="Hyperlink"/>
            <w:noProof/>
          </w:rPr>
          <w:t>„Хоризонт 2020“</w:t>
        </w:r>
        <w:r>
          <w:rPr>
            <w:noProof/>
            <w:webHidden/>
          </w:rPr>
          <w:tab/>
        </w:r>
        <w:r>
          <w:rPr>
            <w:noProof/>
            <w:webHidden/>
          </w:rPr>
          <w:fldChar w:fldCharType="begin"/>
        </w:r>
        <w:r>
          <w:rPr>
            <w:noProof/>
            <w:webHidden/>
          </w:rPr>
          <w:instrText xml:space="preserve"> PAGEREF _Toc465250561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62" w:history="1">
        <w:r>
          <w:rPr>
            <w:rStyle w:val="Hyperlink"/>
            <w:noProof/>
          </w:rPr>
          <w:t xml:space="preserve">3.2 </w:t>
        </w:r>
        <w:r>
          <w:rPr>
            <w:rFonts w:asciiTheme="minorHAnsi" w:eastAsiaTheme="minorEastAsia" w:hAnsiTheme="minorHAnsi" w:cstheme="minorBidi"/>
            <w:smallCaps w:val="0"/>
            <w:noProof/>
            <w:sz w:val="22"/>
            <w:szCs w:val="22"/>
            <w:lang w:val="en-GB" w:eastAsia="en-GB" w:bidi="ar-SA"/>
          </w:rPr>
          <w:tab/>
        </w:r>
        <w:r>
          <w:rPr>
            <w:rStyle w:val="Hyperlink"/>
            <w:noProof/>
          </w:rPr>
          <w:t>Програма за конкурентоспособност на предприятията и малките и средните предприятия (COSME)</w:t>
        </w:r>
        <w:r>
          <w:rPr>
            <w:noProof/>
            <w:webHidden/>
          </w:rPr>
          <w:tab/>
        </w:r>
        <w:r>
          <w:rPr>
            <w:noProof/>
            <w:webHidden/>
          </w:rPr>
          <w:fldChar w:fldCharType="begin"/>
        </w:r>
        <w:r>
          <w:rPr>
            <w:noProof/>
            <w:webHidden/>
          </w:rPr>
          <w:instrText xml:space="preserve"> PAGEREF _Toc465250562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63" w:history="1">
        <w:r>
          <w:rPr>
            <w:rStyle w:val="Hyperlink"/>
            <w:noProof/>
          </w:rPr>
          <w:t xml:space="preserve">3.3 </w:t>
        </w:r>
        <w:r>
          <w:rPr>
            <w:rFonts w:asciiTheme="minorHAnsi" w:eastAsiaTheme="minorEastAsia" w:hAnsiTheme="minorHAnsi" w:cstheme="minorBidi"/>
            <w:smallCaps w:val="0"/>
            <w:noProof/>
            <w:sz w:val="22"/>
            <w:szCs w:val="22"/>
            <w:lang w:val="en-GB" w:eastAsia="en-GB" w:bidi="ar-SA"/>
          </w:rPr>
          <w:tab/>
        </w:r>
        <w:r>
          <w:rPr>
            <w:rStyle w:val="Hyperlink"/>
            <w:noProof/>
          </w:rPr>
          <w:t>Механизъм за свързване на Европа (МСЕ) — транспорт</w:t>
        </w:r>
        <w:r>
          <w:rPr>
            <w:noProof/>
            <w:webHidden/>
          </w:rPr>
          <w:tab/>
        </w:r>
        <w:r>
          <w:rPr>
            <w:noProof/>
            <w:webHidden/>
          </w:rPr>
          <w:fldChar w:fldCharType="begin"/>
        </w:r>
        <w:r>
          <w:rPr>
            <w:noProof/>
            <w:webHidden/>
          </w:rPr>
          <w:instrText xml:space="preserve"> PAGEREF _Toc465250563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64" w:history="1">
        <w:r>
          <w:rPr>
            <w:rStyle w:val="Hyperlink"/>
            <w:noProof/>
          </w:rPr>
          <w:t xml:space="preserve">3.4 </w:t>
        </w:r>
        <w:r>
          <w:rPr>
            <w:rFonts w:asciiTheme="minorHAnsi" w:eastAsiaTheme="minorEastAsia" w:hAnsiTheme="minorHAnsi" w:cstheme="minorBidi"/>
            <w:smallCaps w:val="0"/>
            <w:noProof/>
            <w:sz w:val="22"/>
            <w:szCs w:val="22"/>
            <w:lang w:val="en-GB" w:eastAsia="en-GB" w:bidi="ar-SA"/>
          </w:rPr>
          <w:tab/>
        </w:r>
        <w:r>
          <w:rPr>
            <w:rStyle w:val="Hyperlink"/>
            <w:noProof/>
          </w:rPr>
          <w:t>Образование, обучение и спорт („Еразъм +“)</w:t>
        </w:r>
        <w:r>
          <w:rPr>
            <w:noProof/>
            <w:webHidden/>
          </w:rPr>
          <w:tab/>
        </w:r>
        <w:r>
          <w:rPr>
            <w:noProof/>
            <w:webHidden/>
          </w:rPr>
          <w:fldChar w:fldCharType="begin"/>
        </w:r>
        <w:r>
          <w:rPr>
            <w:noProof/>
            <w:webHidden/>
          </w:rPr>
          <w:instrText xml:space="preserve"> PAGEREF _Toc465250564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65" w:history="1">
        <w:r>
          <w:rPr>
            <w:rStyle w:val="Hyperlink"/>
            <w:noProof/>
          </w:rPr>
          <w:t xml:space="preserve">3.5 </w:t>
        </w:r>
        <w:r>
          <w:rPr>
            <w:rFonts w:asciiTheme="minorHAnsi" w:eastAsiaTheme="minorEastAsia" w:hAnsiTheme="minorHAnsi" w:cstheme="minorBidi"/>
            <w:smallCaps w:val="0"/>
            <w:noProof/>
            <w:sz w:val="22"/>
            <w:szCs w:val="22"/>
            <w:lang w:val="en-GB" w:eastAsia="en-GB" w:bidi="ar-SA"/>
          </w:rPr>
          <w:tab/>
        </w:r>
        <w:r>
          <w:rPr>
            <w:rStyle w:val="Hyperlink"/>
            <w:noProof/>
          </w:rPr>
          <w:t>WiFi4EU</w:t>
        </w:r>
        <w:r>
          <w:rPr>
            <w:noProof/>
            <w:webHidden/>
          </w:rPr>
          <w:tab/>
        </w:r>
        <w:r>
          <w:rPr>
            <w:noProof/>
            <w:webHidden/>
          </w:rPr>
          <w:fldChar w:fldCharType="begin"/>
        </w:r>
        <w:r>
          <w:rPr>
            <w:noProof/>
            <w:webHidden/>
          </w:rPr>
          <w:instrText xml:space="preserve"> PAGEREF _Toc465250565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66" w:history="1">
        <w:r>
          <w:rPr>
            <w:rStyle w:val="Hyperlink"/>
            <w:noProof/>
          </w:rPr>
          <w:t xml:space="preserve">3.6 </w:t>
        </w:r>
        <w:r>
          <w:rPr>
            <w:rFonts w:asciiTheme="minorHAnsi" w:eastAsiaTheme="minorEastAsia" w:hAnsiTheme="minorHAnsi" w:cstheme="minorBidi"/>
            <w:smallCaps w:val="0"/>
            <w:noProof/>
            <w:sz w:val="22"/>
            <w:szCs w:val="22"/>
            <w:lang w:val="en-GB" w:eastAsia="en-GB" w:bidi="ar-SA"/>
          </w:rPr>
          <w:tab/>
        </w:r>
        <w:r>
          <w:rPr>
            <w:rStyle w:val="Hyperlink"/>
            <w:noProof/>
          </w:rPr>
          <w:t>Използване на общия марж за поетите задължения по функция 1а</w:t>
        </w:r>
        <w:r>
          <w:rPr>
            <w:noProof/>
            <w:webHidden/>
          </w:rPr>
          <w:tab/>
        </w:r>
        <w:r>
          <w:rPr>
            <w:noProof/>
            <w:webHidden/>
          </w:rPr>
          <w:fldChar w:fldCharType="begin"/>
        </w:r>
        <w:r>
          <w:rPr>
            <w:noProof/>
            <w:webHidden/>
          </w:rPr>
          <w:instrText xml:space="preserve"> PAGEREF _Toc465250566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65250567"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Рамка за партньорство по програмата за миграцията, Плана за външни инвестиции и сигурността</w:t>
        </w:r>
        <w:r>
          <w:rPr>
            <w:noProof/>
            <w:webHidden/>
          </w:rPr>
          <w:tab/>
        </w:r>
        <w:r>
          <w:rPr>
            <w:noProof/>
            <w:webHidden/>
          </w:rPr>
          <w:fldChar w:fldCharType="begin"/>
        </w:r>
        <w:r>
          <w:rPr>
            <w:noProof/>
            <w:webHidden/>
          </w:rPr>
          <w:instrText xml:space="preserve"> PAGEREF _Toc465250567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68" w:history="1">
        <w:r>
          <w:rPr>
            <w:rStyle w:val="Hyperlink"/>
            <w:noProof/>
          </w:rPr>
          <w:t xml:space="preserve">4.1 </w:t>
        </w:r>
        <w:r>
          <w:rPr>
            <w:rFonts w:asciiTheme="minorHAnsi" w:eastAsiaTheme="minorEastAsia" w:hAnsiTheme="minorHAnsi" w:cstheme="minorBidi"/>
            <w:smallCaps w:val="0"/>
            <w:noProof/>
            <w:sz w:val="22"/>
            <w:szCs w:val="22"/>
            <w:lang w:val="en-GB" w:eastAsia="en-GB" w:bidi="ar-SA"/>
          </w:rPr>
          <w:tab/>
        </w:r>
        <w:r>
          <w:rPr>
            <w:rStyle w:val="Hyperlink"/>
            <w:noProof/>
          </w:rPr>
          <w:t>Бързо стартиране на новия процес, свързан с рамката за партньорство с приоритетни партньори</w:t>
        </w:r>
        <w:r>
          <w:rPr>
            <w:noProof/>
            <w:webHidden/>
          </w:rPr>
          <w:tab/>
        </w:r>
        <w:r>
          <w:rPr>
            <w:noProof/>
            <w:webHidden/>
          </w:rPr>
          <w:fldChar w:fldCharType="begin"/>
        </w:r>
        <w:r>
          <w:rPr>
            <w:noProof/>
            <w:webHidden/>
          </w:rPr>
          <w:instrText xml:space="preserve"> PAGEREF _Toc465250568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69" w:history="1">
        <w:r>
          <w:rPr>
            <w:rStyle w:val="Hyperlink"/>
            <w:noProof/>
          </w:rPr>
          <w:t xml:space="preserve">4.2 </w:t>
        </w:r>
        <w:r>
          <w:rPr>
            <w:rFonts w:asciiTheme="minorHAnsi" w:eastAsiaTheme="minorEastAsia" w:hAnsiTheme="minorHAnsi" w:cstheme="minorBidi"/>
            <w:smallCaps w:val="0"/>
            <w:noProof/>
            <w:sz w:val="22"/>
            <w:szCs w:val="22"/>
            <w:lang w:val="en-GB" w:eastAsia="en-GB" w:bidi="ar-SA"/>
          </w:rPr>
          <w:tab/>
        </w:r>
        <w:r>
          <w:rPr>
            <w:rStyle w:val="Hyperlink"/>
            <w:noProof/>
          </w:rPr>
          <w:t>Захранване на новия гаранционен фонд на Европейския фонд за устойчиво развитие (ЕФУР)</w:t>
        </w:r>
        <w:r>
          <w:rPr>
            <w:noProof/>
            <w:webHidden/>
          </w:rPr>
          <w:tab/>
        </w:r>
        <w:r>
          <w:rPr>
            <w:noProof/>
            <w:webHidden/>
          </w:rPr>
          <w:fldChar w:fldCharType="begin"/>
        </w:r>
        <w:r>
          <w:rPr>
            <w:noProof/>
            <w:webHidden/>
          </w:rPr>
          <w:instrText xml:space="preserve"> PAGEREF _Toc465250569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70" w:history="1">
        <w:r>
          <w:rPr>
            <w:rStyle w:val="Hyperlink"/>
            <w:noProof/>
          </w:rPr>
          <w:t xml:space="preserve">4.3 </w:t>
        </w:r>
        <w:r>
          <w:rPr>
            <w:rFonts w:asciiTheme="minorHAnsi" w:eastAsiaTheme="minorEastAsia" w:hAnsiTheme="minorHAnsi" w:cstheme="minorBidi"/>
            <w:smallCaps w:val="0"/>
            <w:noProof/>
            <w:sz w:val="22"/>
            <w:szCs w:val="22"/>
            <w:lang w:val="en-GB" w:eastAsia="en-GB" w:bidi="ar-SA"/>
          </w:rPr>
          <w:tab/>
        </w:r>
        <w:r>
          <w:rPr>
            <w:rStyle w:val="Hyperlink"/>
            <w:noProof/>
          </w:rPr>
          <w:t>Мобилизиране на маржа за непредвидени обстоятелства по функция 4</w:t>
        </w:r>
        <w:r>
          <w:rPr>
            <w:noProof/>
            <w:webHidden/>
          </w:rPr>
          <w:tab/>
        </w:r>
        <w:r>
          <w:rPr>
            <w:noProof/>
            <w:webHidden/>
          </w:rPr>
          <w:fldChar w:fldCharType="begin"/>
        </w:r>
        <w:r>
          <w:rPr>
            <w:noProof/>
            <w:webHidden/>
          </w:rPr>
          <w:instrText xml:space="preserve"> PAGEREF _Toc465250570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71" w:history="1">
        <w:r>
          <w:rPr>
            <w:rStyle w:val="Hyperlink"/>
            <w:noProof/>
          </w:rPr>
          <w:t xml:space="preserve">4.4 </w:t>
        </w:r>
        <w:r>
          <w:rPr>
            <w:rFonts w:asciiTheme="minorHAnsi" w:eastAsiaTheme="minorEastAsia" w:hAnsiTheme="minorHAnsi" w:cstheme="minorBidi"/>
            <w:smallCaps w:val="0"/>
            <w:noProof/>
            <w:sz w:val="22"/>
            <w:szCs w:val="22"/>
            <w:lang w:val="en-GB" w:eastAsia="en-GB" w:bidi="ar-SA"/>
          </w:rPr>
          <w:tab/>
        </w:r>
        <w:r>
          <w:rPr>
            <w:rStyle w:val="Hyperlink"/>
            <w:noProof/>
          </w:rPr>
          <w:t>Увеличаване на щатното разписание на Европол</w:t>
        </w:r>
        <w:r>
          <w:rPr>
            <w:noProof/>
            <w:webHidden/>
          </w:rPr>
          <w:tab/>
        </w:r>
        <w:r>
          <w:rPr>
            <w:noProof/>
            <w:webHidden/>
          </w:rPr>
          <w:fldChar w:fldCharType="begin"/>
        </w:r>
        <w:r>
          <w:rPr>
            <w:noProof/>
            <w:webHidden/>
          </w:rPr>
          <w:instrText xml:space="preserve"> PAGEREF _Toc465250571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65250572" w:history="1">
        <w:r>
          <w:rPr>
            <w:rStyle w:val="Hyperlink"/>
            <w:noProof/>
          </w:rPr>
          <w:t>5.</w:t>
        </w:r>
        <w:r>
          <w:rPr>
            <w:rFonts w:asciiTheme="minorHAnsi" w:eastAsiaTheme="minorEastAsia" w:hAnsiTheme="minorHAnsi" w:cstheme="minorBidi"/>
            <w:b w:val="0"/>
            <w:bCs w:val="0"/>
            <w:caps w:val="0"/>
            <w:noProof/>
            <w:sz w:val="22"/>
            <w:szCs w:val="22"/>
            <w:lang w:val="en-GB" w:eastAsia="en-GB" w:bidi="ar-SA"/>
          </w:rPr>
          <w:tab/>
        </w:r>
        <w:r>
          <w:rPr>
            <w:rStyle w:val="Hyperlink"/>
            <w:noProof/>
          </w:rPr>
          <w:t>Други корекции</w:t>
        </w:r>
        <w:r>
          <w:rPr>
            <w:noProof/>
            <w:webHidden/>
          </w:rPr>
          <w:tab/>
        </w:r>
        <w:r>
          <w:rPr>
            <w:noProof/>
            <w:webHidden/>
          </w:rPr>
          <w:fldChar w:fldCharType="begin"/>
        </w:r>
        <w:r>
          <w:rPr>
            <w:noProof/>
            <w:webHidden/>
          </w:rPr>
          <w:instrText xml:space="preserve"> PAGEREF _Toc465250572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73" w:history="1">
        <w:r>
          <w:rPr>
            <w:rStyle w:val="Hyperlink"/>
            <w:noProof/>
          </w:rPr>
          <w:t xml:space="preserve">5.1. </w:t>
        </w:r>
        <w:r>
          <w:rPr>
            <w:rFonts w:asciiTheme="minorHAnsi" w:eastAsiaTheme="minorEastAsia" w:hAnsiTheme="minorHAnsi" w:cstheme="minorBidi"/>
            <w:smallCaps w:val="0"/>
            <w:noProof/>
            <w:sz w:val="22"/>
            <w:szCs w:val="22"/>
            <w:lang w:val="en-GB" w:eastAsia="en-GB" w:bidi="ar-SA"/>
          </w:rPr>
          <w:tab/>
        </w:r>
        <w:r>
          <w:rPr>
            <w:rStyle w:val="Hyperlink"/>
            <w:noProof/>
          </w:rPr>
          <w:t>Корекции в щатните разписания на Frontex и EASO</w:t>
        </w:r>
        <w:r>
          <w:rPr>
            <w:noProof/>
            <w:webHidden/>
          </w:rPr>
          <w:tab/>
        </w:r>
        <w:r>
          <w:rPr>
            <w:noProof/>
            <w:webHidden/>
          </w:rPr>
          <w:fldChar w:fldCharType="begin"/>
        </w:r>
        <w:r>
          <w:rPr>
            <w:noProof/>
            <w:webHidden/>
          </w:rPr>
          <w:instrText xml:space="preserve"> PAGEREF _Toc465250573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74" w:history="1">
        <w:r>
          <w:rPr>
            <w:rStyle w:val="Hyperlink"/>
            <w:noProof/>
          </w:rPr>
          <w:t xml:space="preserve">5.2. </w:t>
        </w:r>
        <w:r>
          <w:rPr>
            <w:rFonts w:asciiTheme="minorHAnsi" w:eastAsiaTheme="minorEastAsia" w:hAnsiTheme="minorHAnsi" w:cstheme="minorBidi"/>
            <w:smallCaps w:val="0"/>
            <w:noProof/>
            <w:sz w:val="22"/>
            <w:szCs w:val="22"/>
            <w:lang w:val="en-GB" w:eastAsia="en-GB" w:bidi="ar-SA"/>
          </w:rPr>
          <w:tab/>
        </w:r>
        <w:r>
          <w:rPr>
            <w:rStyle w:val="Hyperlink"/>
            <w:noProof/>
          </w:rPr>
          <w:t>Корекции в щатните разписания на EU-OSHA и EUROFOUND</w:t>
        </w:r>
        <w:r>
          <w:rPr>
            <w:noProof/>
            <w:webHidden/>
          </w:rPr>
          <w:tab/>
        </w:r>
        <w:r>
          <w:rPr>
            <w:noProof/>
            <w:webHidden/>
          </w:rPr>
          <w:fldChar w:fldCharType="begin"/>
        </w:r>
        <w:r>
          <w:rPr>
            <w:noProof/>
            <w:webHidden/>
          </w:rPr>
          <w:instrText xml:space="preserve"> PAGEREF _Toc465250574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75" w:history="1">
        <w:r>
          <w:rPr>
            <w:rStyle w:val="Hyperlink"/>
            <w:noProof/>
          </w:rPr>
          <w:t>5.3.</w:t>
        </w:r>
        <w:r>
          <w:rPr>
            <w:rFonts w:asciiTheme="minorHAnsi" w:eastAsiaTheme="minorEastAsia" w:hAnsiTheme="minorHAnsi" w:cstheme="minorBidi"/>
            <w:smallCaps w:val="0"/>
            <w:noProof/>
            <w:sz w:val="22"/>
            <w:szCs w:val="22"/>
            <w:lang w:val="en-GB" w:eastAsia="en-GB" w:bidi="ar-SA"/>
          </w:rPr>
          <w:tab/>
        </w:r>
        <w:r>
          <w:rPr>
            <w:rStyle w:val="Hyperlink"/>
            <w:noProof/>
          </w:rPr>
          <w:t>Прехвърляне на трима СПЕС, изпълняващи по две функции, от функция 4 (раздел III — Комисия) във функция 5 (раздел X — ЕСВД)</w:t>
        </w:r>
        <w:r>
          <w:rPr>
            <w:noProof/>
            <w:webHidden/>
          </w:rPr>
          <w:tab/>
        </w:r>
        <w:r>
          <w:rPr>
            <w:noProof/>
            <w:webHidden/>
          </w:rPr>
          <w:fldChar w:fldCharType="begin"/>
        </w:r>
        <w:r>
          <w:rPr>
            <w:noProof/>
            <w:webHidden/>
          </w:rPr>
          <w:instrText xml:space="preserve"> PAGEREF _Toc465250575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76" w:history="1">
        <w:r>
          <w:rPr>
            <w:rStyle w:val="Hyperlink"/>
            <w:noProof/>
          </w:rPr>
          <w:t>5.4.</w:t>
        </w:r>
        <w:r>
          <w:rPr>
            <w:rFonts w:asciiTheme="minorHAnsi" w:eastAsiaTheme="minorEastAsia" w:hAnsiTheme="minorHAnsi" w:cstheme="minorBidi"/>
            <w:smallCaps w:val="0"/>
            <w:noProof/>
            <w:sz w:val="22"/>
            <w:szCs w:val="22"/>
            <w:lang w:val="en-GB" w:eastAsia="en-GB" w:bidi="ar-SA"/>
          </w:rPr>
          <w:tab/>
        </w:r>
        <w:r>
          <w:rPr>
            <w:rStyle w:val="Hyperlink"/>
            <w:noProof/>
          </w:rPr>
          <w:t>Възнаграждения и пенсии</w:t>
        </w:r>
        <w:r>
          <w:rPr>
            <w:noProof/>
            <w:webHidden/>
          </w:rPr>
          <w:tab/>
        </w:r>
        <w:r>
          <w:rPr>
            <w:noProof/>
            <w:webHidden/>
          </w:rPr>
          <w:fldChar w:fldCharType="begin"/>
        </w:r>
        <w:r>
          <w:rPr>
            <w:noProof/>
            <w:webHidden/>
          </w:rPr>
          <w:instrText xml:space="preserve"> PAGEREF _Toc465250576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65250577" w:history="1">
        <w:r>
          <w:rPr>
            <w:rStyle w:val="Hyperlink"/>
            <w:noProof/>
          </w:rPr>
          <w:t>5.5.</w:t>
        </w:r>
        <w:r>
          <w:rPr>
            <w:rFonts w:asciiTheme="minorHAnsi" w:eastAsiaTheme="minorEastAsia" w:hAnsiTheme="minorHAnsi" w:cstheme="minorBidi"/>
            <w:smallCaps w:val="0"/>
            <w:noProof/>
            <w:sz w:val="22"/>
            <w:szCs w:val="22"/>
            <w:lang w:val="en-GB" w:eastAsia="en-GB" w:bidi="ar-SA"/>
          </w:rPr>
          <w:tab/>
        </w:r>
        <w:r>
          <w:rPr>
            <w:rStyle w:val="Hyperlink"/>
            <w:noProof/>
          </w:rPr>
          <w:t>Промяна в щатните разписания на Европейския парламент, Европейския икономически и социален комитет и Комитета на регионите</w:t>
        </w:r>
        <w:r>
          <w:rPr>
            <w:noProof/>
            <w:webHidden/>
          </w:rPr>
          <w:tab/>
        </w:r>
        <w:r>
          <w:rPr>
            <w:noProof/>
            <w:webHidden/>
          </w:rPr>
          <w:fldChar w:fldCharType="begin"/>
        </w:r>
        <w:r>
          <w:rPr>
            <w:noProof/>
            <w:webHidden/>
          </w:rPr>
          <w:instrText xml:space="preserve"> PAGEREF _Toc465250577 \h </w:instrText>
        </w:r>
        <w:r>
          <w:rPr>
            <w:noProof/>
            <w:webHidden/>
          </w:rPr>
        </w:r>
        <w:r>
          <w:rPr>
            <w:noProof/>
            <w:webHidden/>
          </w:rPr>
          <w:fldChar w:fldCharType="separate"/>
        </w:r>
        <w:r>
          <w:rPr>
            <w:noProof/>
            <w:webHidden/>
          </w:rPr>
          <w:t>24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65250578" w:history="1">
        <w:r>
          <w:rPr>
            <w:rStyle w:val="Hyperlink"/>
            <w:noProof/>
          </w:rPr>
          <w:t>6.</w:t>
        </w:r>
        <w:r>
          <w:rPr>
            <w:rFonts w:asciiTheme="minorHAnsi" w:eastAsiaTheme="minorEastAsia" w:hAnsiTheme="minorHAnsi" w:cstheme="minorBidi"/>
            <w:b w:val="0"/>
            <w:bCs w:val="0"/>
            <w:caps w:val="0"/>
            <w:noProof/>
            <w:sz w:val="22"/>
            <w:szCs w:val="22"/>
            <w:lang w:val="en-GB" w:eastAsia="en-GB" w:bidi="ar-SA"/>
          </w:rPr>
          <w:tab/>
        </w:r>
        <w:r>
          <w:rPr>
            <w:rStyle w:val="Hyperlink"/>
            <w:noProof/>
          </w:rPr>
          <w:t>Увеличаване на приходите, свързани с глоби</w:t>
        </w:r>
        <w:r>
          <w:rPr>
            <w:noProof/>
            <w:webHidden/>
          </w:rPr>
          <w:tab/>
        </w:r>
        <w:r>
          <w:rPr>
            <w:noProof/>
            <w:webHidden/>
          </w:rPr>
          <w:fldChar w:fldCharType="begin"/>
        </w:r>
        <w:r>
          <w:rPr>
            <w:noProof/>
            <w:webHidden/>
          </w:rPr>
          <w:instrText xml:space="preserve"> PAGEREF _Toc465250578 \h </w:instrText>
        </w:r>
        <w:r>
          <w:rPr>
            <w:noProof/>
            <w:webHidden/>
          </w:rPr>
        </w:r>
        <w:r>
          <w:rPr>
            <w:noProof/>
            <w:webHidden/>
          </w:rPr>
          <w:fldChar w:fldCharType="separate"/>
        </w:r>
        <w:r>
          <w:rPr>
            <w:noProof/>
            <w:webHidden/>
          </w:rPr>
          <w:t>25</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65250579" w:history="1">
        <w:r>
          <w:rPr>
            <w:rStyle w:val="Hyperlink"/>
            <w:noProof/>
          </w:rPr>
          <w:t>7.</w:t>
        </w:r>
        <w:r>
          <w:rPr>
            <w:rFonts w:asciiTheme="minorHAnsi" w:eastAsiaTheme="minorEastAsia" w:hAnsiTheme="minorHAnsi" w:cstheme="minorBidi"/>
            <w:b w:val="0"/>
            <w:bCs w:val="0"/>
            <w:caps w:val="0"/>
            <w:noProof/>
            <w:sz w:val="22"/>
            <w:szCs w:val="22"/>
            <w:lang w:val="en-GB" w:eastAsia="en-GB" w:bidi="ar-SA"/>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_Toc465250579 \h </w:instrText>
        </w:r>
        <w:r>
          <w:rPr>
            <w:noProof/>
            <w:webHidden/>
          </w:rPr>
        </w:r>
        <w:r>
          <w:rPr>
            <w:noProof/>
            <w:webHidden/>
          </w:rPr>
          <w:fldChar w:fldCharType="separate"/>
        </w:r>
        <w:r>
          <w:rPr>
            <w:noProof/>
            <w:webHidden/>
          </w:rPr>
          <w:t>26</w:t>
        </w:r>
        <w:r>
          <w:rPr>
            <w:noProof/>
            <w:webHidden/>
          </w:rPr>
          <w:fldChar w:fldCharType="end"/>
        </w:r>
      </w:hyperlink>
    </w:p>
    <w:p>
      <w:pPr>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r>
        <w:rPr>
          <w:noProof/>
        </w:rPr>
        <w:fldChar w:fldCharType="end"/>
      </w:r>
    </w:p>
    <w:p>
      <w:pPr>
        <w:pStyle w:val="ManualHeading1"/>
        <w:spacing w:before="240"/>
        <w:ind w:left="0" w:firstLine="0"/>
        <w:rPr>
          <w:noProof/>
        </w:rPr>
      </w:pPr>
      <w:bookmarkStart w:id="8" w:name="_Toc462410042"/>
      <w:bookmarkStart w:id="9" w:name="_Toc464138533"/>
      <w:bookmarkStart w:id="10" w:name="_Toc465250553"/>
      <w:bookmarkStart w:id="11" w:name="_Toc385506031"/>
      <w:bookmarkStart w:id="12" w:name="_Toc430865946"/>
      <w:bookmarkStart w:id="13" w:name="_Toc430867524"/>
      <w:bookmarkStart w:id="14" w:name="_Toc463264162"/>
      <w:bookmarkStart w:id="15" w:name="_Toc351469332"/>
      <w:bookmarkStart w:id="16" w:name="_Toc361649879"/>
      <w:r>
        <w:rPr>
          <w:noProof/>
        </w:rPr>
        <w:t>1.</w:t>
      </w:r>
      <w:r>
        <w:rPr>
          <w:noProof/>
        </w:rPr>
        <w:tab/>
        <w:t>Въведение</w:t>
      </w:r>
      <w:bookmarkEnd w:id="8"/>
      <w:bookmarkEnd w:id="9"/>
      <w:bookmarkEnd w:id="10"/>
    </w:p>
    <w:bookmarkEnd w:id="11"/>
    <w:bookmarkEnd w:id="12"/>
    <w:bookmarkEnd w:id="13"/>
    <w:bookmarkEnd w:id="14"/>
    <w:bookmarkEnd w:id="2"/>
    <w:bookmarkEnd w:id="3"/>
    <w:bookmarkEnd w:id="4"/>
    <w:bookmarkEnd w:id="5"/>
    <w:bookmarkEnd w:id="6"/>
    <w:bookmarkEnd w:id="7"/>
    <w:bookmarkEnd w:id="15"/>
    <w:bookmarkEnd w:id="16"/>
    <w:p>
      <w:pPr>
        <w:spacing w:before="120" w:after="120"/>
        <w:jc w:val="both"/>
        <w:rPr>
          <w:noProof/>
          <w:szCs w:val="20"/>
        </w:rPr>
      </w:pPr>
      <w:r>
        <w:rPr>
          <w:noProof/>
        </w:rPr>
        <w:t>С настоящото писмо за внасяне на корекции № 1 в проекта на бюджета за 2017 година (ПВК № 1/2017) се предлагат четири основни области за корекции в проектобюджета (ПБ) за 2017 г. Три от тях са свързани с дадена политика: за селското стопанство и рибарството, за конкурентоспособността за растеж и работни места и за новата рамка за партньорство по линия на програмата за миграцията, Плана за външни инвестиции и за сигурността. Четвъртата група предложени корекции се отнася до редица административни и технически корекции. По-конкретно, ПВК № 1/2017 обхваща следното:</w:t>
      </w:r>
    </w:p>
    <w:p>
      <w:pPr>
        <w:numPr>
          <w:ilvl w:val="0"/>
          <w:numId w:val="19"/>
        </w:numPr>
        <w:spacing w:before="120" w:after="120"/>
        <w:jc w:val="both"/>
        <w:rPr>
          <w:noProof/>
          <w:szCs w:val="20"/>
        </w:rPr>
      </w:pPr>
      <w:r>
        <w:rPr>
          <w:noProof/>
        </w:rPr>
        <w:t>Актуализирането на прогнозните нужди, целевите приходи и бюджетни кредити за селскостопанските разходи. В допълнение към променящите се пазарни фактори ПВК № 1/2017 включва също така отражението на решенията в селскостопанския сектор след представянето на ПБ за 2017 г. през месец юни 2016 г., както и други предложения, за които се очаква, че ще окажат значително влияние през бюджетната година. След включването на обявения през юли пакет за допълнително подпомагане за секторите на животновъдството и като се вземат предвид допълнителните целеви приходи за Европейския фонд за гарантиране на земеделието (ЕФГЗ), равнището на бюджетните кредити за поети задължения остава непроменено, а при бюджетните кредити за плащания има слабо намаление (- 1 млн. евро).</w:t>
      </w:r>
    </w:p>
    <w:p>
      <w:pPr>
        <w:numPr>
          <w:ilvl w:val="0"/>
          <w:numId w:val="19"/>
        </w:numPr>
        <w:spacing w:before="120" w:after="120"/>
        <w:jc w:val="both"/>
        <w:rPr>
          <w:noProof/>
          <w:szCs w:val="20"/>
        </w:rPr>
      </w:pPr>
      <w:r>
        <w:rPr>
          <w:noProof/>
        </w:rPr>
        <w:t>Постепенното включване на увеличенията, обявени в междинния преглед/междинното преразглеждане на многогодишната финансова рамка за периода 2014—2020 г.</w:t>
      </w:r>
      <w:r>
        <w:rPr>
          <w:noProof/>
          <w:vertAlign w:val="superscript"/>
        </w:rPr>
        <w:footnoteReference w:id="4"/>
      </w:r>
      <w:r>
        <w:rPr>
          <w:noProof/>
        </w:rPr>
        <w:t xml:space="preserve"> за устойчив растеж, в размер на 200 млн. евро в бюджетни кредити за поети задължения и 7 млн. евро в бюджетни кредити за плащания по функция 1а (</w:t>
      </w:r>
      <w:r>
        <w:rPr>
          <w:i/>
          <w:noProof/>
        </w:rPr>
        <w:t xml:space="preserve">Конкурентоспособност за растеж и работни места). </w:t>
      </w:r>
      <w:r>
        <w:rPr>
          <w:noProof/>
        </w:rPr>
        <w:t>Комисията предлага да финансира поетите задължения от общия марж за поетите задължения (ОМПЗ) и от неразпределения марж. Разбивката е, както следва:</w:t>
      </w:r>
    </w:p>
    <w:p>
      <w:pPr>
        <w:numPr>
          <w:ilvl w:val="1"/>
          <w:numId w:val="20"/>
        </w:numPr>
        <w:spacing w:before="120" w:after="120"/>
        <w:jc w:val="both"/>
        <w:rPr>
          <w:noProof/>
          <w:szCs w:val="20"/>
        </w:rPr>
      </w:pPr>
      <w:r>
        <w:rPr>
          <w:noProof/>
        </w:rPr>
        <w:t>„Хоризонт 2020“: + 50 млн. евро бюджетни кредити за поети задължения и 7 млн. евро бюджетни кредити за плащания,</w:t>
      </w:r>
    </w:p>
    <w:p>
      <w:pPr>
        <w:numPr>
          <w:ilvl w:val="1"/>
          <w:numId w:val="20"/>
        </w:numPr>
        <w:spacing w:before="120" w:after="120"/>
        <w:jc w:val="both"/>
        <w:rPr>
          <w:noProof/>
          <w:szCs w:val="20"/>
        </w:rPr>
      </w:pPr>
      <w:r>
        <w:rPr>
          <w:noProof/>
        </w:rPr>
        <w:t>Програма за конкурентоспособност на предприятията и малките и средните предприятия (COSME): + 50 млн. евро бюджетни кредити за поети задължения,</w:t>
      </w:r>
    </w:p>
    <w:p>
      <w:pPr>
        <w:numPr>
          <w:ilvl w:val="1"/>
          <w:numId w:val="20"/>
        </w:numPr>
        <w:spacing w:before="120" w:after="120"/>
        <w:jc w:val="both"/>
        <w:rPr>
          <w:noProof/>
          <w:szCs w:val="20"/>
        </w:rPr>
      </w:pPr>
      <w:r>
        <w:rPr>
          <w:noProof/>
        </w:rPr>
        <w:t>Механизъм за свързване на Европа (МСЕ) — транспорт: + 50 млн. евро бюджетни кредити за поети задължения,</w:t>
      </w:r>
    </w:p>
    <w:p>
      <w:pPr>
        <w:numPr>
          <w:ilvl w:val="1"/>
          <w:numId w:val="20"/>
        </w:numPr>
        <w:spacing w:before="120" w:after="120"/>
        <w:jc w:val="both"/>
        <w:rPr>
          <w:noProof/>
          <w:szCs w:val="20"/>
        </w:rPr>
      </w:pPr>
      <w:r>
        <w:rPr>
          <w:noProof/>
        </w:rPr>
        <w:t>Програма „Еразъм +“: + 50 млн. евро бюджетни кредити за поети задължения,</w:t>
      </w:r>
    </w:p>
    <w:p>
      <w:pPr>
        <w:numPr>
          <w:ilvl w:val="1"/>
          <w:numId w:val="20"/>
        </w:numPr>
        <w:spacing w:after="200" w:line="276" w:lineRule="auto"/>
        <w:contextualSpacing/>
        <w:jc w:val="both"/>
        <w:rPr>
          <w:rFonts w:eastAsia="MS Mincho"/>
          <w:noProof/>
          <w:szCs w:val="20"/>
        </w:rPr>
      </w:pPr>
      <w:r>
        <w:rPr>
          <w:noProof/>
        </w:rPr>
        <w:t>WiFi4EU — инициатива, с която се цели да се подпомогнат европейските общности да осигурят точки за достъп до безплатен Wi-Fi за всеки гражданин: + 20 млн. евро бюджетни кредити за поети задължения, преразпределени от направление „Информационни и комуникационни технологии“ на МСЕ</w:t>
      </w:r>
      <w:r>
        <w:rPr>
          <w:rFonts w:ascii="Calibri" w:hAnsi="Calibri"/>
          <w:noProof/>
          <w:sz w:val="22"/>
        </w:rPr>
        <w:t>.</w:t>
      </w:r>
    </w:p>
    <w:p>
      <w:pPr>
        <w:numPr>
          <w:ilvl w:val="0"/>
          <w:numId w:val="19"/>
        </w:numPr>
        <w:spacing w:before="120" w:after="120"/>
        <w:jc w:val="both"/>
        <w:rPr>
          <w:noProof/>
          <w:szCs w:val="20"/>
        </w:rPr>
      </w:pPr>
      <w:r>
        <w:rPr>
          <w:noProof/>
        </w:rPr>
        <w:t xml:space="preserve">Увеличаване на бюджетните ресурси по функция 4 </w:t>
      </w:r>
      <w:r>
        <w:rPr>
          <w:i/>
          <w:noProof/>
        </w:rPr>
        <w:t>(Глобална Европа)</w:t>
      </w:r>
      <w:r>
        <w:rPr>
          <w:noProof/>
        </w:rPr>
        <w:t xml:space="preserve"> с 1 млрд. евро, за справяне с основните причини за миграцията и насърчаване на бързото прилагане на споразуменията с трети държави, приемани в рамките на процеса на новата рамка за партньорство и за създаването на Европейски фонд за устойчиво развитие и нов гаранционен фонд на ЕФУР</w:t>
      </w:r>
      <w:r>
        <w:rPr>
          <w:noProof/>
          <w:vertAlign w:val="superscript"/>
        </w:rPr>
        <w:footnoteReference w:id="5"/>
      </w:r>
      <w:r>
        <w:rPr>
          <w:noProof/>
        </w:rPr>
        <w:t xml:space="preserve">. Комисията предлага увеличаване на бюджетните кредити за поети задължения с 1 млрд. евро и бюджетните кредити за плащания — с 210 млн. евро. Като се има предвид твърде ниския марж по функция 4 (породен от прехвърлянето на специалните представители на ЕС от функция 4 във функция 5 </w:t>
      </w:r>
      <w:r>
        <w:rPr>
          <w:i/>
          <w:noProof/>
        </w:rPr>
        <w:t>(Администрация))</w:t>
      </w:r>
      <w:r>
        <w:rPr>
          <w:noProof/>
        </w:rPr>
        <w:t>, по-голямата част от това увеличение на бюджетните кредити за поети задължения е финансирана чрез съответното мобилизиране на маржа за непредвидени обстоятелства, което следва да бъде приспаднато през 2017 г. от неразпределените маржове по функция 2 (</w:t>
      </w:r>
      <w:r>
        <w:rPr>
          <w:i/>
          <w:noProof/>
        </w:rPr>
        <w:t>Устойчив растеж: природни ресурси)</w:t>
      </w:r>
      <w:r>
        <w:rPr>
          <w:noProof/>
        </w:rPr>
        <w:t xml:space="preserve"> и през 2018—2019 г. от неразпределените маржове по функция 5.</w:t>
      </w:r>
    </w:p>
    <w:p>
      <w:pPr>
        <w:numPr>
          <w:ilvl w:val="0"/>
          <w:numId w:val="19"/>
        </w:numPr>
        <w:spacing w:before="120" w:after="120"/>
        <w:jc w:val="both"/>
        <w:rPr>
          <w:noProof/>
          <w:szCs w:val="20"/>
        </w:rPr>
      </w:pPr>
      <w:r>
        <w:rPr>
          <w:noProof/>
        </w:rPr>
        <w:t>Увеличаване на броя на щатните бройки в Европол с цел да се засили оперативната подкрепа, по-специално да се осигури 24-часова работа през всички дни от седмицата и възможности за разполагане на място, както е обявено в Съобщението на Комисията „</w:t>
      </w:r>
      <w:r>
        <w:rPr>
          <w:i/>
          <w:noProof/>
        </w:rPr>
        <w:t>Повишаване на сигурността в свят на мобилност“</w:t>
      </w:r>
      <w:r>
        <w:rPr>
          <w:noProof/>
          <w:vertAlign w:val="superscript"/>
        </w:rPr>
        <w:footnoteReference w:id="6"/>
      </w:r>
      <w:r>
        <w:rPr>
          <w:noProof/>
        </w:rPr>
        <w:t>.</w:t>
      </w:r>
    </w:p>
    <w:p>
      <w:pPr>
        <w:numPr>
          <w:ilvl w:val="0"/>
          <w:numId w:val="19"/>
        </w:numPr>
        <w:spacing w:before="120" w:after="120"/>
        <w:jc w:val="both"/>
        <w:rPr>
          <w:noProof/>
          <w:szCs w:val="20"/>
        </w:rPr>
      </w:pPr>
      <w:r>
        <w:rPr>
          <w:noProof/>
        </w:rPr>
        <w:t>Повишаване квалификацията на допълнителните щатни брой, поискани от Frontex (Европейската агенция за гранична и брегова охрана) и EASO с оглед на по-подробното оценяване на нужните длъжностни характеристики.</w:t>
      </w:r>
    </w:p>
    <w:p>
      <w:pPr>
        <w:numPr>
          <w:ilvl w:val="0"/>
          <w:numId w:val="19"/>
        </w:numPr>
        <w:spacing w:before="120" w:after="120"/>
        <w:jc w:val="both"/>
        <w:rPr>
          <w:noProof/>
          <w:szCs w:val="20"/>
        </w:rPr>
      </w:pPr>
      <w:r>
        <w:rPr>
          <w:noProof/>
        </w:rPr>
        <w:t>Незначителни корекции в щатните разписания на Европейската агенция за безопасност и здраве при работа (EU-OSHA) и Европейска фондация за подобряване на условията на живот и труд (EUROFOUND).</w:t>
      </w:r>
    </w:p>
    <w:p>
      <w:pPr>
        <w:numPr>
          <w:ilvl w:val="0"/>
          <w:numId w:val="19"/>
        </w:numPr>
        <w:spacing w:before="120" w:after="120"/>
        <w:jc w:val="both"/>
        <w:rPr>
          <w:noProof/>
          <w:szCs w:val="20"/>
        </w:rPr>
      </w:pPr>
      <w:r>
        <w:rPr>
          <w:noProof/>
        </w:rPr>
        <w:t>Прехвърлянето на разходите, свързани с тримата специални представители на ЕС (СПЕС), изпълняващи по две функции, от функция 4 във функция 5.</w:t>
      </w:r>
    </w:p>
    <w:p>
      <w:pPr>
        <w:numPr>
          <w:ilvl w:val="0"/>
          <w:numId w:val="19"/>
        </w:numPr>
        <w:spacing w:before="120" w:after="120"/>
        <w:jc w:val="both"/>
        <w:rPr>
          <w:noProof/>
          <w:szCs w:val="20"/>
        </w:rPr>
      </w:pPr>
      <w:r>
        <w:rPr>
          <w:noProof/>
        </w:rPr>
        <w:t xml:space="preserve">Актуализиране на евентуалните нужди от допълнителни бюджетни кредити през 2017 г. за заплати и пенсии на всички институции. Тези нужди може да се актуализират според изискванията при финализирането на официалния статистически отчет, който ще бъде на разположение в края на месец октомври. </w:t>
      </w:r>
    </w:p>
    <w:p>
      <w:pPr>
        <w:numPr>
          <w:ilvl w:val="0"/>
          <w:numId w:val="19"/>
        </w:numPr>
        <w:spacing w:before="120" w:after="120"/>
        <w:jc w:val="both"/>
        <w:rPr>
          <w:noProof/>
          <w:szCs w:val="20"/>
        </w:rPr>
      </w:pPr>
      <w:r>
        <w:rPr>
          <w:noProof/>
        </w:rPr>
        <w:t>Привеждане на щатните разписания на Европейския парламент, Европейския икономически и социален комитет и Комитета на регионите в съответствие с постигнатото споразумение между тях.</w:t>
      </w:r>
    </w:p>
    <w:p>
      <w:pPr>
        <w:spacing w:before="120" w:after="120"/>
        <w:jc w:val="both"/>
        <w:rPr>
          <w:noProof/>
          <w:szCs w:val="20"/>
        </w:rPr>
      </w:pPr>
      <w:r>
        <w:rPr>
          <w:noProof/>
        </w:rPr>
        <w:t>Комисията би желала да подчертае също така, че през 2017 г. възнамерява да финансира инициативата за младежка заетост (ИМЗ) в размер до 500 млн. евро бюджетни кредити за поети задължения. На този етап обаче Комисията не предлага бюджетните средства в настоящото писмо за внасяне на корекции, тъй като възнамерява да финансира тази сума от ОМПЗ, който ще бъде на разположение след техническата корекция за 2017 г. Съответно Комисията ще предложи добавянето на тези средства чрез проект на коригиращ бюджет, който ще бъде представен на Европейския парламент и на Съвета непосредствено след извършването на техническата корекция в началото на 2017 г.</w:t>
      </w:r>
    </w:p>
    <w:p>
      <w:pPr>
        <w:spacing w:before="120" w:after="120"/>
        <w:jc w:val="both"/>
        <w:rPr>
          <w:noProof/>
          <w:szCs w:val="20"/>
        </w:rPr>
      </w:pPr>
      <w:r>
        <w:rPr>
          <w:noProof/>
        </w:rPr>
        <w:t>Като цяло нетното отражение на ПВК № 1/2017 върху разходите в проектобюджета за 2017 г. представлява увеличение в размер на 1 257,2 млн. евро на бюджетните кредити за поети задължения и увеличение с 523,1 млн. евро на бюджетните кредити за плащания.</w:t>
      </w:r>
    </w:p>
    <w:p>
      <w:pPr>
        <w:spacing w:before="120" w:after="120"/>
        <w:jc w:val="both"/>
        <w:rPr>
          <w:noProof/>
          <w:szCs w:val="20"/>
        </w:rPr>
      </w:pPr>
      <w:r>
        <w:rPr>
          <w:noProof/>
        </w:rPr>
        <w:t>Що се отнася до приходната част на бюджета, някои глоби, за които Комисията наскоро взе решение, ще бъдат платени и всички средства за правна защита ще бъдат изчерпани в края на 2016 г., като приблизителната стойност е 1 млрд. евро. Комисията предлага съответните бюджетни позиции в приходната част на бюджета да бъдат увеличени с тази сума. По този начин вноската на база БНД, която се изисква от националните бюджети, ще се намали със същата сума.</w:t>
      </w:r>
    </w:p>
    <w:p>
      <w:pPr>
        <w:pStyle w:val="ManualHeading1"/>
        <w:spacing w:before="240"/>
        <w:ind w:left="0" w:firstLine="0"/>
        <w:rPr>
          <w:noProof/>
        </w:rPr>
      </w:pPr>
      <w:bookmarkStart w:id="17" w:name="_Toc463264163"/>
      <w:bookmarkStart w:id="18" w:name="_Toc464138534"/>
      <w:bookmarkStart w:id="19" w:name="_Toc465250554"/>
      <w:r>
        <w:rPr>
          <w:noProof/>
        </w:rPr>
        <w:t>2.</w:t>
      </w:r>
      <w:r>
        <w:rPr>
          <w:noProof/>
        </w:rPr>
        <w:tab/>
      </w:r>
      <w:bookmarkStart w:id="20" w:name="_Toc432063522"/>
      <w:r>
        <w:rPr>
          <w:noProof/>
        </w:rPr>
        <w:t>Селско стопанство и рибарство</w:t>
      </w:r>
      <w:bookmarkEnd w:id="17"/>
      <w:bookmarkEnd w:id="20"/>
      <w:bookmarkEnd w:id="18"/>
      <w:bookmarkEnd w:id="19"/>
    </w:p>
    <w:p>
      <w:pPr>
        <w:pStyle w:val="ManualHeading2"/>
        <w:numPr>
          <w:ilvl w:val="0"/>
          <w:numId w:val="0"/>
        </w:numPr>
        <w:tabs>
          <w:tab w:val="left" w:pos="851"/>
        </w:tabs>
        <w:rPr>
          <w:bCs/>
        </w:rPr>
      </w:pPr>
      <w:bookmarkStart w:id="21" w:name="_Toc462933829"/>
      <w:bookmarkStart w:id="22" w:name="_Toc462935190"/>
      <w:bookmarkStart w:id="23" w:name="_Toc462935292"/>
      <w:bookmarkStart w:id="24" w:name="_Toc462935340"/>
      <w:bookmarkStart w:id="25" w:name="_Toc462935497"/>
      <w:bookmarkStart w:id="26" w:name="_Toc463004731"/>
      <w:bookmarkStart w:id="27" w:name="_Toc463264164"/>
      <w:bookmarkStart w:id="28" w:name="_Toc463376628"/>
      <w:bookmarkStart w:id="29" w:name="_Toc463438680"/>
      <w:bookmarkStart w:id="30" w:name="_Toc463438848"/>
      <w:bookmarkStart w:id="31" w:name="_Toc463462765"/>
      <w:bookmarkStart w:id="32" w:name="_Toc463974150"/>
      <w:bookmarkStart w:id="33" w:name="_Toc464028191"/>
      <w:bookmarkStart w:id="34" w:name="_Toc462933830"/>
      <w:bookmarkStart w:id="35" w:name="_Toc462935191"/>
      <w:bookmarkStart w:id="36" w:name="_Toc462935293"/>
      <w:bookmarkStart w:id="37" w:name="_Toc462935341"/>
      <w:bookmarkStart w:id="38" w:name="_Toc462935498"/>
      <w:bookmarkStart w:id="39" w:name="_Toc463004732"/>
      <w:bookmarkStart w:id="40" w:name="_Toc463264165"/>
      <w:bookmarkStart w:id="41" w:name="_Toc463376629"/>
      <w:bookmarkStart w:id="42" w:name="_Toc463438681"/>
      <w:bookmarkStart w:id="43" w:name="_Toc463438849"/>
      <w:bookmarkStart w:id="44" w:name="_Toc463462766"/>
      <w:bookmarkStart w:id="45" w:name="_Toc463974151"/>
      <w:bookmarkStart w:id="46" w:name="_Toc464028192"/>
      <w:bookmarkStart w:id="47" w:name="_Toc462410044"/>
      <w:bookmarkStart w:id="48" w:name="_Toc464138535"/>
      <w:bookmarkStart w:id="49" w:name="_Toc46525055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 xml:space="preserve">2.1 </w:t>
      </w:r>
      <w:r>
        <w:tab/>
      </w:r>
      <w:bookmarkEnd w:id="47"/>
      <w:r>
        <w:t>Основни предложени промени</w:t>
      </w:r>
      <w:bookmarkEnd w:id="48"/>
      <w:bookmarkEnd w:id="49"/>
    </w:p>
    <w:p>
      <w:pPr>
        <w:autoSpaceDE w:val="0"/>
        <w:autoSpaceDN w:val="0"/>
        <w:adjustRightInd w:val="0"/>
        <w:spacing w:before="120" w:after="120"/>
        <w:jc w:val="both"/>
        <w:rPr>
          <w:noProof/>
        </w:rPr>
      </w:pPr>
      <w:r>
        <w:rPr>
          <w:noProof/>
        </w:rPr>
        <w:t>Комисията предлага да бъдат актуализирани прогнозните разходи за селско стопанство с + 527 млн. евро спрямо ПБ за 2017 г. В това актуализиране на нуждите са взети предвид финансовите последици от пакета за допълнително подпомагане за секторите на животновъдството, обявен през месец юли, и е отразена най-новата налична информация по отношение на други разходи. Има също така актуализиране на ситуацията със споразуменията за партньорство в областта на устойчивото рибарство, що се отнася до предложените бюджетни кредити за оперативния ред и за „резерв“.</w:t>
      </w:r>
    </w:p>
    <w:p>
      <w:pPr>
        <w:autoSpaceDE w:val="0"/>
        <w:autoSpaceDN w:val="0"/>
        <w:adjustRightInd w:val="0"/>
        <w:spacing w:before="120" w:after="120"/>
        <w:jc w:val="both"/>
        <w:rPr>
          <w:noProof/>
        </w:rPr>
      </w:pPr>
      <w:r>
        <w:rPr>
          <w:noProof/>
        </w:rPr>
        <w:t>В допълнение към временните мерки за подпомагане съгласно бюджета за 2015 г. (276,6 млн. евро) и бюджета за 2016 г. (711,5 млн. евро), в ПБ за 2017 г. са предвидени следните допълнителни мерки за подпомагане (вкл. в ПВК № 1/2017):</w:t>
      </w:r>
    </w:p>
    <w:p>
      <w:pPr>
        <w:keepNext/>
        <w:keepLines/>
        <w:jc w:val="right"/>
        <w:rPr>
          <w:noProof/>
          <w:sz w:val="16"/>
          <w:szCs w:val="16"/>
        </w:rPr>
      </w:pPr>
      <w:r>
        <w:rPr>
          <w:i/>
          <w:noProof/>
          <w:sz w:val="16"/>
        </w:rPr>
        <w:t>(в млн. евро, закръглени стойности по текущи цени)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6999"/>
        <w:gridCol w:w="1559"/>
      </w:tblGrid>
      <w:tr>
        <w:tc>
          <w:tcPr>
            <w:tcW w:w="1365" w:type="dxa"/>
            <w:shd w:val="clear" w:color="auto" w:fill="D9D9D9"/>
            <w:vAlign w:val="center"/>
          </w:tcPr>
          <w:p>
            <w:pPr>
              <w:autoSpaceDE w:val="0"/>
              <w:autoSpaceDN w:val="0"/>
              <w:adjustRightInd w:val="0"/>
              <w:jc w:val="center"/>
              <w:rPr>
                <w:b/>
                <w:noProof/>
                <w:sz w:val="20"/>
                <w:szCs w:val="20"/>
              </w:rPr>
            </w:pPr>
            <w:r>
              <w:rPr>
                <w:b/>
                <w:noProof/>
                <w:sz w:val="20"/>
              </w:rPr>
              <w:t>Бюджетен ред</w:t>
            </w:r>
          </w:p>
        </w:tc>
        <w:tc>
          <w:tcPr>
            <w:tcW w:w="6999" w:type="dxa"/>
            <w:shd w:val="clear" w:color="auto" w:fill="D9D9D9"/>
            <w:vAlign w:val="center"/>
          </w:tcPr>
          <w:p>
            <w:pPr>
              <w:autoSpaceDE w:val="0"/>
              <w:autoSpaceDN w:val="0"/>
              <w:adjustRightInd w:val="0"/>
              <w:jc w:val="center"/>
              <w:rPr>
                <w:b/>
                <w:noProof/>
                <w:sz w:val="20"/>
                <w:szCs w:val="20"/>
              </w:rPr>
            </w:pPr>
            <w:r>
              <w:rPr>
                <w:b/>
                <w:noProof/>
                <w:sz w:val="20"/>
              </w:rPr>
              <w:t>Мярка</w:t>
            </w:r>
          </w:p>
        </w:tc>
        <w:tc>
          <w:tcPr>
            <w:tcW w:w="1559" w:type="dxa"/>
            <w:shd w:val="clear" w:color="auto" w:fill="D9D9D9"/>
            <w:vAlign w:val="center"/>
          </w:tcPr>
          <w:p>
            <w:pPr>
              <w:autoSpaceDE w:val="0"/>
              <w:autoSpaceDN w:val="0"/>
              <w:adjustRightInd w:val="0"/>
              <w:jc w:val="center"/>
              <w:rPr>
                <w:b/>
                <w:noProof/>
                <w:sz w:val="20"/>
                <w:szCs w:val="20"/>
              </w:rPr>
            </w:pPr>
            <w:r>
              <w:rPr>
                <w:b/>
                <w:noProof/>
                <w:sz w:val="20"/>
              </w:rPr>
              <w:t xml:space="preserve">Сума </w:t>
            </w:r>
          </w:p>
        </w:tc>
      </w:tr>
      <w:tr>
        <w:tc>
          <w:tcPr>
            <w:tcW w:w="1365" w:type="dxa"/>
          </w:tcPr>
          <w:p>
            <w:pPr>
              <w:autoSpaceDE w:val="0"/>
              <w:autoSpaceDN w:val="0"/>
              <w:adjustRightInd w:val="0"/>
              <w:rPr>
                <w:noProof/>
                <w:sz w:val="20"/>
                <w:szCs w:val="20"/>
              </w:rPr>
            </w:pPr>
            <w:r>
              <w:rPr>
                <w:noProof/>
                <w:sz w:val="20"/>
              </w:rPr>
              <w:t>05 02 08 03</w:t>
            </w:r>
            <w:r>
              <w:rPr>
                <w:noProof/>
                <w:sz w:val="20"/>
                <w:szCs w:val="20"/>
              </w:rPr>
              <w:br/>
            </w:r>
            <w:r>
              <w:rPr>
                <w:noProof/>
                <w:sz w:val="20"/>
              </w:rPr>
              <w:t>05 02 08 99</w:t>
            </w:r>
          </w:p>
        </w:tc>
        <w:tc>
          <w:tcPr>
            <w:tcW w:w="6999" w:type="dxa"/>
          </w:tcPr>
          <w:p>
            <w:pPr>
              <w:autoSpaceDE w:val="0"/>
              <w:autoSpaceDN w:val="0"/>
              <w:adjustRightInd w:val="0"/>
              <w:jc w:val="both"/>
              <w:rPr>
                <w:noProof/>
                <w:sz w:val="20"/>
                <w:szCs w:val="20"/>
              </w:rPr>
            </w:pPr>
            <w:r>
              <w:rPr>
                <w:noProof/>
                <w:sz w:val="20"/>
              </w:rPr>
              <w:t xml:space="preserve">Разширяване на временните извънредни мерки за подпомагане на производителите на някои видове плодове и зеленчуци </w:t>
            </w:r>
          </w:p>
        </w:tc>
        <w:tc>
          <w:tcPr>
            <w:tcW w:w="1559" w:type="dxa"/>
          </w:tcPr>
          <w:p>
            <w:pPr>
              <w:autoSpaceDE w:val="0"/>
              <w:autoSpaceDN w:val="0"/>
              <w:adjustRightInd w:val="0"/>
              <w:jc w:val="right"/>
              <w:rPr>
                <w:noProof/>
                <w:sz w:val="20"/>
                <w:szCs w:val="20"/>
              </w:rPr>
            </w:pPr>
            <w:r>
              <w:rPr>
                <w:noProof/>
                <w:sz w:val="20"/>
              </w:rPr>
              <w:t>100,0</w:t>
            </w:r>
          </w:p>
        </w:tc>
      </w:tr>
      <w:tr>
        <w:tc>
          <w:tcPr>
            <w:tcW w:w="1365" w:type="dxa"/>
            <w:tcBorders>
              <w:top w:val="nil"/>
            </w:tcBorders>
          </w:tcPr>
          <w:p>
            <w:pPr>
              <w:autoSpaceDE w:val="0"/>
              <w:autoSpaceDN w:val="0"/>
              <w:adjustRightInd w:val="0"/>
              <w:jc w:val="both"/>
              <w:rPr>
                <w:noProof/>
                <w:sz w:val="20"/>
                <w:szCs w:val="20"/>
              </w:rPr>
            </w:pPr>
            <w:r>
              <w:rPr>
                <w:noProof/>
                <w:sz w:val="20"/>
              </w:rPr>
              <w:t>05 02 10 01</w:t>
            </w:r>
          </w:p>
        </w:tc>
        <w:tc>
          <w:tcPr>
            <w:tcW w:w="6999" w:type="dxa"/>
            <w:tcBorders>
              <w:top w:val="nil"/>
            </w:tcBorders>
          </w:tcPr>
          <w:p>
            <w:pPr>
              <w:autoSpaceDE w:val="0"/>
              <w:autoSpaceDN w:val="0"/>
              <w:adjustRightInd w:val="0"/>
              <w:jc w:val="both"/>
              <w:rPr>
                <w:noProof/>
                <w:sz w:val="20"/>
                <w:szCs w:val="20"/>
              </w:rPr>
            </w:pPr>
            <w:r>
              <w:rPr>
                <w:noProof/>
                <w:sz w:val="20"/>
              </w:rPr>
              <w:t>Укрепване на дейностите за насърчаване на млечните продукти и свинското месо в трети държави</w:t>
            </w:r>
          </w:p>
        </w:tc>
        <w:tc>
          <w:tcPr>
            <w:tcW w:w="1559" w:type="dxa"/>
            <w:tcBorders>
              <w:top w:val="nil"/>
            </w:tcBorders>
          </w:tcPr>
          <w:p>
            <w:pPr>
              <w:autoSpaceDE w:val="0"/>
              <w:autoSpaceDN w:val="0"/>
              <w:adjustRightInd w:val="0"/>
              <w:jc w:val="right"/>
              <w:rPr>
                <w:noProof/>
                <w:sz w:val="20"/>
                <w:szCs w:val="20"/>
              </w:rPr>
            </w:pPr>
            <w:r>
              <w:rPr>
                <w:noProof/>
                <w:sz w:val="20"/>
              </w:rPr>
              <w:t>21,5</w:t>
            </w:r>
            <w:r>
              <w:rPr>
                <w:noProof/>
                <w:sz w:val="20"/>
                <w:vertAlign w:val="superscript"/>
              </w:rPr>
              <w:t>(1)(2)</w:t>
            </w:r>
          </w:p>
        </w:tc>
      </w:tr>
      <w:tr>
        <w:tc>
          <w:tcPr>
            <w:tcW w:w="1365" w:type="dxa"/>
            <w:tcBorders>
              <w:top w:val="nil"/>
            </w:tcBorders>
          </w:tcPr>
          <w:p>
            <w:pPr>
              <w:autoSpaceDE w:val="0"/>
              <w:autoSpaceDN w:val="0"/>
              <w:adjustRightInd w:val="0"/>
              <w:jc w:val="both"/>
              <w:rPr>
                <w:noProof/>
                <w:sz w:val="20"/>
                <w:szCs w:val="20"/>
              </w:rPr>
            </w:pPr>
            <w:r>
              <w:rPr>
                <w:noProof/>
                <w:sz w:val="20"/>
              </w:rPr>
              <w:t>05 02 12 02</w:t>
            </w:r>
          </w:p>
        </w:tc>
        <w:tc>
          <w:tcPr>
            <w:tcW w:w="6999" w:type="dxa"/>
            <w:tcBorders>
              <w:top w:val="nil"/>
            </w:tcBorders>
          </w:tcPr>
          <w:p>
            <w:pPr>
              <w:autoSpaceDE w:val="0"/>
              <w:autoSpaceDN w:val="0"/>
              <w:adjustRightInd w:val="0"/>
              <w:jc w:val="both"/>
              <w:rPr>
                <w:noProof/>
                <w:sz w:val="20"/>
                <w:szCs w:val="20"/>
              </w:rPr>
            </w:pPr>
            <w:r>
              <w:rPr>
                <w:noProof/>
                <w:sz w:val="20"/>
              </w:rPr>
              <w:t xml:space="preserve">Частно складиране и публична интервенция за обезмаслено мляко на прах </w:t>
            </w:r>
          </w:p>
        </w:tc>
        <w:tc>
          <w:tcPr>
            <w:tcW w:w="1559" w:type="dxa"/>
            <w:tcBorders>
              <w:top w:val="nil"/>
            </w:tcBorders>
          </w:tcPr>
          <w:p>
            <w:pPr>
              <w:autoSpaceDE w:val="0"/>
              <w:autoSpaceDN w:val="0"/>
              <w:adjustRightInd w:val="0"/>
              <w:jc w:val="right"/>
              <w:rPr>
                <w:noProof/>
                <w:sz w:val="20"/>
                <w:szCs w:val="20"/>
              </w:rPr>
            </w:pPr>
            <w:r>
              <w:rPr>
                <w:noProof/>
                <w:sz w:val="20"/>
              </w:rPr>
              <w:t>19,0</w:t>
            </w:r>
          </w:p>
        </w:tc>
      </w:tr>
      <w:tr>
        <w:tc>
          <w:tcPr>
            <w:tcW w:w="1365" w:type="dxa"/>
            <w:tcBorders>
              <w:top w:val="nil"/>
            </w:tcBorders>
          </w:tcPr>
          <w:p>
            <w:pPr>
              <w:autoSpaceDE w:val="0"/>
              <w:autoSpaceDN w:val="0"/>
              <w:adjustRightInd w:val="0"/>
              <w:jc w:val="both"/>
              <w:rPr>
                <w:noProof/>
                <w:sz w:val="20"/>
                <w:szCs w:val="20"/>
              </w:rPr>
            </w:pPr>
            <w:r>
              <w:rPr>
                <w:noProof/>
                <w:sz w:val="20"/>
              </w:rPr>
              <w:t>05 02 12 04</w:t>
            </w:r>
          </w:p>
        </w:tc>
        <w:tc>
          <w:tcPr>
            <w:tcW w:w="6999" w:type="dxa"/>
            <w:tcBorders>
              <w:top w:val="nil"/>
            </w:tcBorders>
          </w:tcPr>
          <w:p>
            <w:pPr>
              <w:autoSpaceDE w:val="0"/>
              <w:autoSpaceDN w:val="0"/>
              <w:adjustRightInd w:val="0"/>
              <w:jc w:val="both"/>
              <w:rPr>
                <w:noProof/>
                <w:sz w:val="20"/>
                <w:szCs w:val="20"/>
              </w:rPr>
            </w:pPr>
            <w:r>
              <w:rPr>
                <w:noProof/>
                <w:sz w:val="20"/>
              </w:rPr>
              <w:t xml:space="preserve">Частно складиране на масло </w:t>
            </w:r>
          </w:p>
        </w:tc>
        <w:tc>
          <w:tcPr>
            <w:tcW w:w="1559" w:type="dxa"/>
            <w:tcBorders>
              <w:top w:val="nil"/>
            </w:tcBorders>
          </w:tcPr>
          <w:p>
            <w:pPr>
              <w:autoSpaceDE w:val="0"/>
              <w:autoSpaceDN w:val="0"/>
              <w:adjustRightInd w:val="0"/>
              <w:jc w:val="right"/>
              <w:rPr>
                <w:noProof/>
                <w:sz w:val="20"/>
                <w:szCs w:val="20"/>
              </w:rPr>
            </w:pPr>
            <w:r>
              <w:rPr>
                <w:noProof/>
                <w:sz w:val="20"/>
              </w:rPr>
              <w:t>9,0</w:t>
            </w:r>
          </w:p>
        </w:tc>
      </w:tr>
      <w:tr>
        <w:tc>
          <w:tcPr>
            <w:tcW w:w="1365" w:type="dxa"/>
          </w:tcPr>
          <w:p>
            <w:pPr>
              <w:autoSpaceDE w:val="0"/>
              <w:autoSpaceDN w:val="0"/>
              <w:adjustRightInd w:val="0"/>
              <w:jc w:val="both"/>
              <w:rPr>
                <w:noProof/>
                <w:sz w:val="20"/>
                <w:szCs w:val="20"/>
              </w:rPr>
            </w:pPr>
            <w:r>
              <w:rPr>
                <w:noProof/>
                <w:sz w:val="20"/>
              </w:rPr>
              <w:t>05 02 12 99</w:t>
            </w:r>
          </w:p>
        </w:tc>
        <w:tc>
          <w:tcPr>
            <w:tcW w:w="6999" w:type="dxa"/>
          </w:tcPr>
          <w:p>
            <w:pPr>
              <w:autoSpaceDE w:val="0"/>
              <w:autoSpaceDN w:val="0"/>
              <w:adjustRightInd w:val="0"/>
              <w:jc w:val="both"/>
              <w:rPr>
                <w:noProof/>
                <w:sz w:val="20"/>
              </w:rPr>
            </w:pPr>
            <w:r>
              <w:rPr>
                <w:noProof/>
                <w:sz w:val="20"/>
              </w:rPr>
              <w:t>Частно складиране на сирене (остатъчни количества)</w:t>
            </w:r>
          </w:p>
        </w:tc>
        <w:tc>
          <w:tcPr>
            <w:tcW w:w="1559" w:type="dxa"/>
          </w:tcPr>
          <w:p>
            <w:pPr>
              <w:autoSpaceDE w:val="0"/>
              <w:autoSpaceDN w:val="0"/>
              <w:adjustRightInd w:val="0"/>
              <w:jc w:val="right"/>
              <w:rPr>
                <w:noProof/>
                <w:sz w:val="20"/>
                <w:szCs w:val="20"/>
              </w:rPr>
            </w:pPr>
            <w:r>
              <w:rPr>
                <w:noProof/>
                <w:sz w:val="20"/>
              </w:rPr>
              <w:t>4,6</w:t>
            </w:r>
          </w:p>
        </w:tc>
      </w:tr>
      <w:tr>
        <w:tc>
          <w:tcPr>
            <w:tcW w:w="1365" w:type="dxa"/>
          </w:tcPr>
          <w:p>
            <w:pPr>
              <w:autoSpaceDE w:val="0"/>
              <w:autoSpaceDN w:val="0"/>
              <w:adjustRightInd w:val="0"/>
              <w:jc w:val="both"/>
              <w:rPr>
                <w:noProof/>
                <w:sz w:val="20"/>
                <w:szCs w:val="20"/>
              </w:rPr>
            </w:pPr>
            <w:r>
              <w:rPr>
                <w:noProof/>
                <w:sz w:val="20"/>
              </w:rPr>
              <w:t>05 02 12 99</w:t>
            </w:r>
          </w:p>
        </w:tc>
        <w:tc>
          <w:tcPr>
            <w:tcW w:w="6999" w:type="dxa"/>
          </w:tcPr>
          <w:p>
            <w:pPr>
              <w:autoSpaceDE w:val="0"/>
              <w:autoSpaceDN w:val="0"/>
              <w:adjustRightInd w:val="0"/>
              <w:jc w:val="both"/>
              <w:rPr>
                <w:noProof/>
                <w:sz w:val="20"/>
                <w:szCs w:val="20"/>
              </w:rPr>
            </w:pPr>
            <w:r>
              <w:rPr>
                <w:noProof/>
                <w:sz w:val="20"/>
              </w:rPr>
              <w:t>Целева помощ за временно намаляване на производството на мляко</w:t>
            </w:r>
          </w:p>
        </w:tc>
        <w:tc>
          <w:tcPr>
            <w:tcW w:w="1559" w:type="dxa"/>
          </w:tcPr>
          <w:p>
            <w:pPr>
              <w:autoSpaceDE w:val="0"/>
              <w:autoSpaceDN w:val="0"/>
              <w:adjustRightInd w:val="0"/>
              <w:jc w:val="right"/>
              <w:rPr>
                <w:noProof/>
                <w:sz w:val="20"/>
                <w:szCs w:val="20"/>
              </w:rPr>
            </w:pPr>
            <w:r>
              <w:rPr>
                <w:noProof/>
                <w:sz w:val="20"/>
              </w:rPr>
              <w:t>150,0</w:t>
            </w:r>
          </w:p>
        </w:tc>
      </w:tr>
      <w:tr>
        <w:tc>
          <w:tcPr>
            <w:tcW w:w="1365" w:type="dxa"/>
          </w:tcPr>
          <w:p>
            <w:pPr>
              <w:autoSpaceDE w:val="0"/>
              <w:autoSpaceDN w:val="0"/>
              <w:adjustRightInd w:val="0"/>
              <w:jc w:val="both"/>
              <w:rPr>
                <w:noProof/>
                <w:sz w:val="20"/>
                <w:szCs w:val="20"/>
              </w:rPr>
            </w:pPr>
            <w:r>
              <w:rPr>
                <w:noProof/>
                <w:sz w:val="20"/>
              </w:rPr>
              <w:t>05 02 12 99</w:t>
            </w:r>
          </w:p>
        </w:tc>
        <w:tc>
          <w:tcPr>
            <w:tcW w:w="6999" w:type="dxa"/>
          </w:tcPr>
          <w:p>
            <w:pPr>
              <w:autoSpaceDE w:val="0"/>
              <w:autoSpaceDN w:val="0"/>
              <w:adjustRightInd w:val="0"/>
              <w:jc w:val="both"/>
              <w:rPr>
                <w:noProof/>
                <w:sz w:val="20"/>
                <w:szCs w:val="20"/>
              </w:rPr>
            </w:pPr>
            <w:r>
              <w:rPr>
                <w:noProof/>
                <w:sz w:val="20"/>
              </w:rPr>
              <w:t>Извънредна помощ за приспособяване на млекопроизводителите и земеделските стопани в други сектори на животновъдството</w:t>
            </w:r>
          </w:p>
        </w:tc>
        <w:tc>
          <w:tcPr>
            <w:tcW w:w="1559" w:type="dxa"/>
          </w:tcPr>
          <w:p>
            <w:pPr>
              <w:autoSpaceDE w:val="0"/>
              <w:autoSpaceDN w:val="0"/>
              <w:adjustRightInd w:val="0"/>
              <w:jc w:val="right"/>
              <w:rPr>
                <w:noProof/>
                <w:sz w:val="20"/>
                <w:szCs w:val="20"/>
              </w:rPr>
            </w:pPr>
            <w:r>
              <w:rPr>
                <w:noProof/>
                <w:sz w:val="20"/>
              </w:rPr>
              <w:t>350,0</w:t>
            </w:r>
          </w:p>
        </w:tc>
      </w:tr>
      <w:tr>
        <w:tc>
          <w:tcPr>
            <w:tcW w:w="8364" w:type="dxa"/>
            <w:gridSpan w:val="2"/>
          </w:tcPr>
          <w:p>
            <w:pPr>
              <w:autoSpaceDE w:val="0"/>
              <w:autoSpaceDN w:val="0"/>
              <w:adjustRightInd w:val="0"/>
              <w:spacing w:before="60" w:after="60"/>
              <w:jc w:val="both"/>
              <w:rPr>
                <w:noProof/>
                <w:sz w:val="20"/>
                <w:szCs w:val="20"/>
              </w:rPr>
            </w:pPr>
            <w:r>
              <w:rPr>
                <w:b/>
                <w:i/>
                <w:noProof/>
                <w:sz w:val="20"/>
              </w:rPr>
              <w:t>Обща стойност на всички допълнителни мерки за подпомагане, включени в ПБ за 2017 г. (вкл. в ПВК № 1/2017)</w:t>
            </w:r>
          </w:p>
        </w:tc>
        <w:tc>
          <w:tcPr>
            <w:tcW w:w="1559" w:type="dxa"/>
          </w:tcPr>
          <w:p>
            <w:pPr>
              <w:autoSpaceDE w:val="0"/>
              <w:autoSpaceDN w:val="0"/>
              <w:adjustRightInd w:val="0"/>
              <w:spacing w:before="60" w:after="60"/>
              <w:jc w:val="right"/>
              <w:rPr>
                <w:b/>
                <w:i/>
                <w:noProof/>
                <w:sz w:val="20"/>
                <w:szCs w:val="20"/>
              </w:rPr>
            </w:pPr>
            <w:r>
              <w:rPr>
                <w:b/>
                <w:i/>
                <w:noProof/>
                <w:sz w:val="20"/>
              </w:rPr>
              <w:t>654,1</w:t>
            </w:r>
          </w:p>
        </w:tc>
      </w:tr>
      <w:tr>
        <w:tc>
          <w:tcPr>
            <w:tcW w:w="9923" w:type="dxa"/>
            <w:gridSpan w:val="3"/>
          </w:tcPr>
          <w:p>
            <w:pPr>
              <w:ind w:left="170" w:hanging="170"/>
              <w:rPr>
                <w:b/>
                <w:i/>
                <w:noProof/>
                <w:sz w:val="20"/>
                <w:szCs w:val="20"/>
              </w:rPr>
            </w:pPr>
            <w:r>
              <w:rPr>
                <w:noProof/>
                <w:sz w:val="18"/>
                <w:vertAlign w:val="superscript"/>
              </w:rPr>
              <w:t>(1)</w:t>
            </w:r>
            <w:r>
              <w:rPr>
                <w:noProof/>
                <w:sz w:val="18"/>
              </w:rPr>
              <w:t xml:space="preserve"> Общо 30 млн. евро, обявени през 2014 г., от които 3 млн. евро през 2015 г., 13,5 млн. евро през 2016 г. и 13,5 млн. евро през 2017 г. </w:t>
            </w:r>
          </w:p>
        </w:tc>
      </w:tr>
      <w:tr>
        <w:tc>
          <w:tcPr>
            <w:tcW w:w="9923" w:type="dxa"/>
            <w:gridSpan w:val="3"/>
          </w:tcPr>
          <w:p>
            <w:pPr>
              <w:autoSpaceDE w:val="0"/>
              <w:autoSpaceDN w:val="0"/>
              <w:adjustRightInd w:val="0"/>
              <w:ind w:left="176" w:hanging="176"/>
              <w:rPr>
                <w:b/>
                <w:i/>
                <w:noProof/>
                <w:sz w:val="20"/>
                <w:szCs w:val="20"/>
              </w:rPr>
            </w:pPr>
            <w:r>
              <w:rPr>
                <w:noProof/>
                <w:sz w:val="18"/>
                <w:vertAlign w:val="superscript"/>
              </w:rPr>
              <w:t>(2)</w:t>
            </w:r>
            <w:r>
              <w:rPr>
                <w:noProof/>
                <w:sz w:val="18"/>
              </w:rPr>
              <w:t xml:space="preserve"> Допълнителни 30 млн. евро, обявени през 2015 г., от които 8 млн. евро през 2017 г., а останалите 22 млн. евро през 2018 г. и по-нататък.</w:t>
            </w:r>
          </w:p>
        </w:tc>
      </w:tr>
    </w:tbl>
    <w:p>
      <w:pPr>
        <w:autoSpaceDE w:val="0"/>
        <w:autoSpaceDN w:val="0"/>
        <w:adjustRightInd w:val="0"/>
        <w:spacing w:before="120" w:after="120"/>
        <w:jc w:val="both"/>
        <w:rPr>
          <w:noProof/>
        </w:rPr>
      </w:pPr>
      <w:r>
        <w:rPr>
          <w:noProof/>
        </w:rPr>
        <w:t>В ПВК № 1/2017 се предлага размерът на бюджетните кредити за селскостопански разходи, финансирани по линия на ЕФГЗ, да бъде определен на 42 937,6 млн. евро, което е под наличното нетно салдо за разходване по линия на ЕФГЗ за 2017 г. („нетният подтаван“), в размер на 44 145,7 млн. евро</w:t>
      </w:r>
      <w:r>
        <w:rPr>
          <w:noProof/>
          <w:vertAlign w:val="superscript"/>
        </w:rPr>
        <w:footnoteReference w:id="7"/>
      </w:r>
      <w:r>
        <w:rPr>
          <w:noProof/>
        </w:rPr>
        <w:t>. Въпреки нетното увеличение на нуждите на ЕФГЗ с 527,0 млн. евро, бюджетните кредити за ЕФГЗ може да останат непроменени спрямо ПБ за 2017 г., тъй като това увеличение е напълно компенсирано от допълнителните целеви приходи, предназначени за ЕФГЗ (+ 527,0 млн. евро).</w:t>
      </w:r>
    </w:p>
    <w:p>
      <w:pPr>
        <w:spacing w:before="120" w:after="120"/>
        <w:jc w:val="both"/>
        <w:rPr>
          <w:noProof/>
        </w:rPr>
      </w:pPr>
      <w:r>
        <w:rPr>
          <w:noProof/>
        </w:rPr>
        <w:t>В таблицата по-долу е обобщен ефектът на ПВК № 1/2017 върху функция 2 като цяло:</w:t>
      </w:r>
    </w:p>
    <w:p>
      <w:pPr>
        <w:keepNext/>
        <w:keepLines/>
        <w:jc w:val="right"/>
        <w:rPr>
          <w:noProof/>
          <w:sz w:val="16"/>
          <w:szCs w:val="16"/>
        </w:rPr>
      </w:pPr>
      <w:r>
        <w:rPr>
          <w:i/>
          <w:noProof/>
          <w:sz w:val="16"/>
        </w:rPr>
        <w:t xml:space="preserve"> (в млн. евро, закръглени стойности по текущи цени)</w:t>
      </w:r>
    </w:p>
    <w:tbl>
      <w:tblPr>
        <w:tblW w:w="9963" w:type="dxa"/>
        <w:tblLayout w:type="fixed"/>
        <w:tblCellMar>
          <w:left w:w="40" w:type="dxa"/>
          <w:right w:w="40" w:type="dxa"/>
        </w:tblCellMar>
        <w:tblLook w:val="0000" w:firstRow="0" w:lastRow="0" w:firstColumn="0" w:lastColumn="0" w:noHBand="0" w:noVBand="0"/>
      </w:tblPr>
      <w:tblGrid>
        <w:gridCol w:w="324"/>
        <w:gridCol w:w="283"/>
        <w:gridCol w:w="2977"/>
        <w:gridCol w:w="1063"/>
        <w:gridCol w:w="1063"/>
        <w:gridCol w:w="1063"/>
        <w:gridCol w:w="1063"/>
        <w:gridCol w:w="1063"/>
        <w:gridCol w:w="1064"/>
      </w:tblGrid>
      <w:tr>
        <w:trPr>
          <w:tblHeader/>
        </w:trPr>
        <w:tc>
          <w:tcPr>
            <w:tcW w:w="3584" w:type="dxa"/>
            <w:gridSpan w:val="3"/>
            <w:vMerge w:val="restart"/>
            <w:tcBorders>
              <w:top w:val="single" w:sz="4" w:space="0" w:color="auto"/>
              <w:left w:val="single" w:sz="4" w:space="0" w:color="auto"/>
              <w:bottom w:val="single" w:sz="4" w:space="0" w:color="auto"/>
              <w:right w:val="single" w:sz="4" w:space="0" w:color="auto"/>
            </w:tcBorders>
            <w:shd w:val="clear" w:color="auto" w:fill="D9D9D9"/>
          </w:tcPr>
          <w:p>
            <w:pPr>
              <w:keepNext/>
              <w:keepLines/>
              <w:spacing w:before="30" w:after="30"/>
              <w:rPr>
                <w:noProof/>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rPr>
            </w:pPr>
            <w:r>
              <w:rPr>
                <w:b/>
                <w:noProof/>
                <w:sz w:val="16"/>
              </w:rPr>
              <w:t>Проектобюджет за 2017 г.</w:t>
            </w:r>
          </w:p>
        </w:tc>
        <w:tc>
          <w:tcPr>
            <w:tcW w:w="2126" w:type="dxa"/>
            <w:gridSpan w:val="2"/>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rPr>
            </w:pPr>
            <w:r>
              <w:rPr>
                <w:b/>
                <w:noProof/>
                <w:sz w:val="16"/>
              </w:rPr>
              <w:t>Писмо за внасяне на корекции</w:t>
            </w:r>
            <w:r>
              <w:rPr>
                <w:b/>
                <w:noProof/>
                <w:sz w:val="16"/>
                <w:szCs w:val="16"/>
              </w:rPr>
              <w:br/>
            </w:r>
            <w:r>
              <w:rPr>
                <w:b/>
                <w:noProof/>
                <w:sz w:val="16"/>
              </w:rPr>
              <w:t>№ 1/2017</w:t>
            </w:r>
          </w:p>
        </w:tc>
        <w:tc>
          <w:tcPr>
            <w:tcW w:w="2127" w:type="dxa"/>
            <w:gridSpan w:val="2"/>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rPr>
            </w:pPr>
            <w:r>
              <w:rPr>
                <w:b/>
                <w:noProof/>
                <w:sz w:val="16"/>
              </w:rPr>
              <w:t xml:space="preserve">Проектобюджет за 2017 г. </w:t>
            </w:r>
            <w:r>
              <w:rPr>
                <w:b/>
                <w:noProof/>
                <w:sz w:val="16"/>
                <w:szCs w:val="16"/>
              </w:rPr>
              <w:br/>
            </w:r>
            <w:r>
              <w:rPr>
                <w:b/>
                <w:noProof/>
                <w:sz w:val="16"/>
              </w:rPr>
              <w:t>(вкл. ПВК № 1/2017)</w:t>
            </w:r>
          </w:p>
        </w:tc>
      </w:tr>
      <w:tr>
        <w:trPr>
          <w:tblHeader/>
        </w:trPr>
        <w:tc>
          <w:tcPr>
            <w:tcW w:w="3584" w:type="dxa"/>
            <w:gridSpan w:val="3"/>
            <w:vMerge/>
            <w:tcBorders>
              <w:top w:val="nil"/>
              <w:left w:val="single" w:sz="4" w:space="0" w:color="auto"/>
              <w:bottom w:val="single" w:sz="4" w:space="0" w:color="auto"/>
              <w:right w:val="single" w:sz="4" w:space="0" w:color="auto"/>
            </w:tcBorders>
            <w:shd w:val="clear" w:color="auto" w:fill="D9D9D9"/>
          </w:tcPr>
          <w:p>
            <w:pPr>
              <w:keepNext/>
              <w:keepLines/>
              <w:spacing w:before="30" w:after="30"/>
              <w:jc w:val="center"/>
              <w:rPr>
                <w:noProof/>
                <w:sz w:val="16"/>
                <w:szCs w:val="16"/>
              </w:rPr>
            </w:pPr>
          </w:p>
        </w:tc>
        <w:tc>
          <w:tcPr>
            <w:tcW w:w="1063" w:type="dxa"/>
            <w:tcBorders>
              <w:top w:val="single" w:sz="4" w:space="0" w:color="auto"/>
              <w:left w:val="nil"/>
              <w:bottom w:val="single" w:sz="4" w:space="0" w:color="auto"/>
              <w:right w:val="single" w:sz="4" w:space="0" w:color="auto"/>
            </w:tcBorders>
            <w:shd w:val="clear" w:color="auto" w:fill="D9D9D9"/>
          </w:tcPr>
          <w:p>
            <w:pPr>
              <w:keepNext/>
              <w:keepLines/>
              <w:spacing w:before="30" w:after="30"/>
              <w:jc w:val="center"/>
              <w:rPr>
                <w:noProof/>
                <w:sz w:val="16"/>
                <w:szCs w:val="16"/>
              </w:rPr>
            </w:pPr>
            <w:r>
              <w:rPr>
                <w:b/>
                <w:noProof/>
                <w:sz w:val="16"/>
              </w:rPr>
              <w:t>Поети задължения</w:t>
            </w:r>
          </w:p>
        </w:tc>
        <w:tc>
          <w:tcPr>
            <w:tcW w:w="1063"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rPr>
            </w:pPr>
            <w:r>
              <w:rPr>
                <w:b/>
                <w:noProof/>
                <w:sz w:val="16"/>
              </w:rPr>
              <w:t>Плащания</w:t>
            </w:r>
          </w:p>
        </w:tc>
        <w:tc>
          <w:tcPr>
            <w:tcW w:w="1063" w:type="dxa"/>
            <w:tcBorders>
              <w:top w:val="single" w:sz="4" w:space="0" w:color="auto"/>
              <w:left w:val="nil"/>
              <w:bottom w:val="single" w:sz="4" w:space="0" w:color="auto"/>
              <w:right w:val="single" w:sz="4" w:space="0" w:color="auto"/>
            </w:tcBorders>
            <w:shd w:val="clear" w:color="auto" w:fill="D9D9D9"/>
          </w:tcPr>
          <w:p>
            <w:pPr>
              <w:keepNext/>
              <w:keepLines/>
              <w:spacing w:before="30" w:after="30"/>
              <w:jc w:val="center"/>
              <w:rPr>
                <w:noProof/>
                <w:sz w:val="16"/>
                <w:szCs w:val="16"/>
              </w:rPr>
            </w:pPr>
            <w:r>
              <w:rPr>
                <w:b/>
                <w:noProof/>
                <w:sz w:val="16"/>
              </w:rPr>
              <w:t>Поети задължения</w:t>
            </w:r>
          </w:p>
        </w:tc>
        <w:tc>
          <w:tcPr>
            <w:tcW w:w="1063"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rPr>
            </w:pPr>
            <w:r>
              <w:rPr>
                <w:b/>
                <w:noProof/>
                <w:sz w:val="16"/>
              </w:rPr>
              <w:t>Плащания</w:t>
            </w:r>
          </w:p>
        </w:tc>
        <w:tc>
          <w:tcPr>
            <w:tcW w:w="1063" w:type="dxa"/>
            <w:tcBorders>
              <w:top w:val="single" w:sz="4" w:space="0" w:color="auto"/>
              <w:left w:val="nil"/>
              <w:bottom w:val="single" w:sz="4" w:space="0" w:color="auto"/>
              <w:right w:val="single" w:sz="4" w:space="0" w:color="auto"/>
            </w:tcBorders>
            <w:shd w:val="clear" w:color="auto" w:fill="D9D9D9"/>
          </w:tcPr>
          <w:p>
            <w:pPr>
              <w:keepNext/>
              <w:keepLines/>
              <w:spacing w:before="30" w:after="30"/>
              <w:jc w:val="center"/>
              <w:rPr>
                <w:noProof/>
                <w:sz w:val="16"/>
                <w:szCs w:val="16"/>
              </w:rPr>
            </w:pPr>
            <w:r>
              <w:rPr>
                <w:b/>
                <w:noProof/>
                <w:sz w:val="16"/>
              </w:rPr>
              <w:t>Поети задължения</w:t>
            </w:r>
          </w:p>
        </w:tc>
        <w:tc>
          <w:tcPr>
            <w:tcW w:w="106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center"/>
              <w:rPr>
                <w:b/>
                <w:noProof/>
                <w:sz w:val="16"/>
                <w:szCs w:val="16"/>
              </w:rPr>
            </w:pPr>
            <w:r>
              <w:rPr>
                <w:b/>
                <w:noProof/>
                <w:sz w:val="16"/>
              </w:rPr>
              <w:t>Плащания</w:t>
            </w:r>
          </w:p>
        </w:tc>
      </w:tr>
      <w:tr>
        <w:tc>
          <w:tcPr>
            <w:tcW w:w="324" w:type="dxa"/>
            <w:tcBorders>
              <w:top w:val="single" w:sz="4" w:space="0" w:color="auto"/>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260" w:type="dxa"/>
            <w:gridSpan w:val="2"/>
            <w:tcBorders>
              <w:top w:val="single" w:sz="4" w:space="0" w:color="auto"/>
              <w:left w:val="nil"/>
              <w:bottom w:val="dotted" w:sz="2" w:space="0" w:color="auto"/>
              <w:right w:val="single" w:sz="4" w:space="0" w:color="auto"/>
            </w:tcBorders>
          </w:tcPr>
          <w:p>
            <w:pPr>
              <w:keepNext/>
              <w:keepLines/>
              <w:spacing w:before="30" w:after="30"/>
              <w:rPr>
                <w:noProof/>
                <w:sz w:val="16"/>
                <w:szCs w:val="16"/>
              </w:rPr>
            </w:pPr>
            <w:r>
              <w:rPr>
                <w:noProof/>
                <w:sz w:val="16"/>
              </w:rPr>
              <w:t xml:space="preserve">Европейски фонд за гарантиране на земеделието (ЕФГЗ) </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42 937,6</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42 889,0</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0,0</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-1,0</w:t>
            </w:r>
          </w:p>
        </w:tc>
        <w:tc>
          <w:tcPr>
            <w:tcW w:w="1063"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42 937,6</w:t>
            </w:r>
          </w:p>
        </w:tc>
        <w:tc>
          <w:tcPr>
            <w:tcW w:w="1064" w:type="dxa"/>
            <w:tcBorders>
              <w:top w:val="single" w:sz="4" w:space="0" w:color="auto"/>
              <w:left w:val="nil"/>
              <w:bottom w:val="dotted" w:sz="2" w:space="0" w:color="auto"/>
              <w:right w:val="single" w:sz="4" w:space="0" w:color="auto"/>
            </w:tcBorders>
          </w:tcPr>
          <w:p>
            <w:pPr>
              <w:keepNext/>
              <w:keepLines/>
              <w:spacing w:before="30" w:after="30"/>
              <w:jc w:val="right"/>
              <w:rPr>
                <w:noProof/>
                <w:sz w:val="16"/>
                <w:szCs w:val="16"/>
              </w:rPr>
            </w:pPr>
            <w:r>
              <w:rPr>
                <w:noProof/>
                <w:sz w:val="16"/>
              </w:rPr>
              <w:t>42 888,0</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260" w:type="dxa"/>
            <w:gridSpan w:val="2"/>
            <w:tcBorders>
              <w:top w:val="nil"/>
              <w:left w:val="nil"/>
              <w:bottom w:val="dotted" w:sz="2" w:space="0" w:color="auto"/>
              <w:right w:val="single" w:sz="4" w:space="0" w:color="auto"/>
            </w:tcBorders>
          </w:tcPr>
          <w:p>
            <w:pPr>
              <w:keepNext/>
              <w:keepLines/>
              <w:spacing w:before="30" w:after="30"/>
              <w:rPr>
                <w:noProof/>
                <w:sz w:val="16"/>
                <w:szCs w:val="16"/>
              </w:rPr>
            </w:pPr>
            <w:r>
              <w:rPr>
                <w:noProof/>
                <w:sz w:val="16"/>
              </w:rPr>
              <w:t>Европейски земеделски фонд за развитие на селските райони (ЕЗФРСР)</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14 365,5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11 208,5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14 365,5</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11 208,5</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260" w:type="dxa"/>
            <w:gridSpan w:val="2"/>
            <w:tcBorders>
              <w:top w:val="nil"/>
              <w:left w:val="nil"/>
              <w:bottom w:val="dotted" w:sz="2" w:space="0" w:color="auto"/>
              <w:right w:val="single" w:sz="4" w:space="0" w:color="auto"/>
            </w:tcBorders>
          </w:tcPr>
          <w:p>
            <w:pPr>
              <w:keepNext/>
              <w:keepLines/>
              <w:spacing w:before="30" w:after="30"/>
              <w:rPr>
                <w:noProof/>
                <w:sz w:val="16"/>
                <w:szCs w:val="16"/>
              </w:rPr>
            </w:pPr>
            <w:r>
              <w:rPr>
                <w:noProof/>
                <w:sz w:val="16"/>
              </w:rPr>
              <w:t>Европейски фонд за морско дело и рибарство (ЕФМДР), регионални организации за управление на рибарството (РОУР) и споразумения за партньорство в областта на устойчивото рибарство (СПОУР), от които:</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1 050,1</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710,8</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1 050,1</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710,8</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p>
        </w:tc>
        <w:tc>
          <w:tcPr>
            <w:tcW w:w="283" w:type="dxa"/>
            <w:tcBorders>
              <w:top w:val="dotted" w:sz="2" w:space="0" w:color="auto"/>
              <w:left w:val="nil"/>
              <w:bottom w:val="dotted" w:sz="2" w:space="0" w:color="auto"/>
            </w:tcBorders>
          </w:tcPr>
          <w:p>
            <w:pPr>
              <w:keepNext/>
              <w:keepLines/>
              <w:spacing w:before="30" w:after="30"/>
              <w:rPr>
                <w:noProof/>
                <w:sz w:val="16"/>
                <w:szCs w:val="16"/>
              </w:rPr>
            </w:pPr>
            <w:r>
              <w:rPr>
                <w:noProof/>
                <w:sz w:val="16"/>
              </w:rPr>
              <w:t>—</w:t>
            </w:r>
          </w:p>
        </w:tc>
        <w:tc>
          <w:tcPr>
            <w:tcW w:w="2977" w:type="dxa"/>
            <w:tcBorders>
              <w:top w:val="dotted" w:sz="2" w:space="0" w:color="auto"/>
              <w:bottom w:val="dotted" w:sz="2" w:space="0" w:color="auto"/>
              <w:right w:val="single" w:sz="4" w:space="0" w:color="auto"/>
            </w:tcBorders>
          </w:tcPr>
          <w:p>
            <w:pPr>
              <w:keepNext/>
              <w:keepLines/>
              <w:spacing w:before="30" w:after="30"/>
              <w:rPr>
                <w:noProof/>
                <w:sz w:val="16"/>
                <w:szCs w:val="16"/>
              </w:rPr>
            </w:pPr>
            <w:r>
              <w:rPr>
                <w:noProof/>
                <w:sz w:val="16"/>
              </w:rPr>
              <w:t>Споразумения за партньорство в областта на устойчивото рибарство (СПОУР) </w:t>
            </w:r>
            <w:r>
              <w:rPr>
                <w:noProof/>
                <w:sz w:val="16"/>
                <w:szCs w:val="16"/>
              </w:rPr>
              <w:sym w:font="Symbol" w:char="F0BE"/>
            </w:r>
            <w:r>
              <w:rPr>
                <w:noProof/>
                <w:sz w:val="16"/>
              </w:rPr>
              <w:t> оперативен ред (11 03 01)</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117,7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112,7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118,4</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113,4</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p>
        </w:tc>
        <w:tc>
          <w:tcPr>
            <w:tcW w:w="283" w:type="dxa"/>
            <w:tcBorders>
              <w:top w:val="dotted" w:sz="2" w:space="0" w:color="auto"/>
              <w:left w:val="nil"/>
              <w:bottom w:val="dotted" w:sz="2" w:space="0" w:color="auto"/>
            </w:tcBorders>
          </w:tcPr>
          <w:p>
            <w:pPr>
              <w:keepNext/>
              <w:keepLines/>
              <w:spacing w:before="30" w:after="30"/>
              <w:rPr>
                <w:noProof/>
                <w:sz w:val="16"/>
                <w:szCs w:val="16"/>
              </w:rPr>
            </w:pPr>
            <w:r>
              <w:rPr>
                <w:noProof/>
                <w:sz w:val="16"/>
              </w:rPr>
              <w:t>—</w:t>
            </w:r>
          </w:p>
        </w:tc>
        <w:tc>
          <w:tcPr>
            <w:tcW w:w="2977" w:type="dxa"/>
            <w:tcBorders>
              <w:top w:val="dotted" w:sz="2" w:space="0" w:color="auto"/>
              <w:bottom w:val="dotted" w:sz="2" w:space="0" w:color="auto"/>
              <w:right w:val="single" w:sz="4" w:space="0" w:color="auto"/>
            </w:tcBorders>
          </w:tcPr>
          <w:p>
            <w:pPr>
              <w:keepNext/>
              <w:keepLines/>
              <w:spacing w:before="30" w:after="30"/>
              <w:rPr>
                <w:noProof/>
                <w:sz w:val="16"/>
                <w:szCs w:val="16"/>
              </w:rPr>
            </w:pPr>
            <w:r>
              <w:rPr>
                <w:noProof/>
                <w:sz w:val="16"/>
              </w:rPr>
              <w:t>Споразумения за партньорство в областта на устойчивото рибарство (СПОУР) </w:t>
            </w:r>
            <w:r>
              <w:rPr>
                <w:noProof/>
                <w:sz w:val="16"/>
                <w:szCs w:val="16"/>
              </w:rPr>
              <w:sym w:font="Symbol" w:char="F0BE"/>
            </w:r>
            <w:r>
              <w:rPr>
                <w:noProof/>
                <w:sz w:val="16"/>
              </w:rPr>
              <w:t> резерв (40 02 41)</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15,5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15,5</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-0,7</w:t>
            </w:r>
          </w:p>
        </w:tc>
        <w:tc>
          <w:tcPr>
            <w:tcW w:w="1063"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14,8</w:t>
            </w:r>
          </w:p>
        </w:tc>
        <w:tc>
          <w:tcPr>
            <w:tcW w:w="1064" w:type="dxa"/>
            <w:tcBorders>
              <w:top w:val="nil"/>
              <w:left w:val="nil"/>
              <w:bottom w:val="dotted" w:sz="2" w:space="0" w:color="auto"/>
              <w:right w:val="single" w:sz="4" w:space="0" w:color="auto"/>
            </w:tcBorders>
          </w:tcPr>
          <w:p>
            <w:pPr>
              <w:keepNext/>
              <w:keepLines/>
              <w:spacing w:before="30" w:after="30"/>
              <w:jc w:val="right"/>
              <w:rPr>
                <w:noProof/>
                <w:sz w:val="16"/>
                <w:szCs w:val="16"/>
              </w:rPr>
            </w:pPr>
            <w:r>
              <w:rPr>
                <w:noProof/>
                <w:sz w:val="16"/>
              </w:rPr>
              <w:t>14,8</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260" w:type="dxa"/>
            <w:gridSpan w:val="2"/>
            <w:tcBorders>
              <w:top w:val="nil"/>
              <w:left w:val="nil"/>
              <w:bottom w:val="dotted" w:sz="2" w:space="0" w:color="auto"/>
              <w:right w:val="single" w:sz="4" w:space="0" w:color="auto"/>
            </w:tcBorders>
          </w:tcPr>
          <w:p>
            <w:pPr>
              <w:spacing w:before="30" w:after="30"/>
              <w:rPr>
                <w:noProof/>
                <w:sz w:val="16"/>
                <w:szCs w:val="16"/>
              </w:rPr>
            </w:pPr>
            <w:r>
              <w:rPr>
                <w:noProof/>
                <w:sz w:val="16"/>
              </w:rPr>
              <w:t>Околна среда и действия по климата (LIFE)</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493,7</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363,7</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493,7</w:t>
            </w:r>
          </w:p>
        </w:tc>
        <w:tc>
          <w:tcPr>
            <w:tcW w:w="1064"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363,7</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260" w:type="dxa"/>
            <w:gridSpan w:val="2"/>
            <w:tcBorders>
              <w:top w:val="nil"/>
              <w:left w:val="nil"/>
              <w:bottom w:val="dotted" w:sz="2" w:space="0" w:color="auto"/>
              <w:right w:val="single" w:sz="4" w:space="0" w:color="auto"/>
            </w:tcBorders>
          </w:tcPr>
          <w:p>
            <w:pPr>
              <w:spacing w:before="30" w:after="30"/>
              <w:rPr>
                <w:noProof/>
                <w:sz w:val="16"/>
                <w:szCs w:val="16"/>
              </w:rPr>
            </w:pPr>
            <w:r>
              <w:rPr>
                <w:noProof/>
                <w:sz w:val="16"/>
              </w:rPr>
              <w:t>Действия, финансирани съгласно прерогативите на Комисията и предоставените ѝ специфични правомощия</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c>
          <w:tcPr>
            <w:tcW w:w="1064"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260" w:type="dxa"/>
            <w:gridSpan w:val="2"/>
            <w:tcBorders>
              <w:top w:val="nil"/>
              <w:left w:val="nil"/>
              <w:bottom w:val="dotted" w:sz="2" w:space="0" w:color="auto"/>
              <w:right w:val="single" w:sz="4" w:space="0" w:color="auto"/>
            </w:tcBorders>
          </w:tcPr>
          <w:p>
            <w:pPr>
              <w:spacing w:before="30" w:after="30"/>
              <w:rPr>
                <w:noProof/>
                <w:sz w:val="16"/>
                <w:szCs w:val="16"/>
              </w:rPr>
            </w:pPr>
            <w:r>
              <w:rPr>
                <w:noProof/>
                <w:sz w:val="16"/>
              </w:rPr>
              <w:t>Пилотни проекти и подготвителни действия</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9,6</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p.m.</w:t>
            </w:r>
          </w:p>
        </w:tc>
        <w:tc>
          <w:tcPr>
            <w:tcW w:w="1064" w:type="dxa"/>
            <w:tcBorders>
              <w:top w:val="nil"/>
              <w:left w:val="nil"/>
              <w:bottom w:val="dotted" w:sz="2" w:space="0" w:color="auto"/>
              <w:right w:val="single" w:sz="4" w:space="0" w:color="auto"/>
            </w:tcBorders>
          </w:tcPr>
          <w:p>
            <w:pPr>
              <w:spacing w:before="30" w:after="30"/>
              <w:jc w:val="right"/>
              <w:rPr>
                <w:noProof/>
                <w:sz w:val="16"/>
                <w:szCs w:val="16"/>
              </w:rPr>
            </w:pPr>
            <w:r>
              <w:rPr>
                <w:noProof/>
                <w:sz w:val="16"/>
              </w:rPr>
              <w:t>9,6</w:t>
            </w:r>
          </w:p>
        </w:tc>
      </w:tr>
      <w:tr>
        <w:tc>
          <w:tcPr>
            <w:tcW w:w="324" w:type="dxa"/>
            <w:tcBorders>
              <w:top w:val="dotted" w:sz="2" w:space="0" w:color="auto"/>
              <w:left w:val="single" w:sz="4" w:space="0" w:color="auto"/>
              <w:bottom w:val="dotted" w:sz="2" w:space="0" w:color="auto"/>
              <w:right w:val="nil"/>
            </w:tcBorders>
          </w:tcPr>
          <w:p>
            <w:pPr>
              <w:spacing w:before="30" w:after="30"/>
              <w:rPr>
                <w:noProof/>
                <w:sz w:val="16"/>
                <w:szCs w:val="16"/>
              </w:rPr>
            </w:pPr>
            <w:r>
              <w:rPr>
                <w:noProof/>
                <w:sz w:val="16"/>
              </w:rPr>
              <w:t>—</w:t>
            </w:r>
          </w:p>
        </w:tc>
        <w:tc>
          <w:tcPr>
            <w:tcW w:w="3260" w:type="dxa"/>
            <w:gridSpan w:val="2"/>
            <w:tcBorders>
              <w:top w:val="dotted" w:sz="2" w:space="0" w:color="auto"/>
              <w:left w:val="nil"/>
              <w:bottom w:val="dotted" w:sz="2" w:space="0" w:color="auto"/>
              <w:right w:val="single" w:sz="4" w:space="0" w:color="auto"/>
            </w:tcBorders>
          </w:tcPr>
          <w:p>
            <w:pPr>
              <w:spacing w:before="30" w:after="30"/>
              <w:rPr>
                <w:noProof/>
                <w:sz w:val="16"/>
                <w:szCs w:val="16"/>
              </w:rPr>
            </w:pPr>
            <w:r>
              <w:rPr>
                <w:noProof/>
                <w:sz w:val="16"/>
              </w:rPr>
              <w:t>Децентрализирани агенции</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54,8</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54,8</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54,8</w:t>
            </w:r>
          </w:p>
        </w:tc>
        <w:tc>
          <w:tcPr>
            <w:tcW w:w="1064" w:type="dxa"/>
            <w:tcBorders>
              <w:top w:val="dotted" w:sz="2" w:space="0" w:color="auto"/>
              <w:left w:val="nil"/>
              <w:bottom w:val="dotted" w:sz="2" w:space="0" w:color="auto"/>
              <w:right w:val="single" w:sz="4" w:space="0" w:color="auto"/>
            </w:tcBorders>
          </w:tcPr>
          <w:p>
            <w:pPr>
              <w:spacing w:before="30" w:after="30"/>
              <w:jc w:val="right"/>
              <w:rPr>
                <w:noProof/>
                <w:sz w:val="16"/>
                <w:szCs w:val="16"/>
              </w:rPr>
            </w:pPr>
            <w:r>
              <w:rPr>
                <w:noProof/>
                <w:sz w:val="16"/>
              </w:rPr>
              <w:t>54,8</w:t>
            </w:r>
          </w:p>
        </w:tc>
      </w:tr>
      <w:tr>
        <w:tc>
          <w:tcPr>
            <w:tcW w:w="324" w:type="dxa"/>
            <w:tcBorders>
              <w:top w:val="dotted" w:sz="2" w:space="0" w:color="auto"/>
              <w:left w:val="single" w:sz="4" w:space="0" w:color="auto"/>
              <w:bottom w:val="single" w:sz="4" w:space="0" w:color="auto"/>
              <w:right w:val="nil"/>
            </w:tcBorders>
          </w:tcPr>
          <w:p>
            <w:pPr>
              <w:spacing w:before="30" w:after="30"/>
              <w:rPr>
                <w:noProof/>
                <w:sz w:val="16"/>
                <w:szCs w:val="16"/>
              </w:rPr>
            </w:pPr>
            <w:r>
              <w:rPr>
                <w:noProof/>
                <w:sz w:val="16"/>
              </w:rPr>
              <w:t>—</w:t>
            </w:r>
          </w:p>
        </w:tc>
        <w:tc>
          <w:tcPr>
            <w:tcW w:w="3260" w:type="dxa"/>
            <w:gridSpan w:val="2"/>
            <w:tcBorders>
              <w:top w:val="dotted" w:sz="2" w:space="0" w:color="auto"/>
              <w:left w:val="nil"/>
              <w:bottom w:val="single" w:sz="4" w:space="0" w:color="auto"/>
              <w:right w:val="single" w:sz="4" w:space="0" w:color="auto"/>
            </w:tcBorders>
          </w:tcPr>
          <w:p>
            <w:pPr>
              <w:spacing w:before="30" w:after="30"/>
              <w:rPr>
                <w:noProof/>
                <w:sz w:val="16"/>
                <w:szCs w:val="16"/>
              </w:rPr>
            </w:pPr>
            <w:r>
              <w:rPr>
                <w:noProof/>
                <w:sz w:val="16"/>
              </w:rPr>
              <w:t>Други разходи по функция 2</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c>
          <w:tcPr>
            <w:tcW w:w="1063"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c>
          <w:tcPr>
            <w:tcW w:w="1064"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0,0</w:t>
            </w: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Общо</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58 901,7</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55 236,2</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-0,0</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-1,0</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58 901,7</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noProof/>
                <w:sz w:val="16"/>
                <w:szCs w:val="16"/>
              </w:rPr>
            </w:pPr>
            <w:r>
              <w:rPr>
                <w:b/>
                <w:noProof/>
                <w:sz w:val="16"/>
              </w:rPr>
              <w:t>55 235,2</w:t>
            </w: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Таван</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60 191,0</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60 191,0</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p>
        </w:tc>
      </w:tr>
      <w:tr>
        <w:tc>
          <w:tcPr>
            <w:tcW w:w="3584" w:type="dxa"/>
            <w:gridSpan w:val="3"/>
            <w:tcBorders>
              <w:top w:val="nil"/>
              <w:left w:val="single" w:sz="4" w:space="0" w:color="auto"/>
              <w:bottom w:val="dotted" w:sz="4" w:space="0" w:color="auto"/>
              <w:right w:val="single" w:sz="4" w:space="0" w:color="auto"/>
            </w:tcBorders>
            <w:shd w:val="clear" w:color="auto" w:fill="D9D9D9"/>
          </w:tcPr>
          <w:p>
            <w:pPr>
              <w:spacing w:before="30" w:after="30"/>
              <w:jc w:val="right"/>
              <w:rPr>
                <w:b/>
                <w:bCs/>
                <w:i/>
                <w:iCs/>
                <w:noProof/>
                <w:sz w:val="16"/>
                <w:szCs w:val="16"/>
              </w:rPr>
            </w:pPr>
            <w:r>
              <w:rPr>
                <w:b/>
                <w:i/>
                <w:noProof/>
                <w:sz w:val="16"/>
              </w:rPr>
              <w:t>От които приспадане от маржа за непредвидени обстоятелства</w:t>
            </w:r>
          </w:p>
        </w:tc>
        <w:tc>
          <w:tcPr>
            <w:tcW w:w="1063"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rPr>
            </w:pPr>
            <w:r>
              <w:rPr>
                <w:b/>
                <w:i/>
                <w:noProof/>
                <w:sz w:val="16"/>
              </w:rPr>
              <w:t>-650,0</w:t>
            </w:r>
          </w:p>
        </w:tc>
        <w:tc>
          <w:tcPr>
            <w:tcW w:w="1063" w:type="dxa"/>
            <w:tcBorders>
              <w:top w:val="nil"/>
              <w:left w:val="nil"/>
              <w:bottom w:val="dotted" w:sz="4"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rPr>
            </w:pPr>
            <w:r>
              <w:rPr>
                <w:b/>
                <w:i/>
                <w:noProof/>
                <w:sz w:val="16"/>
              </w:rPr>
              <w:t>-200,0</w:t>
            </w:r>
          </w:p>
        </w:tc>
        <w:tc>
          <w:tcPr>
            <w:tcW w:w="1063" w:type="dxa"/>
            <w:tcBorders>
              <w:top w:val="nil"/>
              <w:left w:val="nil"/>
              <w:bottom w:val="dotted" w:sz="4"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rPr>
            </w:pPr>
            <w:r>
              <w:rPr>
                <w:b/>
                <w:i/>
                <w:noProof/>
                <w:sz w:val="16"/>
              </w:rPr>
              <w:t>-850,0</w:t>
            </w:r>
          </w:p>
        </w:tc>
        <w:tc>
          <w:tcPr>
            <w:tcW w:w="1064" w:type="dxa"/>
            <w:tcBorders>
              <w:top w:val="nil"/>
              <w:left w:val="nil"/>
              <w:bottom w:val="dotted" w:sz="4" w:space="0" w:color="auto"/>
              <w:right w:val="single" w:sz="4" w:space="0" w:color="auto"/>
            </w:tcBorders>
            <w:shd w:val="clear" w:color="auto" w:fill="D9D9D9"/>
          </w:tcPr>
          <w:p>
            <w:pPr>
              <w:spacing w:before="30" w:after="30"/>
              <w:jc w:val="right"/>
              <w:rPr>
                <w:b/>
                <w:i/>
                <w:noProof/>
                <w:sz w:val="16"/>
                <w:szCs w:val="16"/>
              </w:rPr>
            </w:pPr>
          </w:p>
        </w:tc>
      </w:tr>
      <w:tr>
        <w:tc>
          <w:tcPr>
            <w:tcW w:w="3584" w:type="dxa"/>
            <w:gridSpan w:val="3"/>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Марж</w:t>
            </w: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639,3</w:t>
            </w: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-200</w:t>
            </w: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439,3</w:t>
            </w:r>
          </w:p>
        </w:tc>
        <w:tc>
          <w:tcPr>
            <w:tcW w:w="1064" w:type="dxa"/>
            <w:tcBorders>
              <w:top w:val="dotted" w:sz="4"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p>
        </w:tc>
      </w:tr>
      <w:tr>
        <w:tc>
          <w:tcPr>
            <w:tcW w:w="3584" w:type="dxa"/>
            <w:gridSpan w:val="3"/>
            <w:tcBorders>
              <w:top w:val="single" w:sz="4" w:space="0" w:color="auto"/>
              <w:left w:val="single" w:sz="4" w:space="0" w:color="auto"/>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От които ЕФГЗ</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42 937,6</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42 889,0</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0,0</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-1,0</w:t>
            </w:r>
          </w:p>
        </w:tc>
        <w:tc>
          <w:tcPr>
            <w:tcW w:w="1063"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42 937,6</w:t>
            </w:r>
          </w:p>
        </w:tc>
        <w:tc>
          <w:tcPr>
            <w:tcW w:w="1064" w:type="dxa"/>
            <w:tcBorders>
              <w:top w:val="single" w:sz="4" w:space="0" w:color="auto"/>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42 888,0</w:t>
            </w: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Подтаван за ЕФГЗ (след техническа корекция на МФР за 2014—2020 г.) (1)</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44 146,0</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44 146,0</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p>
        </w:tc>
      </w:tr>
      <w:tr>
        <w:tc>
          <w:tcPr>
            <w:tcW w:w="3584" w:type="dxa"/>
            <w:gridSpan w:val="3"/>
            <w:tcBorders>
              <w:top w:val="nil"/>
              <w:left w:val="single" w:sz="4" w:space="0" w:color="auto"/>
              <w:bottom w:val="dotted" w:sz="2" w:space="0" w:color="auto"/>
              <w:right w:val="single" w:sz="4" w:space="0" w:color="auto"/>
            </w:tcBorders>
            <w:shd w:val="clear" w:color="auto" w:fill="D9D9D9"/>
          </w:tcPr>
          <w:p>
            <w:pPr>
              <w:spacing w:before="30" w:after="30"/>
              <w:jc w:val="right"/>
              <w:rPr>
                <w:b/>
                <w:bCs/>
                <w:i/>
                <w:iCs/>
                <w:noProof/>
                <w:sz w:val="16"/>
                <w:szCs w:val="16"/>
              </w:rPr>
            </w:pPr>
            <w:r>
              <w:rPr>
                <w:b/>
                <w:i/>
                <w:noProof/>
                <w:sz w:val="16"/>
              </w:rPr>
              <w:t>Разликата от закръгляне е изключена от изчислението на маржа</w:t>
            </w: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0,3</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r>
              <w:rPr>
                <w:b/>
                <w:i/>
                <w:noProof/>
                <w:sz w:val="16"/>
              </w:rPr>
              <w:t>0,3</w:t>
            </w:r>
          </w:p>
        </w:tc>
        <w:tc>
          <w:tcPr>
            <w:tcW w:w="1064" w:type="dxa"/>
            <w:tcBorders>
              <w:top w:val="nil"/>
              <w:left w:val="nil"/>
              <w:bottom w:val="dotted" w:sz="2" w:space="0" w:color="auto"/>
              <w:right w:val="single" w:sz="4" w:space="0" w:color="auto"/>
            </w:tcBorders>
            <w:shd w:val="clear" w:color="auto" w:fill="D9D9D9"/>
          </w:tcPr>
          <w:p>
            <w:pPr>
              <w:spacing w:before="30" w:after="30"/>
              <w:jc w:val="right"/>
              <w:rPr>
                <w:b/>
                <w:i/>
                <w:noProof/>
                <w:sz w:val="16"/>
                <w:szCs w:val="16"/>
              </w:rPr>
            </w:pPr>
          </w:p>
        </w:tc>
      </w:tr>
      <w:tr>
        <w:tc>
          <w:tcPr>
            <w:tcW w:w="3584" w:type="dxa"/>
            <w:gridSpan w:val="3"/>
            <w:tcBorders>
              <w:top w:val="dotted" w:sz="2" w:space="0" w:color="auto"/>
              <w:left w:val="single" w:sz="4" w:space="0" w:color="auto"/>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Наличното нетно салдо за разходване по линия на ЕФГЗ (2)</w:t>
            </w: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44 145,7</w:t>
            </w: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44 145,7</w:t>
            </w:r>
          </w:p>
        </w:tc>
        <w:tc>
          <w:tcPr>
            <w:tcW w:w="1064"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p>
        </w:tc>
      </w:tr>
      <w:tr>
        <w:tc>
          <w:tcPr>
            <w:tcW w:w="9963" w:type="dxa"/>
            <w:gridSpan w:val="9"/>
            <w:tcBorders>
              <w:top w:val="single" w:sz="4" w:space="0" w:color="auto"/>
              <w:left w:val="single" w:sz="4" w:space="0" w:color="auto"/>
              <w:bottom w:val="single" w:sz="4" w:space="0" w:color="auto"/>
              <w:right w:val="single" w:sz="4" w:space="0" w:color="auto"/>
            </w:tcBorders>
          </w:tcPr>
          <w:p>
            <w:pPr>
              <w:rPr>
                <w:bCs/>
                <w:iCs/>
                <w:noProof/>
                <w:sz w:val="16"/>
                <w:szCs w:val="16"/>
              </w:rPr>
            </w:pPr>
            <w:r>
              <w:rPr>
                <w:noProof/>
                <w:sz w:val="16"/>
              </w:rPr>
              <w:t>(1) Съответните стойности са закръглени в милиони евро.</w:t>
            </w:r>
          </w:p>
          <w:p>
            <w:pPr>
              <w:rPr>
                <w:bCs/>
                <w:iCs/>
                <w:noProof/>
                <w:sz w:val="16"/>
                <w:szCs w:val="16"/>
              </w:rPr>
            </w:pPr>
            <w:r>
              <w:rPr>
                <w:noProof/>
                <w:sz w:val="16"/>
              </w:rPr>
              <w:t xml:space="preserve">(2) Наличното нетно салдо за разходване по линия на ЕФГЗ, определено в приложението към Регламент за изпълнение (ЕС) № 367/2014 на Комисията, последно изменен с Регламент за изпълнение (ЕС) 2016/257 на Комисията от 24 февруари 2016 г. </w:t>
            </w:r>
          </w:p>
        </w:tc>
      </w:tr>
    </w:tbl>
    <w:p>
      <w:pPr>
        <w:spacing w:before="120" w:after="120"/>
        <w:jc w:val="both"/>
        <w:rPr>
          <w:noProof/>
        </w:rPr>
      </w:pPr>
      <w:bookmarkStart w:id="50" w:name="_Toc431134644"/>
      <w:r>
        <w:rPr>
          <w:noProof/>
        </w:rPr>
        <w:t xml:space="preserve">Поради това общият размер на бюджетните кредити, поискани за функция 2 през 2017 г., се оценява на 58 901,7 млн. евро. Така остава марж от 439,3 млн. евро бюджетни кредити за поети задължения под съответния таван на МФР, след като се вземе предвид сума в размер на 650 млн. евро по маржа за непредвидени обстоятелства за приспадане на част от нуждите по функция 3 </w:t>
      </w:r>
      <w:r>
        <w:rPr>
          <w:i/>
          <w:noProof/>
        </w:rPr>
        <w:t>(Сигурност и гражданство),</w:t>
      </w:r>
      <w:r>
        <w:rPr>
          <w:noProof/>
        </w:rPr>
        <w:t xml:space="preserve"> представени в ПБ за 2017 г., и допълнителна сума в размер на 200 млн. евро за приспадане на част от нуждите по функция 4 </w:t>
      </w:r>
      <w:r>
        <w:rPr>
          <w:i/>
          <w:noProof/>
        </w:rPr>
        <w:t>(Глобална Европа)</w:t>
      </w:r>
      <w:r>
        <w:rPr>
          <w:noProof/>
        </w:rPr>
        <w:t>, представени в настоящото писмо за внасяне на корекции. Бюджетните кредити за плащания в ПВК № 1/2017 са малко по-ниски (- 1,0 млн. евро) в сравнение с ПБ за 2017 г.</w:t>
      </w:r>
    </w:p>
    <w:p>
      <w:pPr>
        <w:pStyle w:val="ManualHeading2"/>
        <w:numPr>
          <w:ilvl w:val="0"/>
          <w:numId w:val="0"/>
        </w:numPr>
        <w:tabs>
          <w:tab w:val="left" w:pos="851"/>
        </w:tabs>
      </w:pPr>
      <w:bookmarkStart w:id="51" w:name="_Toc464138536"/>
      <w:bookmarkStart w:id="52" w:name="_Toc465250556"/>
      <w:bookmarkStart w:id="53" w:name="_Toc432063524"/>
      <w:bookmarkStart w:id="54" w:name="_Toc463264167"/>
      <w:r>
        <w:t xml:space="preserve">2.2 </w:t>
      </w:r>
      <w:r>
        <w:tab/>
        <w:t>Европейски фонд за гарантиране на земеделието (ЕФГЗ)</w:t>
      </w:r>
      <w:bookmarkEnd w:id="51"/>
      <w:bookmarkEnd w:id="52"/>
    </w:p>
    <w:p>
      <w:pPr>
        <w:keepNext/>
        <w:tabs>
          <w:tab w:val="left" w:pos="850"/>
        </w:tabs>
        <w:spacing w:before="120" w:after="120"/>
        <w:jc w:val="both"/>
        <w:outlineLvl w:val="2"/>
        <w:rPr>
          <w:i/>
          <w:noProof/>
        </w:rPr>
      </w:pPr>
      <w:bookmarkStart w:id="55" w:name="_Toc464138537"/>
      <w:bookmarkStart w:id="56" w:name="_Toc465250557"/>
      <w:r>
        <w:rPr>
          <w:i/>
          <w:noProof/>
        </w:rPr>
        <w:t xml:space="preserve">2.2.1 </w:t>
      </w:r>
      <w:r>
        <w:rPr>
          <w:noProof/>
        </w:rPr>
        <w:tab/>
      </w:r>
      <w:r>
        <w:rPr>
          <w:i/>
          <w:noProof/>
        </w:rPr>
        <w:t>Преглед</w:t>
      </w:r>
      <w:bookmarkEnd w:id="55"/>
      <w:bookmarkEnd w:id="56"/>
    </w:p>
    <w:bookmarkEnd w:id="50"/>
    <w:bookmarkEnd w:id="53"/>
    <w:bookmarkEnd w:id="54"/>
    <w:p>
      <w:pPr>
        <w:autoSpaceDE w:val="0"/>
        <w:autoSpaceDN w:val="0"/>
        <w:adjustRightInd w:val="0"/>
        <w:spacing w:before="120" w:after="120"/>
        <w:jc w:val="both"/>
        <w:rPr>
          <w:noProof/>
        </w:rPr>
      </w:pPr>
      <w:r>
        <w:rPr>
          <w:noProof/>
        </w:rPr>
        <w:t>С ПВК № 1/2017 се цели актуализиране на прогнозите за селскостопанските разходи въз основа на най-актуалните икономически данни и законодателна рамка. Към края на месец септември 2016 г. Комисията разполага с първите данни за нивото на производството за 2016 г. и за перспективите пред селскостопанските пазари, които са основата за актуализираните прогнози за бюджетните нужди за 2017 г. Освен че се отчитат пазарните фактори, в настоящото ПВК № 1/2017 е включено също така отражението на законодателните решения в селскостопанския сектор, приети след изготвянето на ПБ за 2017 г. през месец юни 2016 г. Това се отнася по-специално до редица делегирани актове и актове за изпълнение на Комисията относно допълнителни временни мерки за подпомагане за секторите на животновъдството, чийто основен бенефициер е секторът на млякото и млечните продукти.</w:t>
      </w:r>
    </w:p>
    <w:p>
      <w:pPr>
        <w:autoSpaceDE w:val="0"/>
        <w:autoSpaceDN w:val="0"/>
        <w:adjustRightInd w:val="0"/>
        <w:spacing w:before="120" w:after="120"/>
        <w:jc w:val="both"/>
        <w:rPr>
          <w:noProof/>
        </w:rPr>
      </w:pPr>
      <w:r>
        <w:rPr>
          <w:noProof/>
        </w:rPr>
        <w:t xml:space="preserve">Като цяло </w:t>
      </w:r>
      <w:r>
        <w:rPr>
          <w:b/>
          <w:noProof/>
        </w:rPr>
        <w:t>нуждите за ЕФГЗ за</w:t>
      </w:r>
      <w:r>
        <w:rPr>
          <w:noProof/>
        </w:rPr>
        <w:t xml:space="preserve"> </w:t>
      </w:r>
      <w:r>
        <w:rPr>
          <w:b/>
          <w:noProof/>
        </w:rPr>
        <w:t xml:space="preserve">2017 г. </w:t>
      </w:r>
      <w:r>
        <w:rPr>
          <w:noProof/>
        </w:rPr>
        <w:t>(след като бъдат взети предвид разпоредбите на ЕФГЗ по отношение на „финансовата дисциплина“)</w:t>
      </w:r>
      <w:r>
        <w:rPr>
          <w:b/>
          <w:noProof/>
        </w:rPr>
        <w:t xml:space="preserve"> </w:t>
      </w:r>
      <w:r>
        <w:rPr>
          <w:noProof/>
        </w:rPr>
        <w:t xml:space="preserve">понастоящем се определят на 45 344,6 млн. евро спрямо 44 817,6 млн. евро в ПБ за 2017 г. (+ 527,0 млн. евро). Това увеличение се дължи най-вече на допълнителните временни мерки за подпомагане за секторите на животновъдството, които са предвидени в глава 05 02 </w:t>
      </w:r>
      <w:r>
        <w:rPr>
          <w:i/>
          <w:noProof/>
        </w:rPr>
        <w:t>(Повишаване на конкурентоспособността на селскостопанския сектор чрез интервенции на селскостопанските пазари)</w:t>
      </w:r>
      <w:r>
        <w:rPr>
          <w:noProof/>
        </w:rPr>
        <w:t>, на обща стойност около 500 млн. евро. Освен това има някои малки промени в основните пазарни мерки и в разходите по глави 05 07 </w:t>
      </w:r>
      <w:r>
        <w:rPr>
          <w:i/>
          <w:noProof/>
        </w:rPr>
        <w:t>(Одит на разходите за земеделие, финансирани от Европейския фонд за гарантиране на земеделието (ЕФГЗ))</w:t>
      </w:r>
      <w:r>
        <w:rPr>
          <w:noProof/>
        </w:rPr>
        <w:t xml:space="preserve"> и 05 08 </w:t>
      </w:r>
      <w:r>
        <w:rPr>
          <w:i/>
          <w:noProof/>
        </w:rPr>
        <w:t>(Политическа стратегия и координиране)</w:t>
      </w:r>
      <w:r>
        <w:rPr>
          <w:noProof/>
        </w:rPr>
        <w:t xml:space="preserve">, които също са включени в ПВК № 1/2017. Нуждите по глава 05 03 </w:t>
      </w:r>
      <w:r>
        <w:rPr>
          <w:i/>
          <w:noProof/>
        </w:rPr>
        <w:t xml:space="preserve">(Директни плащания, предназначени за подпомагане на доходите на земеделските стопанства и ограничаване на тяхната променливост, както и за изпълнение на целите, свързани с околната среда и климата) </w:t>
      </w:r>
      <w:r>
        <w:rPr>
          <w:noProof/>
        </w:rPr>
        <w:t>остават почти непроменени спрямо ПБ за 2017 г.</w:t>
      </w:r>
    </w:p>
    <w:p>
      <w:pPr>
        <w:spacing w:before="120" w:after="120"/>
        <w:jc w:val="both"/>
        <w:rPr>
          <w:noProof/>
        </w:rPr>
      </w:pPr>
      <w:r>
        <w:rPr>
          <w:noProof/>
        </w:rPr>
        <w:t xml:space="preserve">По отношение на </w:t>
      </w:r>
      <w:r>
        <w:rPr>
          <w:b/>
          <w:noProof/>
        </w:rPr>
        <w:t>целевите приходи</w:t>
      </w:r>
      <w:r>
        <w:rPr>
          <w:noProof/>
        </w:rPr>
        <w:t xml:space="preserve"> сумата, която се очаква да бъде налична през 2017 г., нараства от 1 880 млн. евро в ПБ за 2017 г. на 2 407 млн. евро (+ 527 млн. евро), с което напълно се компенсират допълнителните нужди. Актуализирането на прогнозите за сумите от решенията за уравняване на сметки и от нередности е незначително по размер и не променя общата сума, допусната в ПБ за 2017 г. (1 430 млн. евро). Освен това в ПВК № 1/2017 се съдържа очаквано пренасяне на целеви приходи от 2016 г. към 2017 г. (977 млн. евро), от които сума в размер на 450 млн. евро вече е включена в ПБ за 2017 г., а това съответства на очаквания излишък на ЕФГЗ от 2016 г. Тази година обаче е много по-трудно да се предвиди окончателният размер на въпросния излишък, тъй като все още предстои държавите членки да декларират големи суми на разходите за септември и октомври 2016 г., което отразява забавянията в прилагането на новите схеми за директни плащания през първата година на прилагане. Прогнозният излишък не включва неусвоените бюджетни кредити за резерва за кризи в селскостопанския сектор за 2016 г. (441,6 млн. евро), който няма да бъде използван, тъй като въпросните неусвоени бюджетни кредити ще бъдат пренесени за възстановявания на средства на земеделски стопани, които са обект на механизма за финансова дисциплина през 2017 г.</w:t>
      </w:r>
    </w:p>
    <w:p>
      <w:pPr>
        <w:autoSpaceDE w:val="0"/>
        <w:autoSpaceDN w:val="0"/>
        <w:adjustRightInd w:val="0"/>
        <w:spacing w:before="120" w:after="120"/>
        <w:jc w:val="both"/>
        <w:rPr>
          <w:noProof/>
        </w:rPr>
      </w:pPr>
      <w:r>
        <w:rPr>
          <w:noProof/>
        </w:rPr>
        <w:t xml:space="preserve">В резултат на тези актуализации, за да бъдат покрити нуждите по ЕФГЗ за 2017 г. са необходими бюджетни кредити за поети задължения в размер на 42 937,6 млн. евро, в това число 450,5 млн. евро за </w:t>
      </w:r>
      <w:r>
        <w:rPr>
          <w:i/>
          <w:noProof/>
        </w:rPr>
        <w:t>Резерва за кризи в селскостопанския сектор</w:t>
      </w:r>
      <w:r>
        <w:rPr>
          <w:noProof/>
        </w:rPr>
        <w:t>. Както при ПБ за 2017 г. тази обща сума е под нетния подтаван за ЕФГЗ от 44 145,7 млн. евро. Това означава, че механизмът за финансова дисциплина ще се прилага само за да се установи резервът за кризи в селскостопанския сектор за бюджетната 2017 г.</w:t>
      </w:r>
      <w:r>
        <w:rPr>
          <w:noProof/>
          <w:vertAlign w:val="superscript"/>
        </w:rPr>
        <w:footnoteReference w:id="8"/>
      </w:r>
    </w:p>
    <w:p>
      <w:pPr>
        <w:keepNext/>
        <w:tabs>
          <w:tab w:val="left" w:pos="850"/>
        </w:tabs>
        <w:spacing w:before="120" w:after="120"/>
        <w:jc w:val="both"/>
        <w:outlineLvl w:val="2"/>
        <w:rPr>
          <w:i/>
          <w:noProof/>
        </w:rPr>
      </w:pPr>
      <w:bookmarkStart w:id="57" w:name="_Toc464138538"/>
      <w:bookmarkStart w:id="58" w:name="_Toc465250558"/>
      <w:r>
        <w:rPr>
          <w:i/>
          <w:noProof/>
        </w:rPr>
        <w:t xml:space="preserve">2.2.2 </w:t>
      </w:r>
      <w:r>
        <w:rPr>
          <w:noProof/>
        </w:rPr>
        <w:tab/>
      </w:r>
      <w:r>
        <w:rPr>
          <w:i/>
          <w:noProof/>
        </w:rPr>
        <w:t>Подробни бележки</w:t>
      </w:r>
      <w:bookmarkEnd w:id="57"/>
      <w:bookmarkEnd w:id="58"/>
    </w:p>
    <w:p>
      <w:pPr>
        <w:keepNext/>
        <w:spacing w:before="120" w:after="120"/>
        <w:jc w:val="both"/>
        <w:rPr>
          <w:b/>
          <w:i/>
          <w:noProof/>
        </w:rPr>
      </w:pPr>
      <w:r>
        <w:rPr>
          <w:b/>
          <w:noProof/>
        </w:rPr>
        <w:t>05 02 </w:t>
      </w:r>
      <w:r>
        <w:rPr>
          <w:b/>
          <w:noProof/>
        </w:rPr>
        <w:sym w:font="Symbol" w:char="F0BE"/>
      </w:r>
      <w:r>
        <w:rPr>
          <w:b/>
          <w:noProof/>
        </w:rPr>
        <w:t xml:space="preserve"> Повишаване на конкурентоспособността на селскостопанския сектор чрез интервенции на селскостопанските пазари </w:t>
      </w:r>
      <w:r>
        <w:rPr>
          <w:b/>
          <w:i/>
          <w:noProof/>
        </w:rPr>
        <w:t>(бюджетни кредити + 514,4 млн. евро)</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rPr>
            </w:pPr>
            <w:r>
              <w:rPr>
                <w:i/>
                <w:noProof/>
                <w:sz w:val="16"/>
              </w:rPr>
              <w:t>(в млн. евро, закръглени стойности по текущи цени)</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Интервенции на селскостопанските пазари</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Проектобюджет за 2017 г.</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Писмо за внасяне на корекции</w:t>
            </w:r>
            <w:r>
              <w:rPr>
                <w:b/>
                <w:noProof/>
                <w:sz w:val="16"/>
                <w:szCs w:val="16"/>
              </w:rPr>
              <w:br/>
            </w:r>
            <w:r>
              <w:rPr>
                <w:b/>
                <w:noProof/>
                <w:sz w:val="16"/>
              </w:rPr>
              <w:t xml:space="preserve"> № 1/2017</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 xml:space="preserve">Проектобюджет за 2017 г. </w:t>
            </w:r>
            <w:r>
              <w:rPr>
                <w:b/>
                <w:noProof/>
                <w:sz w:val="16"/>
                <w:szCs w:val="16"/>
              </w:rPr>
              <w:br/>
            </w:r>
            <w:r>
              <w:rPr>
                <w:b/>
                <w:noProof/>
                <w:sz w:val="16"/>
              </w:rPr>
              <w:t>(вкл. ПВК № 1/2017)</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Нужди</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2 692,4</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+514,4</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3 206,8</w:t>
            </w:r>
          </w:p>
        </w:tc>
      </w:tr>
      <w:tr>
        <w:trPr>
          <w:trHeight w:val="220"/>
        </w:trPr>
        <w:tc>
          <w:tcPr>
            <w:tcW w:w="4009"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rPr>
                <w:noProof/>
                <w:sz w:val="16"/>
                <w:szCs w:val="16"/>
              </w:rPr>
            </w:pPr>
            <w:r>
              <w:rPr>
                <w:noProof/>
                <w:sz w:val="16"/>
              </w:rPr>
              <w:t>-Прогнозни целеви приходи, налични през 2017 г.</w:t>
            </w:r>
          </w:p>
        </w:tc>
        <w:tc>
          <w:tcPr>
            <w:tcW w:w="209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rPr>
              <w:t>400,0</w:t>
            </w:r>
          </w:p>
        </w:tc>
        <w:tc>
          <w:tcPr>
            <w:tcW w:w="1725"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rPr>
            </w:pPr>
            <w:r>
              <w:rPr>
                <w:noProof/>
                <w:sz w:val="16"/>
              </w:rPr>
              <w:t>+0,0</w:t>
            </w:r>
          </w:p>
        </w:tc>
        <w:tc>
          <w:tcPr>
            <w:tcW w:w="2124"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rPr>
            </w:pPr>
            <w:r>
              <w:rPr>
                <w:noProof/>
                <w:sz w:val="16"/>
              </w:rPr>
              <w:t>400,0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rPr>
              <w:t>Поискани бюджетни кредити</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2 292,4</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+514,4</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2 806,8</w:t>
            </w:r>
          </w:p>
        </w:tc>
      </w:tr>
    </w:tbl>
    <w:p>
      <w:pPr>
        <w:spacing w:before="120" w:after="120"/>
        <w:jc w:val="both"/>
        <w:rPr>
          <w:noProof/>
        </w:rPr>
      </w:pPr>
      <w:r>
        <w:rPr>
          <w:noProof/>
        </w:rPr>
        <w:t>Като цяло нуждите за интервенционни мерки на селскостопанските пазари нарастват с 514,4 млн. евро в сравнение с ПБ за 2017 г. Тъй като целевите приходи, които се очаква да бъдат налични за глава 05 02 (в размер на 400,0 млн. евро), остават непроменени спрямо ПБ за 2017 г., поисканите бюджетни кредити в ПВК № 1/2017 се увеличават със същата сума.</w:t>
      </w:r>
    </w:p>
    <w:p>
      <w:pPr>
        <w:spacing w:before="120" w:after="120"/>
        <w:jc w:val="both"/>
        <w:rPr>
          <w:noProof/>
        </w:rPr>
      </w:pPr>
      <w:r>
        <w:rPr>
          <w:noProof/>
        </w:rPr>
        <w:t xml:space="preserve">За </w:t>
      </w:r>
      <w:r>
        <w:rPr>
          <w:b/>
          <w:noProof/>
        </w:rPr>
        <w:t>плодовете и зеленчуците</w:t>
      </w:r>
      <w:r>
        <w:rPr>
          <w:noProof/>
        </w:rPr>
        <w:t xml:space="preserve">, освен преместването на бюджетни кредити между две бюджетни позиции (54 млн. евро от 05 02 08 03 в 05 02 08 99), е налице малко увеличение за бюджетна позиция 05 02 08 03 </w:t>
      </w:r>
      <w:r>
        <w:rPr>
          <w:i/>
          <w:noProof/>
        </w:rPr>
        <w:t>(Оперативни средства за организациите на производителите)</w:t>
      </w:r>
      <w:r>
        <w:rPr>
          <w:noProof/>
        </w:rPr>
        <w:t xml:space="preserve"> (+ 18 млн. евро). </w:t>
      </w:r>
    </w:p>
    <w:p>
      <w:pPr>
        <w:spacing w:before="120" w:after="120"/>
        <w:jc w:val="both"/>
        <w:rPr>
          <w:noProof/>
        </w:rPr>
      </w:pPr>
      <w:r>
        <w:rPr>
          <w:noProof/>
        </w:rPr>
        <w:t xml:space="preserve">Предлага се бюджетните кредити за </w:t>
      </w:r>
      <w:r>
        <w:rPr>
          <w:b/>
          <w:noProof/>
        </w:rPr>
        <w:t>винарския сектор</w:t>
      </w:r>
      <w:r>
        <w:rPr>
          <w:noProof/>
        </w:rPr>
        <w:t xml:space="preserve"> по бюджетна позиция 05 02 09 08 за финансиране на националните програми за подпомагане да бъдат намалени с 6 млн. евро, което отразява най-новите данни за изпълнението. </w:t>
      </w:r>
    </w:p>
    <w:p>
      <w:pPr>
        <w:spacing w:before="120" w:after="120"/>
        <w:jc w:val="both"/>
        <w:rPr>
          <w:noProof/>
        </w:rPr>
      </w:pPr>
      <w:r>
        <w:rPr>
          <w:noProof/>
        </w:rPr>
        <w:t xml:space="preserve">Най-голямата промяна, която се предлага в ПВК № 1/2017 за пазарните мерки, се отнася до </w:t>
      </w:r>
      <w:r>
        <w:rPr>
          <w:b/>
          <w:noProof/>
        </w:rPr>
        <w:t>млякото и млечните продукти</w:t>
      </w:r>
      <w:r>
        <w:rPr>
          <w:noProof/>
        </w:rPr>
        <w:t xml:space="preserve"> (статия 05 02 12) с увеличение от 501,4 млн. евро. Най-голямата сума (+ 500 млн. евро) е за предоставянето на допълнително извънредно подпомагане под формата на целева помощ за временно намаляване на производството на мляко</w:t>
      </w:r>
      <w:r>
        <w:rPr>
          <w:noProof/>
          <w:vertAlign w:val="superscript"/>
        </w:rPr>
        <w:footnoteReference w:id="9"/>
      </w:r>
      <w:r>
        <w:rPr>
          <w:noProof/>
        </w:rPr>
        <w:t xml:space="preserve"> (150 млн. евро) и за извънредна помощ за приспособяване за млекопроизводителите и земеделските стопани в други сектори на животновъдството</w:t>
      </w:r>
      <w:r>
        <w:rPr>
          <w:noProof/>
          <w:vertAlign w:val="superscript"/>
        </w:rPr>
        <w:footnoteReference w:id="10"/>
      </w:r>
      <w:r>
        <w:rPr>
          <w:noProof/>
        </w:rPr>
        <w:t xml:space="preserve"> (350 млн. евро), във връзка с което държавите членки ще разполагат със значителна гъвкавост да насочват подпомагането към най-сериозно засегнатите земеделски стопани. </w:t>
      </w:r>
    </w:p>
    <w:p>
      <w:pPr>
        <w:keepNext/>
        <w:keepLines/>
        <w:spacing w:before="120" w:after="120"/>
        <w:jc w:val="both"/>
        <w:rPr>
          <w:b/>
          <w:i/>
          <w:noProof/>
        </w:rPr>
      </w:pPr>
      <w:r>
        <w:rPr>
          <w:b/>
          <w:noProof/>
        </w:rPr>
        <w:t>05 03 </w:t>
      </w:r>
      <w:r>
        <w:rPr>
          <w:b/>
          <w:noProof/>
        </w:rPr>
        <w:sym w:font="Symbol" w:char="F0BE"/>
      </w:r>
      <w:r>
        <w:rPr>
          <w:b/>
          <w:i/>
          <w:noProof/>
        </w:rPr>
        <w:t xml:space="preserve"> </w:t>
      </w:r>
      <w:r>
        <w:rPr>
          <w:b/>
          <w:noProof/>
        </w:rPr>
        <w:t xml:space="preserve">Директни плащания, предназначени за подпомагане на доходите на земеделските стопанства и ограничаване на тяхната променливост, както и за изпълнение на целите, свързани с околната среда и климата </w:t>
      </w:r>
      <w:r>
        <w:rPr>
          <w:b/>
          <w:i/>
          <w:noProof/>
        </w:rPr>
        <w:t>(бюджетни кредити - 527,9 млн. евро)</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rPr>
            </w:pPr>
            <w:r>
              <w:rPr>
                <w:i/>
                <w:noProof/>
                <w:sz w:val="16"/>
              </w:rPr>
              <w:t>(в млн. евро, закръглени стойности по текущи цени)</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Директни плащания</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Проектобюджет за 2017 г.</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Писмо за внасяне на корекции</w:t>
            </w:r>
            <w:r>
              <w:rPr>
                <w:b/>
                <w:noProof/>
                <w:sz w:val="16"/>
                <w:szCs w:val="16"/>
              </w:rPr>
              <w:br/>
            </w:r>
            <w:r>
              <w:rPr>
                <w:b/>
                <w:noProof/>
                <w:sz w:val="16"/>
              </w:rPr>
              <w:t xml:space="preserve"> № 1/2017</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 xml:space="preserve">Проектобюджет за 2017 г. </w:t>
            </w:r>
            <w:r>
              <w:rPr>
                <w:b/>
                <w:noProof/>
                <w:sz w:val="16"/>
                <w:szCs w:val="16"/>
              </w:rPr>
              <w:br/>
            </w:r>
            <w:r>
              <w:rPr>
                <w:b/>
                <w:noProof/>
                <w:sz w:val="16"/>
              </w:rPr>
              <w:t>(вкл. ПВК № 1/2017)</w:t>
            </w:r>
          </w:p>
        </w:tc>
      </w:tr>
      <w:tr>
        <w:trPr>
          <w:trHeight w:val="164"/>
        </w:trPr>
        <w:tc>
          <w:tcPr>
            <w:tcW w:w="99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rPr>
                <w:b/>
                <w:noProof/>
                <w:sz w:val="16"/>
                <w:szCs w:val="16"/>
              </w:rPr>
            </w:pPr>
            <w:r>
              <w:rPr>
                <w:b/>
                <w:i/>
                <w:noProof/>
                <w:sz w:val="16"/>
              </w:rPr>
              <w:t>След прилагането на механизма за финансова дисциплина (вкл. кредитите за резерва за кризи в селскостопанския сектор)</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Нужди</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41 994,6</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-0,9</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41 993,7</w:t>
            </w:r>
          </w:p>
        </w:tc>
      </w:tr>
      <w:tr>
        <w:trPr>
          <w:trHeight w:val="220"/>
        </w:trPr>
        <w:tc>
          <w:tcPr>
            <w:tcW w:w="4009"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-Прогнозни целеви приходи, налични през 2017 г.</w:t>
            </w:r>
          </w:p>
        </w:tc>
        <w:tc>
          <w:tcPr>
            <w:tcW w:w="2092"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1 480,0</w:t>
            </w:r>
          </w:p>
        </w:tc>
        <w:tc>
          <w:tcPr>
            <w:tcW w:w="1725"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+527,0</w:t>
            </w:r>
          </w:p>
        </w:tc>
        <w:tc>
          <w:tcPr>
            <w:tcW w:w="2124"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2 007,0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rPr>
              <w:t>Поискани бюджетни кредити</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40 514,6</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-527,9</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39 986,7</w:t>
            </w:r>
          </w:p>
        </w:tc>
      </w:tr>
    </w:tbl>
    <w:p>
      <w:pPr>
        <w:autoSpaceDE w:val="0"/>
        <w:autoSpaceDN w:val="0"/>
        <w:adjustRightInd w:val="0"/>
        <w:spacing w:before="120" w:after="120"/>
        <w:jc w:val="both"/>
        <w:rPr>
          <w:noProof/>
        </w:rPr>
      </w:pPr>
      <w:r>
        <w:rPr>
          <w:noProof/>
        </w:rPr>
        <w:t xml:space="preserve">В сравнение с ПБ за 2017 г. бюджетните кредити, поискани за глава 05 03, се намаляват с 527,9 млн. евро. Тази промяна се дължи най-вече на по-високата сума на приходите (+ 527,0 млн. евро), предназначени за ред 05 03 01 10 </w:t>
      </w:r>
      <w:r>
        <w:rPr>
          <w:i/>
          <w:noProof/>
        </w:rPr>
        <w:t>(Схема за основно плащане (СОП))</w:t>
      </w:r>
      <w:r>
        <w:rPr>
          <w:noProof/>
        </w:rPr>
        <w:t xml:space="preserve">, за която прогнозираните нужди остават непроменени спрямо ПБ за 2017 г. Като цяло, въз основа на най-актуалните данни за изпълнението, се предлага само малка промяна на нуждите (- 0,9 млн. евро) за директни плащания. Към момента на приемането на проектобюджета за 2017 г. обаче, информацията за изпълнението по </w:t>
      </w:r>
      <w:r>
        <w:rPr>
          <w:i/>
          <w:noProof/>
        </w:rPr>
        <w:t>Схемата за дребни земеделски стопани</w:t>
      </w:r>
      <w:r>
        <w:rPr>
          <w:noProof/>
        </w:rPr>
        <w:t xml:space="preserve"> не беше налична и съответните суми бяха включени в различни редове. Сега, след като държавите членки предоставиха тази информация, се предлага необходимите бюджетни кредити да бъдат прехвърлени към бюджетна позиция 05 03 02 61. Увеличението в размер на 1 347,0 млн. евро по тази бюджетна позиция е напълно компенсирано със съответните намаления за няколко други схеми за директни плащания, по-специално за редове 05 03 01 02, 05 03 01 10 и 05 03 01 11, за да може това преместване да е неутрално за всички съответни схеми за директни плащания.</w:t>
      </w:r>
    </w:p>
    <w:p>
      <w:pPr>
        <w:keepNext/>
        <w:keepLines/>
        <w:tabs>
          <w:tab w:val="right" w:pos="5640"/>
        </w:tabs>
        <w:spacing w:before="120" w:after="120"/>
        <w:jc w:val="both"/>
        <w:rPr>
          <w:b/>
          <w:i/>
          <w:noProof/>
        </w:rPr>
      </w:pPr>
      <w:r>
        <w:rPr>
          <w:b/>
          <w:noProof/>
        </w:rPr>
        <w:t xml:space="preserve">Други селскостопански разходи, финансирани от Европейския фонд за гарантиране на земеделието (ЕФГЗ) </w:t>
      </w:r>
      <w:r>
        <w:rPr>
          <w:b/>
          <w:i/>
          <w:noProof/>
        </w:rPr>
        <w:t>(бюджетни кредити + 13,5 млн. евро)</w:t>
      </w:r>
    </w:p>
    <w:p>
      <w:pPr>
        <w:spacing w:before="120" w:after="120"/>
        <w:jc w:val="both"/>
        <w:rPr>
          <w:noProof/>
        </w:rPr>
      </w:pPr>
      <w:r>
        <w:rPr>
          <w:noProof/>
        </w:rPr>
        <w:t>Бюджетните кредити за бюджетна позиция 05 07 01 07 (</w:t>
      </w:r>
      <w:r>
        <w:rPr>
          <w:i/>
          <w:noProof/>
        </w:rPr>
        <w:t xml:space="preserve">Финансови корекции в полза на държавите членки вследствие на решения за уравняване по съответствие) </w:t>
      </w:r>
      <w:r>
        <w:rPr>
          <w:noProof/>
        </w:rPr>
        <w:t xml:space="preserve">трябва да бъдат увеличени с 25,0 млн. евро, което отразява предстоящото решение на Комисията за коригиране на размера на финансовите корекции, извършени през предходните години. Бюджетните кредити за статия 05 07 02 </w:t>
      </w:r>
      <w:r>
        <w:rPr>
          <w:i/>
          <w:noProof/>
        </w:rPr>
        <w:t>(Разрешаване на спорове)</w:t>
      </w:r>
      <w:r>
        <w:rPr>
          <w:noProof/>
        </w:rPr>
        <w:t xml:space="preserve"> може да бъдат намалени с 21 млн. евро, тъй като част от плащанията, очаквани през 2017 г. във връзка с т.нар. дело „Jülich“ на Съда относно налозите върху производството на захар</w:t>
      </w:r>
      <w:r>
        <w:rPr>
          <w:noProof/>
          <w:vertAlign w:val="superscript"/>
        </w:rPr>
        <w:footnoteReference w:id="11"/>
      </w:r>
      <w:r>
        <w:rPr>
          <w:noProof/>
        </w:rPr>
        <w:t xml:space="preserve">, ще бъдат извършени по-рано — през 2016 г. Накрая, актуализираните бюджетни прогнози са причината за увеличаването на бюджетните кредити за поети задължения (+ 9,5 млн. евро) и бюджетните кредити за плащания (+ 8,5 млн. евро) за статии 05 08 01 </w:t>
      </w:r>
      <w:r>
        <w:rPr>
          <w:i/>
          <w:noProof/>
        </w:rPr>
        <w:t>(Система за земеделска счетоводна информация (СЗСИ))</w:t>
      </w:r>
      <w:r>
        <w:rPr>
          <w:noProof/>
        </w:rPr>
        <w:t xml:space="preserve">, 05 08 03 </w:t>
      </w:r>
      <w:r>
        <w:rPr>
          <w:i/>
          <w:noProof/>
        </w:rPr>
        <w:t>(Преструктуриране на системите за земеделски проучвания)</w:t>
      </w:r>
      <w:r>
        <w:rPr>
          <w:noProof/>
        </w:rPr>
        <w:t xml:space="preserve"> и 05 08 09 </w:t>
      </w:r>
      <w:r>
        <w:rPr>
          <w:i/>
          <w:noProof/>
        </w:rPr>
        <w:t>(ЕФГЗ — оперативна техническа помощ)</w:t>
      </w:r>
      <w:r>
        <w:rPr>
          <w:noProof/>
          <w:vertAlign w:val="superscript"/>
        </w:rPr>
        <w:footnoteReference w:id="12"/>
      </w:r>
      <w:r>
        <w:rPr>
          <w:noProof/>
        </w:rPr>
        <w:t>.</w:t>
      </w:r>
    </w:p>
    <w:p>
      <w:pPr>
        <w:pStyle w:val="ManualHeading2"/>
        <w:numPr>
          <w:ilvl w:val="0"/>
          <w:numId w:val="0"/>
        </w:numPr>
        <w:tabs>
          <w:tab w:val="left" w:pos="851"/>
        </w:tabs>
      </w:pPr>
      <w:bookmarkStart w:id="59" w:name="_Toc464138539"/>
      <w:bookmarkStart w:id="60" w:name="_Toc465250559"/>
      <w:r>
        <w:t xml:space="preserve">2.3 </w:t>
      </w:r>
      <w:r>
        <w:tab/>
        <w:t>Споразумения за партньорство в областта на устойчивото рибарство</w:t>
      </w:r>
      <w:bookmarkEnd w:id="59"/>
      <w:bookmarkEnd w:id="60"/>
    </w:p>
    <w:p>
      <w:pPr>
        <w:spacing w:before="120" w:after="120"/>
        <w:jc w:val="both"/>
        <w:rPr>
          <w:noProof/>
        </w:rPr>
      </w:pPr>
      <w:bookmarkStart w:id="61" w:name="_Toc431134646"/>
      <w:bookmarkStart w:id="62" w:name="_Toc431134648"/>
      <w:bookmarkEnd w:id="61"/>
      <w:bookmarkEnd w:id="62"/>
      <w:r>
        <w:rPr>
          <w:noProof/>
        </w:rPr>
        <w:t>Както е предвидено в буква В на част II от Междуинституционалното споразумение (МС)</w:t>
      </w:r>
      <w:r>
        <w:rPr>
          <w:noProof/>
          <w:vertAlign w:val="superscript"/>
        </w:rPr>
        <w:footnoteReference w:id="13"/>
      </w:r>
      <w:r>
        <w:rPr>
          <w:noProof/>
        </w:rPr>
        <w:t xml:space="preserve">, Комисията е направила преглед на най-актуалната налична информация по отношение на споразуменията за партньорство в областта на устойчивото рибарство (СПОУР). Тъй като споразумението с островите Кук и свързания Протокол се очаква да влязат в сила преди края на 2016 г., Комисията предлага да се прехвърлят 0,735 млн. евро бюджетни кредити за поети задължения и за плащания от статията за резерв 40 02 41 към статия 11 03 01 </w:t>
      </w:r>
      <w:r>
        <w:rPr>
          <w:i/>
          <w:noProof/>
        </w:rPr>
        <w:t>(Установяване на рамка за управление на риболовните дейности, извършвани от риболовните кораби на Съюза във водите на трети държави).</w:t>
      </w:r>
      <w:r>
        <w:rPr>
          <w:noProof/>
        </w:rPr>
        <w:t xml:space="preserve"> Предложената промяна е неутрална за бюджета.</w:t>
      </w:r>
    </w:p>
    <w:tbl>
      <w:tblPr>
        <w:tblW w:w="9447" w:type="dxa"/>
        <w:jc w:val="center"/>
        <w:tblLayout w:type="fixed"/>
        <w:tblCellMar>
          <w:left w:w="40" w:type="dxa"/>
          <w:right w:w="40" w:type="dxa"/>
        </w:tblCellMar>
        <w:tblLook w:val="0000" w:firstRow="0" w:lastRow="0" w:firstColumn="0" w:lastColumn="0" w:noHBand="0" w:noVBand="0"/>
      </w:tblPr>
      <w:tblGrid>
        <w:gridCol w:w="3144"/>
        <w:gridCol w:w="1050"/>
        <w:gridCol w:w="1051"/>
        <w:gridCol w:w="1050"/>
        <w:gridCol w:w="1051"/>
        <w:gridCol w:w="1050"/>
        <w:gridCol w:w="1051"/>
      </w:tblGrid>
      <w:tr>
        <w:trPr>
          <w:trHeight w:val="164"/>
          <w:tblHeader/>
          <w:jc w:val="center"/>
        </w:trPr>
        <w:tc>
          <w:tcPr>
            <w:tcW w:w="9447" w:type="dxa"/>
            <w:gridSpan w:val="7"/>
            <w:tcBorders>
              <w:bottom w:val="single" w:sz="4" w:space="0" w:color="auto"/>
            </w:tcBorders>
            <w:shd w:val="clear" w:color="auto" w:fill="FFFFFF"/>
            <w:vAlign w:val="center"/>
          </w:tcPr>
          <w:p>
            <w:pPr>
              <w:jc w:val="right"/>
              <w:rPr>
                <w:noProof/>
                <w:sz w:val="16"/>
                <w:szCs w:val="16"/>
              </w:rPr>
            </w:pPr>
            <w:r>
              <w:rPr>
                <w:i/>
                <w:noProof/>
                <w:sz w:val="16"/>
              </w:rPr>
              <w:t>(в млн. евро, закръглени стойности по текущи цени)</w:t>
            </w:r>
          </w:p>
        </w:tc>
      </w:tr>
      <w:tr>
        <w:trPr>
          <w:trHeight w:val="164"/>
          <w:tblHeader/>
          <w:jc w:val="center"/>
        </w:trPr>
        <w:tc>
          <w:tcPr>
            <w:tcW w:w="3144" w:type="dxa"/>
            <w:vMerge w:val="restart"/>
            <w:tcBorders>
              <w:top w:val="single" w:sz="4" w:space="0" w:color="auto"/>
              <w:left w:val="single" w:sz="4" w:space="0" w:color="auto"/>
              <w:right w:val="single" w:sz="4" w:space="0" w:color="auto"/>
            </w:tcBorders>
            <w:shd w:val="clear" w:color="auto" w:fill="E0E0E0"/>
          </w:tcPr>
          <w:p>
            <w:pPr>
              <w:spacing w:before="30" w:after="30"/>
              <w:jc w:val="center"/>
              <w:rPr>
                <w:b/>
                <w:noProof/>
                <w:sz w:val="16"/>
                <w:szCs w:val="16"/>
              </w:rPr>
            </w:pPr>
          </w:p>
          <w:p>
            <w:pPr>
              <w:spacing w:before="30" w:after="30"/>
              <w:jc w:val="center"/>
              <w:rPr>
                <w:b/>
                <w:noProof/>
                <w:sz w:val="16"/>
                <w:szCs w:val="16"/>
              </w:rPr>
            </w:pPr>
            <w:r>
              <w:rPr>
                <w:b/>
                <w:noProof/>
                <w:sz w:val="16"/>
              </w:rPr>
              <w:t>Споразумения за партньорство в областта на устойчивото рибарство</w:t>
            </w:r>
          </w:p>
        </w:tc>
        <w:tc>
          <w:tcPr>
            <w:tcW w:w="21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Проектобюджет за 2017 г.</w:t>
            </w:r>
          </w:p>
        </w:tc>
        <w:tc>
          <w:tcPr>
            <w:tcW w:w="2101" w:type="dxa"/>
            <w:gridSpan w:val="2"/>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Писмо за внасяне на корекции</w:t>
            </w:r>
            <w:r>
              <w:rPr>
                <w:b/>
                <w:noProof/>
                <w:sz w:val="16"/>
                <w:szCs w:val="16"/>
              </w:rPr>
              <w:br/>
            </w:r>
            <w:r>
              <w:rPr>
                <w:b/>
                <w:noProof/>
                <w:sz w:val="16"/>
              </w:rPr>
              <w:t xml:space="preserve"> № 1/2017</w:t>
            </w:r>
          </w:p>
        </w:tc>
        <w:tc>
          <w:tcPr>
            <w:tcW w:w="2101" w:type="dxa"/>
            <w:gridSpan w:val="2"/>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 xml:space="preserve">Проектобюджет за 2017 г. </w:t>
            </w:r>
            <w:r>
              <w:rPr>
                <w:b/>
                <w:noProof/>
                <w:sz w:val="16"/>
                <w:szCs w:val="16"/>
              </w:rPr>
              <w:br/>
            </w:r>
            <w:r>
              <w:rPr>
                <w:b/>
                <w:noProof/>
                <w:sz w:val="16"/>
              </w:rPr>
              <w:t>(вкл. ПВК № 1/2017)</w:t>
            </w:r>
          </w:p>
        </w:tc>
      </w:tr>
      <w:tr>
        <w:trPr>
          <w:trHeight w:val="164"/>
          <w:tblHeader/>
          <w:jc w:val="center"/>
        </w:trPr>
        <w:tc>
          <w:tcPr>
            <w:tcW w:w="3144" w:type="dxa"/>
            <w:vMerge/>
            <w:tcBorders>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rPr>
            </w:pPr>
          </w:p>
        </w:tc>
        <w:tc>
          <w:tcPr>
            <w:tcW w:w="1050" w:type="dxa"/>
            <w:tcBorders>
              <w:top w:val="single" w:sz="4" w:space="0" w:color="auto"/>
              <w:left w:val="single" w:sz="4" w:space="0" w:color="auto"/>
              <w:bottom w:val="single" w:sz="4" w:space="0" w:color="auto"/>
              <w:right w:val="single" w:sz="4" w:space="0" w:color="auto"/>
            </w:tcBorders>
            <w:shd w:val="clear" w:color="auto" w:fill="E0E0E0"/>
          </w:tcPr>
          <w:p>
            <w:pPr>
              <w:spacing w:before="30" w:after="30"/>
              <w:jc w:val="center"/>
              <w:rPr>
                <w:noProof/>
                <w:sz w:val="16"/>
                <w:szCs w:val="16"/>
              </w:rPr>
            </w:pPr>
            <w:r>
              <w:rPr>
                <w:b/>
                <w:noProof/>
                <w:sz w:val="16"/>
              </w:rPr>
              <w:t>Поети задължения</w:t>
            </w:r>
          </w:p>
        </w:tc>
        <w:tc>
          <w:tcPr>
            <w:tcW w:w="1051" w:type="dxa"/>
            <w:tcBorders>
              <w:top w:val="single" w:sz="4" w:space="0" w:color="auto"/>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Плащания</w:t>
            </w:r>
          </w:p>
        </w:tc>
        <w:tc>
          <w:tcPr>
            <w:tcW w:w="1050" w:type="dxa"/>
            <w:tcBorders>
              <w:top w:val="single" w:sz="4" w:space="0" w:color="auto"/>
              <w:left w:val="nil"/>
              <w:bottom w:val="single" w:sz="4" w:space="0" w:color="auto"/>
              <w:right w:val="single" w:sz="4" w:space="0" w:color="auto"/>
            </w:tcBorders>
            <w:shd w:val="clear" w:color="auto" w:fill="E0E0E0"/>
          </w:tcPr>
          <w:p>
            <w:pPr>
              <w:spacing w:before="30" w:after="30"/>
              <w:jc w:val="center"/>
              <w:rPr>
                <w:noProof/>
                <w:sz w:val="16"/>
                <w:szCs w:val="16"/>
              </w:rPr>
            </w:pPr>
            <w:r>
              <w:rPr>
                <w:b/>
                <w:noProof/>
                <w:sz w:val="16"/>
              </w:rPr>
              <w:t>Поети задължения</w:t>
            </w:r>
          </w:p>
        </w:tc>
        <w:tc>
          <w:tcPr>
            <w:tcW w:w="1051" w:type="dxa"/>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Плащания</w:t>
            </w:r>
          </w:p>
        </w:tc>
        <w:tc>
          <w:tcPr>
            <w:tcW w:w="1050" w:type="dxa"/>
            <w:tcBorders>
              <w:top w:val="single" w:sz="4" w:space="0" w:color="auto"/>
              <w:left w:val="nil"/>
              <w:bottom w:val="single" w:sz="4" w:space="0" w:color="auto"/>
              <w:right w:val="single" w:sz="4" w:space="0" w:color="auto"/>
            </w:tcBorders>
            <w:shd w:val="clear" w:color="auto" w:fill="E0E0E0"/>
          </w:tcPr>
          <w:p>
            <w:pPr>
              <w:spacing w:before="30" w:after="30"/>
              <w:jc w:val="center"/>
              <w:rPr>
                <w:noProof/>
                <w:sz w:val="16"/>
                <w:szCs w:val="16"/>
              </w:rPr>
            </w:pPr>
            <w:r>
              <w:rPr>
                <w:b/>
                <w:noProof/>
                <w:sz w:val="16"/>
              </w:rPr>
              <w:t>Поети задължения</w:t>
            </w:r>
          </w:p>
        </w:tc>
        <w:tc>
          <w:tcPr>
            <w:tcW w:w="1051" w:type="dxa"/>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Плащания</w:t>
            </w:r>
          </w:p>
        </w:tc>
      </w:tr>
      <w:tr>
        <w:trPr>
          <w:trHeight w:val="220"/>
          <w:jc w:val="center"/>
        </w:trPr>
        <w:tc>
          <w:tcPr>
            <w:tcW w:w="3144" w:type="dxa"/>
            <w:tcBorders>
              <w:top w:val="single" w:sz="4" w:space="0" w:color="auto"/>
              <w:left w:val="single" w:sz="4" w:space="0" w:color="auto"/>
              <w:bottom w:val="dotted" w:sz="2" w:space="0" w:color="auto"/>
              <w:right w:val="single" w:sz="4" w:space="0" w:color="auto"/>
            </w:tcBorders>
            <w:vAlign w:val="center"/>
          </w:tcPr>
          <w:p>
            <w:pPr>
              <w:spacing w:before="30" w:after="30"/>
              <w:jc w:val="both"/>
              <w:rPr>
                <w:noProof/>
                <w:sz w:val="16"/>
                <w:szCs w:val="16"/>
              </w:rPr>
            </w:pPr>
            <w:r>
              <w:rPr>
                <w:noProof/>
                <w:sz w:val="16"/>
              </w:rPr>
              <w:t>Оперативен ред (11 03 01)</w:t>
            </w:r>
          </w:p>
        </w:tc>
        <w:tc>
          <w:tcPr>
            <w:tcW w:w="1050" w:type="dxa"/>
            <w:tcBorders>
              <w:top w:val="single" w:sz="4" w:space="0" w:color="auto"/>
              <w:left w:val="single" w:sz="4" w:space="0" w:color="auto"/>
              <w:bottom w:val="dotted" w:sz="2" w:space="0" w:color="auto"/>
              <w:right w:val="single" w:sz="4" w:space="0" w:color="auto"/>
            </w:tcBorders>
          </w:tcPr>
          <w:p>
            <w:pPr>
              <w:spacing w:before="30" w:after="30"/>
              <w:jc w:val="right"/>
              <w:rPr>
                <w:noProof/>
                <w:sz w:val="16"/>
                <w:szCs w:val="16"/>
              </w:rPr>
            </w:pPr>
            <w:r>
              <w:rPr>
                <w:noProof/>
                <w:sz w:val="16"/>
              </w:rPr>
              <w:t>117,7</w:t>
            </w:r>
          </w:p>
        </w:tc>
        <w:tc>
          <w:tcPr>
            <w:tcW w:w="1051" w:type="dxa"/>
            <w:tcBorders>
              <w:top w:val="single" w:sz="4" w:space="0" w:color="auto"/>
              <w:left w:val="single" w:sz="4" w:space="0" w:color="auto"/>
              <w:bottom w:val="dotted" w:sz="2" w:space="0" w:color="auto"/>
              <w:right w:val="single" w:sz="4" w:space="0" w:color="auto"/>
            </w:tcBorders>
          </w:tcPr>
          <w:p>
            <w:pPr>
              <w:spacing w:before="30" w:after="30"/>
              <w:jc w:val="right"/>
              <w:rPr>
                <w:noProof/>
                <w:sz w:val="16"/>
                <w:szCs w:val="16"/>
              </w:rPr>
            </w:pPr>
            <w:r>
              <w:rPr>
                <w:noProof/>
                <w:sz w:val="16"/>
              </w:rPr>
              <w:t>112,7</w:t>
            </w:r>
          </w:p>
        </w:tc>
        <w:tc>
          <w:tcPr>
            <w:tcW w:w="1050"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+0,735</w:t>
            </w:r>
          </w:p>
        </w:tc>
        <w:tc>
          <w:tcPr>
            <w:tcW w:w="1051"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+0,735</w:t>
            </w:r>
          </w:p>
        </w:tc>
        <w:tc>
          <w:tcPr>
            <w:tcW w:w="1050"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118,4</w:t>
            </w:r>
          </w:p>
        </w:tc>
        <w:tc>
          <w:tcPr>
            <w:tcW w:w="1051"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113,4</w:t>
            </w:r>
          </w:p>
        </w:tc>
      </w:tr>
      <w:tr>
        <w:trPr>
          <w:trHeight w:val="220"/>
          <w:jc w:val="center"/>
        </w:trPr>
        <w:tc>
          <w:tcPr>
            <w:tcW w:w="3144" w:type="dxa"/>
            <w:tcBorders>
              <w:top w:val="dotted" w:sz="2" w:space="0" w:color="auto"/>
              <w:left w:val="single" w:sz="4" w:space="0" w:color="auto"/>
              <w:bottom w:val="single" w:sz="4" w:space="0" w:color="auto"/>
              <w:right w:val="single" w:sz="4" w:space="0" w:color="auto"/>
            </w:tcBorders>
            <w:vAlign w:val="center"/>
          </w:tcPr>
          <w:p>
            <w:pPr>
              <w:spacing w:before="30" w:after="30"/>
              <w:jc w:val="both"/>
              <w:rPr>
                <w:noProof/>
                <w:sz w:val="16"/>
                <w:szCs w:val="16"/>
              </w:rPr>
            </w:pPr>
            <w:r>
              <w:rPr>
                <w:noProof/>
                <w:sz w:val="16"/>
              </w:rPr>
              <w:t>Резерв (40 02 41)</w:t>
            </w:r>
          </w:p>
        </w:tc>
        <w:tc>
          <w:tcPr>
            <w:tcW w:w="1050" w:type="dxa"/>
            <w:tcBorders>
              <w:top w:val="dotted" w:sz="2" w:space="0" w:color="auto"/>
              <w:left w:val="single" w:sz="4" w:space="0" w:color="auto"/>
              <w:bottom w:val="single" w:sz="4" w:space="0" w:color="auto"/>
              <w:right w:val="single" w:sz="4" w:space="0" w:color="auto"/>
            </w:tcBorders>
          </w:tcPr>
          <w:p>
            <w:pPr>
              <w:spacing w:before="30" w:after="30"/>
              <w:jc w:val="right"/>
              <w:rPr>
                <w:noProof/>
                <w:sz w:val="16"/>
                <w:szCs w:val="16"/>
              </w:rPr>
            </w:pPr>
            <w:r>
              <w:rPr>
                <w:noProof/>
                <w:sz w:val="16"/>
              </w:rPr>
              <w:t>15,5</w:t>
            </w:r>
          </w:p>
        </w:tc>
        <w:tc>
          <w:tcPr>
            <w:tcW w:w="1051" w:type="dxa"/>
            <w:tcBorders>
              <w:top w:val="dotted" w:sz="2" w:space="0" w:color="auto"/>
              <w:left w:val="single" w:sz="4" w:space="0" w:color="auto"/>
              <w:bottom w:val="single" w:sz="4" w:space="0" w:color="auto"/>
              <w:right w:val="single" w:sz="4" w:space="0" w:color="auto"/>
            </w:tcBorders>
          </w:tcPr>
          <w:p>
            <w:pPr>
              <w:spacing w:before="30" w:after="30"/>
              <w:jc w:val="right"/>
              <w:rPr>
                <w:noProof/>
                <w:sz w:val="16"/>
                <w:szCs w:val="16"/>
              </w:rPr>
            </w:pPr>
            <w:r>
              <w:rPr>
                <w:noProof/>
                <w:sz w:val="16"/>
              </w:rPr>
              <w:t>15,5</w:t>
            </w:r>
          </w:p>
        </w:tc>
        <w:tc>
          <w:tcPr>
            <w:tcW w:w="1050" w:type="dxa"/>
            <w:tcBorders>
              <w:top w:val="dotted" w:sz="2" w:space="0" w:color="auto"/>
              <w:left w:val="nil"/>
              <w:bottom w:val="single" w:sz="4" w:space="0" w:color="auto"/>
              <w:right w:val="single" w:sz="4" w:space="0" w:color="auto"/>
            </w:tcBorders>
            <w:vAlign w:val="center"/>
          </w:tcPr>
          <w:p>
            <w:pPr>
              <w:spacing w:before="30" w:after="30"/>
              <w:jc w:val="right"/>
              <w:rPr>
                <w:noProof/>
                <w:sz w:val="16"/>
                <w:szCs w:val="16"/>
              </w:rPr>
            </w:pPr>
            <w:r>
              <w:rPr>
                <w:noProof/>
                <w:sz w:val="16"/>
              </w:rPr>
              <w:t>-0,735</w:t>
            </w:r>
          </w:p>
        </w:tc>
        <w:tc>
          <w:tcPr>
            <w:tcW w:w="1051" w:type="dxa"/>
            <w:tcBorders>
              <w:top w:val="dotted" w:sz="2" w:space="0" w:color="auto"/>
              <w:left w:val="nil"/>
              <w:bottom w:val="single" w:sz="4" w:space="0" w:color="auto"/>
              <w:right w:val="single" w:sz="4" w:space="0" w:color="auto"/>
            </w:tcBorders>
            <w:vAlign w:val="center"/>
          </w:tcPr>
          <w:p>
            <w:pPr>
              <w:spacing w:before="30" w:after="30"/>
              <w:jc w:val="right"/>
              <w:rPr>
                <w:noProof/>
                <w:sz w:val="16"/>
                <w:szCs w:val="16"/>
              </w:rPr>
            </w:pPr>
            <w:r>
              <w:rPr>
                <w:noProof/>
                <w:sz w:val="16"/>
              </w:rPr>
              <w:t>-0,735</w:t>
            </w:r>
          </w:p>
        </w:tc>
        <w:tc>
          <w:tcPr>
            <w:tcW w:w="1050"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14,8</w:t>
            </w:r>
          </w:p>
        </w:tc>
        <w:tc>
          <w:tcPr>
            <w:tcW w:w="1051"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14,8</w:t>
            </w:r>
          </w:p>
        </w:tc>
      </w:tr>
      <w:tr>
        <w:trPr>
          <w:trHeight w:val="220"/>
          <w:jc w:val="center"/>
        </w:trPr>
        <w:tc>
          <w:tcPr>
            <w:tcW w:w="3144"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Общо</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133,2</w:t>
            </w:r>
          </w:p>
        </w:tc>
        <w:tc>
          <w:tcPr>
            <w:tcW w:w="1051"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128,2</w:t>
            </w:r>
          </w:p>
        </w:tc>
        <w:tc>
          <w:tcPr>
            <w:tcW w:w="1050"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0,0</w:t>
            </w:r>
          </w:p>
        </w:tc>
        <w:tc>
          <w:tcPr>
            <w:tcW w:w="1051"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0,0</w:t>
            </w:r>
          </w:p>
        </w:tc>
        <w:tc>
          <w:tcPr>
            <w:tcW w:w="1050"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133,2</w:t>
            </w:r>
          </w:p>
        </w:tc>
        <w:tc>
          <w:tcPr>
            <w:tcW w:w="1051"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128,2</w:t>
            </w:r>
          </w:p>
        </w:tc>
      </w:tr>
    </w:tbl>
    <w:p>
      <w:pPr>
        <w:pStyle w:val="ManualHeading1"/>
        <w:spacing w:before="240"/>
        <w:ind w:left="0" w:firstLine="0"/>
        <w:rPr>
          <w:noProof/>
        </w:rPr>
      </w:pPr>
      <w:bookmarkStart w:id="63" w:name="_Toc464028333"/>
      <w:bookmarkStart w:id="64" w:name="_Toc464138540"/>
      <w:bookmarkStart w:id="65" w:name="_Toc465250560"/>
      <w:bookmarkEnd w:id="63"/>
      <w:r>
        <w:rPr>
          <w:noProof/>
        </w:rPr>
        <w:t>3.</w:t>
      </w:r>
      <w:r>
        <w:rPr>
          <w:noProof/>
        </w:rPr>
        <w:tab/>
        <w:t>Растеж и работни места: укрепване на успешните програми и инструменти</w:t>
      </w:r>
      <w:bookmarkEnd w:id="64"/>
      <w:bookmarkEnd w:id="65"/>
    </w:p>
    <w:p>
      <w:pPr>
        <w:spacing w:before="120" w:after="120"/>
        <w:jc w:val="both"/>
        <w:rPr>
          <w:noProof/>
          <w:szCs w:val="20"/>
        </w:rPr>
      </w:pPr>
      <w:r>
        <w:rPr>
          <w:noProof/>
        </w:rPr>
        <w:t xml:space="preserve">На 14 септември 2016 г. Комисията представи на Европейския парламент и на Съвета своите предложения за </w:t>
      </w:r>
      <w:r>
        <w:rPr>
          <w:i/>
          <w:noProof/>
        </w:rPr>
        <w:t>Междинен преглед/междинно преразглеждане на многогодишната финансова рамка за периода 2014—2020 г.: Бюджет на ЕС, ориентиран към резултатите</w:t>
      </w:r>
      <w:r>
        <w:rPr>
          <w:noProof/>
          <w:vertAlign w:val="superscript"/>
        </w:rPr>
        <w:footnoteReference w:id="14"/>
      </w:r>
      <w:r>
        <w:rPr>
          <w:i/>
          <w:noProof/>
        </w:rPr>
        <w:t>.</w:t>
      </w:r>
      <w:r>
        <w:rPr>
          <w:noProof/>
        </w:rPr>
        <w:t xml:space="preserve"> Междинният преглед/междинното преразглеждане е придружен/о от редица секторни предложения, в това число нов Пакет за далекосъобщенията, в който е представена европейската визия по отношение на интернет свързаността на гражданите и предприятията, т.нар. предложение WiFi4EU</w:t>
      </w:r>
      <w:r>
        <w:rPr>
          <w:noProof/>
          <w:vertAlign w:val="superscript"/>
        </w:rPr>
        <w:footnoteReference w:id="15"/>
      </w:r>
      <w:r>
        <w:rPr>
          <w:noProof/>
        </w:rPr>
        <w:t>.</w:t>
      </w:r>
    </w:p>
    <w:p>
      <w:pPr>
        <w:spacing w:before="120" w:after="120"/>
        <w:jc w:val="both"/>
        <w:rPr>
          <w:noProof/>
        </w:rPr>
      </w:pPr>
      <w:r>
        <w:rPr>
          <w:noProof/>
        </w:rPr>
        <w:t xml:space="preserve">Едно от заключенията от прегледа/преразглеждането е, че за разлика от предходния период в МФР за периода 2014—2020 г. разходите в значителна степен са пренасочени към дейности, които способстват за създаването на работни места и растеж. Наблюдава се голям интерес към редица програми, финансирани по функция 1а </w:t>
      </w:r>
      <w:r>
        <w:rPr>
          <w:i/>
          <w:noProof/>
        </w:rPr>
        <w:t>(Конкурентоспособност за растеж и заетост),</w:t>
      </w:r>
      <w:r>
        <w:rPr>
          <w:noProof/>
        </w:rPr>
        <w:t xml:space="preserve"> което води до ефективното им усвояване и бърз подбор на проекти: по тази причина се предлага първоначално разпределените им суми да се допълнят за останалия период на МФР. Комисията предлага, считано от 2017 г., постепенно да се въведе допълнително финансиране за „Хоризонт 2020“, COSME (Програма за конкурентоспособност на предприятията и малките и средните предприятия), Механизма за свързване на Европа (МСЕ — транспорт) и „Еразъм+“, заедно с новото законодателно предложение WiFi4EU. </w:t>
      </w:r>
    </w:p>
    <w:p>
      <w:pPr>
        <w:spacing w:before="120" w:after="120"/>
        <w:jc w:val="both"/>
        <w:rPr>
          <w:b/>
          <w:noProof/>
          <w:szCs w:val="20"/>
        </w:rPr>
      </w:pPr>
      <w:r>
        <w:rPr>
          <w:noProof/>
        </w:rPr>
        <w:t xml:space="preserve">В таблицата по-долу за информация е дадено предложеното ориентировъчно финансово програмиране по бюджетни позиции. Предвидените увеличения през 2018 г., 2019 г. и 2020 г. ще зависят от резултата на годишната бюджетна процедура. Тези увеличения са в рамките на гъвкавостта в интервал от 10 %, предвидена в </w:t>
      </w:r>
      <w:r>
        <w:rPr>
          <w:b/>
          <w:noProof/>
        </w:rPr>
        <w:t>точка 17 от МИС.</w:t>
      </w:r>
    </w:p>
    <w:p>
      <w:pPr>
        <w:spacing w:before="120" w:after="120"/>
        <w:jc w:val="both"/>
        <w:rPr>
          <w:noProof/>
          <w:szCs w:val="20"/>
        </w:rPr>
      </w:pPr>
    </w:p>
    <w:tbl>
      <w:tblPr>
        <w:tblpPr w:leftFromText="180" w:rightFromText="180" w:vertAnchor="page" w:horzAnchor="margin" w:tblpY="67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673"/>
        <w:gridCol w:w="807"/>
        <w:gridCol w:w="807"/>
        <w:gridCol w:w="807"/>
        <w:gridCol w:w="807"/>
        <w:gridCol w:w="768"/>
      </w:tblGrid>
      <w:tr>
        <w:tc>
          <w:tcPr>
            <w:tcW w:w="5000" w:type="pct"/>
            <w:gridSpan w:val="7"/>
            <w:tcBorders>
              <w:top w:val="nil"/>
              <w:left w:val="nil"/>
              <w:bottom w:val="single" w:sz="4" w:space="0" w:color="auto"/>
              <w:right w:val="nil"/>
            </w:tcBorders>
            <w:shd w:val="clear" w:color="auto" w:fill="auto"/>
            <w:vAlign w:val="center"/>
          </w:tcPr>
          <w:p>
            <w:pPr>
              <w:widowControl w:val="0"/>
              <w:spacing w:before="15" w:after="15"/>
              <w:jc w:val="right"/>
              <w:rPr>
                <w:b/>
                <w:noProof/>
                <w:sz w:val="20"/>
                <w:szCs w:val="20"/>
              </w:rPr>
            </w:pPr>
            <w:r>
              <w:rPr>
                <w:i/>
                <w:noProof/>
                <w:sz w:val="16"/>
              </w:rPr>
              <w:t>(в млн. евро, закръглени стойности по текущи цени)</w:t>
            </w:r>
          </w:p>
        </w:tc>
      </w:tr>
      <w:tr>
        <w:tc>
          <w:tcPr>
            <w:tcW w:w="701" w:type="pct"/>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Бюджетен ред</w:t>
            </w:r>
          </w:p>
        </w:tc>
        <w:tc>
          <w:tcPr>
            <w:tcW w:w="2318" w:type="pct"/>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Наименование</w:t>
            </w:r>
          </w:p>
        </w:tc>
        <w:tc>
          <w:tcPr>
            <w:tcW w:w="400" w:type="pct"/>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center"/>
              <w:rPr>
                <w:b/>
                <w:noProof/>
                <w:sz w:val="20"/>
                <w:szCs w:val="20"/>
              </w:rPr>
            </w:pPr>
            <w:r>
              <w:rPr>
                <w:b/>
                <w:noProof/>
                <w:sz w:val="20"/>
              </w:rPr>
              <w:t>2017 г.</w:t>
            </w:r>
          </w:p>
        </w:tc>
        <w:tc>
          <w:tcPr>
            <w:tcW w:w="400" w:type="pct"/>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center"/>
              <w:rPr>
                <w:b/>
                <w:noProof/>
                <w:sz w:val="20"/>
                <w:szCs w:val="20"/>
              </w:rPr>
            </w:pPr>
            <w:r>
              <w:rPr>
                <w:b/>
                <w:noProof/>
                <w:sz w:val="20"/>
              </w:rPr>
              <w:t>2018 г.</w:t>
            </w:r>
          </w:p>
        </w:tc>
        <w:tc>
          <w:tcPr>
            <w:tcW w:w="400" w:type="pct"/>
            <w:tcBorders>
              <w:top w:val="single" w:sz="4" w:space="0" w:color="auto"/>
              <w:left w:val="single" w:sz="4" w:space="0" w:color="auto"/>
              <w:bottom w:val="single" w:sz="4" w:space="0" w:color="auto"/>
              <w:right w:val="single" w:sz="4" w:space="0" w:color="auto"/>
            </w:tcBorders>
            <w:shd w:val="clear" w:color="auto" w:fill="D9D9D9"/>
            <w:hideMark/>
          </w:tcPr>
          <w:p>
            <w:pPr>
              <w:widowControl w:val="0"/>
              <w:spacing w:before="15" w:after="15"/>
              <w:jc w:val="center"/>
              <w:rPr>
                <w:b/>
                <w:noProof/>
                <w:sz w:val="20"/>
                <w:szCs w:val="20"/>
              </w:rPr>
            </w:pPr>
            <w:r>
              <w:rPr>
                <w:b/>
                <w:noProof/>
                <w:sz w:val="20"/>
              </w:rPr>
              <w:t>2019 г.</w:t>
            </w:r>
          </w:p>
        </w:tc>
        <w:tc>
          <w:tcPr>
            <w:tcW w:w="400" w:type="pct"/>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center"/>
              <w:rPr>
                <w:b/>
                <w:noProof/>
                <w:sz w:val="20"/>
                <w:szCs w:val="20"/>
              </w:rPr>
            </w:pPr>
            <w:r>
              <w:rPr>
                <w:b/>
                <w:noProof/>
                <w:sz w:val="20"/>
              </w:rPr>
              <w:t>2020 г.</w:t>
            </w:r>
          </w:p>
        </w:tc>
        <w:tc>
          <w:tcPr>
            <w:tcW w:w="380" w:type="pct"/>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Общо</w:t>
            </w:r>
          </w:p>
        </w:tc>
      </w:tr>
      <w:tr>
        <w:tc>
          <w:tcPr>
            <w:tcW w:w="701" w:type="pct"/>
            <w:tcBorders>
              <w:top w:val="single" w:sz="4" w:space="0" w:color="auto"/>
              <w:left w:val="single" w:sz="4" w:space="0" w:color="auto"/>
              <w:bottom w:val="single" w:sz="4" w:space="0" w:color="auto"/>
              <w:right w:val="nil"/>
            </w:tcBorders>
          </w:tcPr>
          <w:p>
            <w:pPr>
              <w:widowControl w:val="0"/>
              <w:spacing w:before="15" w:after="15"/>
              <w:ind w:right="-113"/>
              <w:rPr>
                <w:b/>
                <w:noProof/>
                <w:sz w:val="20"/>
                <w:szCs w:val="20"/>
              </w:rPr>
            </w:pPr>
            <w:r>
              <w:rPr>
                <w:b/>
                <w:noProof/>
                <w:sz w:val="20"/>
              </w:rPr>
              <w:t>COSME</w:t>
            </w:r>
          </w:p>
        </w:tc>
        <w:tc>
          <w:tcPr>
            <w:tcW w:w="2318" w:type="pct"/>
            <w:tcBorders>
              <w:top w:val="single" w:sz="4" w:space="0" w:color="auto"/>
              <w:left w:val="nil"/>
              <w:bottom w:val="single" w:sz="4" w:space="0" w:color="auto"/>
              <w:right w:val="nil"/>
            </w:tcBorders>
          </w:tcPr>
          <w:p>
            <w:pPr>
              <w:widowControl w:val="0"/>
              <w:tabs>
                <w:tab w:val="left" w:pos="1350"/>
              </w:tabs>
              <w:spacing w:before="15" w:after="15"/>
              <w:jc w:val="both"/>
              <w:rPr>
                <w:b/>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80"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rPr>
            </w:pPr>
          </w:p>
        </w:tc>
      </w:tr>
      <w:tr>
        <w:tc>
          <w:tcPr>
            <w:tcW w:w="701"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rPr>
            </w:pPr>
            <w:r>
              <w:rPr>
                <w:noProof/>
                <w:sz w:val="20"/>
              </w:rPr>
              <w:t>02 02 02</w:t>
            </w:r>
            <w:r>
              <w:rPr>
                <w:noProof/>
              </w:rPr>
              <w:tab/>
            </w:r>
          </w:p>
        </w:tc>
        <w:tc>
          <w:tcPr>
            <w:tcW w:w="2318"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Подобряване на достъпа до финансиране на малките и средните предприятия (МСП) под формата на капиталови и дългови инструменти.</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80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20</w:t>
            </w:r>
          </w:p>
        </w:tc>
        <w:tc>
          <w:tcPr>
            <w:tcW w:w="38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200</w:t>
            </w:r>
          </w:p>
        </w:tc>
      </w:tr>
      <w:tr>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ind w:right="-113"/>
              <w:rPr>
                <w:noProof/>
                <w:sz w:val="20"/>
                <w:szCs w:val="20"/>
              </w:rPr>
            </w:pPr>
          </w:p>
        </w:tc>
        <w:tc>
          <w:tcPr>
            <w:tcW w:w="2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rPr>
              <w:t>Общо за COSME</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50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80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50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20</w:t>
            </w: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200</w:t>
            </w:r>
          </w:p>
        </w:tc>
      </w:tr>
      <w:tr>
        <w:tc>
          <w:tcPr>
            <w:tcW w:w="3019" w:type="pct"/>
            <w:gridSpan w:val="2"/>
            <w:tcBorders>
              <w:top w:val="single" w:sz="4" w:space="0" w:color="auto"/>
              <w:left w:val="single" w:sz="4" w:space="0" w:color="auto"/>
              <w:bottom w:val="single" w:sz="4" w:space="0" w:color="auto"/>
              <w:right w:val="nil"/>
            </w:tcBorders>
          </w:tcPr>
          <w:p>
            <w:pPr>
              <w:widowControl w:val="0"/>
              <w:tabs>
                <w:tab w:val="left" w:pos="1350"/>
              </w:tabs>
              <w:spacing w:before="15" w:after="15"/>
              <w:jc w:val="both"/>
              <w:rPr>
                <w:b/>
                <w:noProof/>
                <w:sz w:val="20"/>
                <w:szCs w:val="20"/>
              </w:rPr>
            </w:pPr>
            <w:r>
              <w:rPr>
                <w:b/>
                <w:noProof/>
                <w:sz w:val="20"/>
              </w:rPr>
              <w:t>МСЕ — транспорт</w:t>
            </w: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80"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rPr>
            </w:pPr>
          </w:p>
        </w:tc>
      </w:tr>
      <w:tr>
        <w:tc>
          <w:tcPr>
            <w:tcW w:w="701"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rPr>
            </w:pPr>
            <w:r>
              <w:rPr>
                <w:noProof/>
                <w:sz w:val="20"/>
              </w:rPr>
              <w:t>06 02 01 01</w:t>
            </w:r>
          </w:p>
        </w:tc>
        <w:tc>
          <w:tcPr>
            <w:tcW w:w="2318"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Премахване на пречките, повишаване на оперативната съвместимост на железопътната система, изграждане на липсващите връзки и подобряване на трансграничните участъци.</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20</w:t>
            </w:r>
          </w:p>
        </w:tc>
        <w:tc>
          <w:tcPr>
            <w:tcW w:w="38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100</w:t>
            </w:r>
          </w:p>
        </w:tc>
      </w:tr>
      <w:tr>
        <w:tc>
          <w:tcPr>
            <w:tcW w:w="701"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rPr>
            </w:pPr>
            <w:r>
              <w:rPr>
                <w:noProof/>
                <w:sz w:val="20"/>
              </w:rPr>
              <w:t>06 02 01 02</w:t>
            </w:r>
          </w:p>
        </w:tc>
        <w:tc>
          <w:tcPr>
            <w:tcW w:w="2318"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Осигуряване на устойчив и ефикасен транспорт в дългосрочен план</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20</w:t>
            </w:r>
          </w:p>
        </w:tc>
        <w:tc>
          <w:tcPr>
            <w:tcW w:w="38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100</w:t>
            </w:r>
          </w:p>
        </w:tc>
      </w:tr>
      <w:tr>
        <w:tc>
          <w:tcPr>
            <w:tcW w:w="701"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rPr>
            </w:pPr>
            <w:r>
              <w:rPr>
                <w:noProof/>
                <w:sz w:val="20"/>
              </w:rPr>
              <w:t>06 02 01 03</w:t>
            </w:r>
          </w:p>
        </w:tc>
        <w:tc>
          <w:tcPr>
            <w:tcW w:w="2318"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Оптимизиране на интеграцията и взаимното свързване на видовете транспорт и засилване на оперативната съвместимост</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80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20</w:t>
            </w:r>
          </w:p>
        </w:tc>
        <w:tc>
          <w:tcPr>
            <w:tcW w:w="38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300</w:t>
            </w:r>
          </w:p>
        </w:tc>
      </w:tr>
      <w:tr>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ind w:right="-113"/>
              <w:rPr>
                <w:noProof/>
                <w:sz w:val="20"/>
                <w:szCs w:val="20"/>
              </w:rPr>
            </w:pPr>
          </w:p>
        </w:tc>
        <w:tc>
          <w:tcPr>
            <w:tcW w:w="2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rPr>
              <w:t>Общо МСЕ — транспорт</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50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140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150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60</w:t>
            </w: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15" w:after="15"/>
              <w:jc w:val="center"/>
              <w:rPr>
                <w:b/>
                <w:noProof/>
                <w:sz w:val="20"/>
                <w:szCs w:val="20"/>
              </w:rPr>
            </w:pPr>
            <w:r>
              <w:rPr>
                <w:b/>
                <w:noProof/>
                <w:sz w:val="20"/>
              </w:rPr>
              <w:t>400</w:t>
            </w:r>
          </w:p>
        </w:tc>
      </w:tr>
      <w:tr>
        <w:tc>
          <w:tcPr>
            <w:tcW w:w="701" w:type="pct"/>
            <w:tcBorders>
              <w:top w:val="single" w:sz="4" w:space="0" w:color="auto"/>
              <w:left w:val="single" w:sz="4" w:space="0" w:color="auto"/>
              <w:bottom w:val="single" w:sz="4" w:space="0" w:color="auto"/>
              <w:right w:val="nil"/>
            </w:tcBorders>
          </w:tcPr>
          <w:p>
            <w:pPr>
              <w:widowControl w:val="0"/>
              <w:spacing w:before="15" w:after="15"/>
              <w:ind w:right="-113"/>
              <w:rPr>
                <w:noProof/>
                <w:sz w:val="20"/>
                <w:szCs w:val="20"/>
              </w:rPr>
            </w:pPr>
            <w:r>
              <w:rPr>
                <w:b/>
                <w:noProof/>
                <w:sz w:val="20"/>
              </w:rPr>
              <w:t>„Хоризонт 2020“</w:t>
            </w:r>
          </w:p>
        </w:tc>
        <w:tc>
          <w:tcPr>
            <w:tcW w:w="2318" w:type="pct"/>
            <w:tcBorders>
              <w:top w:val="single" w:sz="4" w:space="0" w:color="auto"/>
              <w:left w:val="nil"/>
              <w:bottom w:val="single" w:sz="4" w:space="0" w:color="auto"/>
              <w:right w:val="nil"/>
            </w:tcBorders>
          </w:tcPr>
          <w:p>
            <w:pPr>
              <w:widowControl w:val="0"/>
              <w:tabs>
                <w:tab w:val="left" w:pos="1350"/>
              </w:tabs>
              <w:spacing w:before="15" w:after="15"/>
              <w:jc w:val="both"/>
              <w:rPr>
                <w:b/>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80"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rPr>
            </w:pPr>
          </w:p>
        </w:tc>
      </w:tr>
      <w:tr>
        <w:tc>
          <w:tcPr>
            <w:tcW w:w="701"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rPr>
            </w:pPr>
            <w:r>
              <w:rPr>
                <w:noProof/>
                <w:sz w:val="20"/>
              </w:rPr>
              <w:t xml:space="preserve">08 02 01 01 </w:t>
            </w:r>
          </w:p>
        </w:tc>
        <w:tc>
          <w:tcPr>
            <w:tcW w:w="2318"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 xml:space="preserve">Засилване на авангардните научни изследвания чрез Европейския научноизследователски съвет </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16,7</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16,7</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16,7</w:t>
            </w:r>
          </w:p>
        </w:tc>
        <w:tc>
          <w:tcPr>
            <w:tcW w:w="38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100</w:t>
            </w:r>
          </w:p>
        </w:tc>
      </w:tr>
      <w:tr>
        <w:tc>
          <w:tcPr>
            <w:tcW w:w="701" w:type="pct"/>
            <w:tcBorders>
              <w:top w:val="single" w:sz="4" w:space="0" w:color="auto"/>
              <w:left w:val="single" w:sz="4" w:space="0" w:color="auto"/>
              <w:bottom w:val="single" w:sz="4" w:space="0" w:color="auto"/>
              <w:right w:val="single" w:sz="4" w:space="0" w:color="auto"/>
            </w:tcBorders>
          </w:tcPr>
          <w:p>
            <w:pPr>
              <w:widowControl w:val="0"/>
              <w:spacing w:before="15" w:after="15"/>
              <w:ind w:right="-113"/>
              <w:rPr>
                <w:noProof/>
                <w:sz w:val="20"/>
                <w:szCs w:val="20"/>
              </w:rPr>
            </w:pPr>
            <w:r>
              <w:rPr>
                <w:noProof/>
                <w:sz w:val="20"/>
              </w:rPr>
              <w:t>08 02 02 03</w:t>
            </w:r>
          </w:p>
        </w:tc>
        <w:tc>
          <w:tcPr>
            <w:tcW w:w="2318" w:type="pct"/>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Увеличаване на иновациите в малки и средни предприятия (МСП)</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38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100</w:t>
            </w:r>
          </w:p>
        </w:tc>
      </w:tr>
      <w:tr>
        <w:tc>
          <w:tcPr>
            <w:tcW w:w="701"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rPr>
            </w:pPr>
            <w:r>
              <w:rPr>
                <w:noProof/>
                <w:sz w:val="20"/>
              </w:rPr>
              <w:t>08 02 04</w:t>
            </w:r>
          </w:p>
        </w:tc>
        <w:tc>
          <w:tcPr>
            <w:tcW w:w="2318"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 xml:space="preserve">Разпространяване на високите научни постижения и разширяване на участието </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16,7</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21,7</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21,7</w:t>
            </w:r>
          </w:p>
        </w:tc>
        <w:tc>
          <w:tcPr>
            <w:tcW w:w="38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110</w:t>
            </w:r>
          </w:p>
        </w:tc>
      </w:tr>
      <w:tr>
        <w:tc>
          <w:tcPr>
            <w:tcW w:w="701"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rPr>
            </w:pPr>
            <w:r>
              <w:rPr>
                <w:noProof/>
                <w:sz w:val="20"/>
              </w:rPr>
              <w:t>09 04 02 01</w:t>
            </w:r>
          </w:p>
        </w:tc>
        <w:tc>
          <w:tcPr>
            <w:tcW w:w="2318"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Водещи позиции в информационните и комуникационните технологии</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16,7</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50</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11,7</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11,7</w:t>
            </w:r>
          </w:p>
        </w:tc>
        <w:tc>
          <w:tcPr>
            <w:tcW w:w="38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90</w:t>
            </w:r>
          </w:p>
        </w:tc>
      </w:tr>
      <w:tr>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right"/>
              <w:rPr>
                <w:b/>
                <w:noProof/>
                <w:sz w:val="20"/>
                <w:szCs w:val="20"/>
              </w:rPr>
            </w:pPr>
          </w:p>
        </w:tc>
        <w:tc>
          <w:tcPr>
            <w:tcW w:w="2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rPr>
              <w:t>Общо за „Хоризонт 2020“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50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150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100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100</w:t>
            </w: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400</w:t>
            </w:r>
          </w:p>
        </w:tc>
      </w:tr>
      <w:tr>
        <w:tc>
          <w:tcPr>
            <w:tcW w:w="701" w:type="pct"/>
            <w:tcBorders>
              <w:top w:val="single" w:sz="4" w:space="0" w:color="auto"/>
              <w:left w:val="single" w:sz="4" w:space="0" w:color="auto"/>
              <w:bottom w:val="single" w:sz="4" w:space="0" w:color="auto"/>
              <w:right w:val="nil"/>
            </w:tcBorders>
          </w:tcPr>
          <w:p>
            <w:pPr>
              <w:widowControl w:val="0"/>
              <w:spacing w:before="15" w:after="15"/>
              <w:ind w:right="-113"/>
              <w:rPr>
                <w:noProof/>
                <w:sz w:val="20"/>
                <w:szCs w:val="20"/>
              </w:rPr>
            </w:pPr>
            <w:r>
              <w:rPr>
                <w:b/>
                <w:noProof/>
                <w:sz w:val="20"/>
              </w:rPr>
              <w:t>„Еразъм+“</w:t>
            </w:r>
          </w:p>
        </w:tc>
        <w:tc>
          <w:tcPr>
            <w:tcW w:w="2318" w:type="pct"/>
            <w:tcBorders>
              <w:top w:val="single" w:sz="4" w:space="0" w:color="auto"/>
              <w:left w:val="nil"/>
              <w:bottom w:val="single" w:sz="4" w:space="0" w:color="auto"/>
              <w:right w:val="nil"/>
            </w:tcBorders>
          </w:tcPr>
          <w:p>
            <w:pPr>
              <w:widowControl w:val="0"/>
              <w:tabs>
                <w:tab w:val="left" w:pos="1350"/>
              </w:tabs>
              <w:spacing w:before="15" w:after="15"/>
              <w:jc w:val="both"/>
              <w:rPr>
                <w:b/>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400" w:type="pct"/>
            <w:tcBorders>
              <w:top w:val="single" w:sz="4" w:space="0" w:color="auto"/>
              <w:left w:val="nil"/>
              <w:bottom w:val="single" w:sz="4" w:space="0" w:color="auto"/>
              <w:right w:val="nil"/>
            </w:tcBorders>
          </w:tcPr>
          <w:p>
            <w:pPr>
              <w:widowControl w:val="0"/>
              <w:spacing w:before="15" w:after="15"/>
              <w:jc w:val="center"/>
              <w:rPr>
                <w:noProof/>
                <w:sz w:val="20"/>
                <w:szCs w:val="20"/>
              </w:rPr>
            </w:pPr>
          </w:p>
        </w:tc>
        <w:tc>
          <w:tcPr>
            <w:tcW w:w="380" w:type="pct"/>
            <w:tcBorders>
              <w:top w:val="single" w:sz="4" w:space="0" w:color="auto"/>
              <w:left w:val="nil"/>
              <w:bottom w:val="single" w:sz="4" w:space="0" w:color="auto"/>
              <w:right w:val="single" w:sz="4" w:space="0" w:color="auto"/>
            </w:tcBorders>
          </w:tcPr>
          <w:p>
            <w:pPr>
              <w:widowControl w:val="0"/>
              <w:spacing w:before="15" w:after="15"/>
              <w:jc w:val="center"/>
              <w:rPr>
                <w:noProof/>
                <w:sz w:val="20"/>
                <w:szCs w:val="20"/>
              </w:rPr>
            </w:pPr>
          </w:p>
        </w:tc>
      </w:tr>
      <w:tr>
        <w:tc>
          <w:tcPr>
            <w:tcW w:w="701"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rPr>
            </w:pPr>
            <w:r>
              <w:rPr>
                <w:noProof/>
                <w:sz w:val="20"/>
              </w:rPr>
              <w:t>15 02 01 01</w:t>
            </w:r>
          </w:p>
        </w:tc>
        <w:tc>
          <w:tcPr>
            <w:tcW w:w="2318"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Насърчаване на високите постижения и сътрудничеството в областта на европейското образование и обучение и тяхното значение за пазара на труда</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23,5</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16,5</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15</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15</w:t>
            </w:r>
          </w:p>
        </w:tc>
        <w:tc>
          <w:tcPr>
            <w:tcW w:w="38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70</w:t>
            </w:r>
          </w:p>
        </w:tc>
      </w:tr>
      <w:tr>
        <w:tc>
          <w:tcPr>
            <w:tcW w:w="701" w:type="pct"/>
            <w:tcBorders>
              <w:top w:val="single" w:sz="4" w:space="0" w:color="auto"/>
              <w:left w:val="single" w:sz="4" w:space="0" w:color="auto"/>
              <w:bottom w:val="single" w:sz="4" w:space="0" w:color="auto"/>
              <w:right w:val="single" w:sz="4" w:space="0" w:color="auto"/>
            </w:tcBorders>
            <w:hideMark/>
          </w:tcPr>
          <w:p>
            <w:pPr>
              <w:widowControl w:val="0"/>
              <w:spacing w:before="15" w:after="15"/>
              <w:ind w:right="-113"/>
              <w:rPr>
                <w:noProof/>
                <w:sz w:val="20"/>
                <w:szCs w:val="20"/>
              </w:rPr>
            </w:pPr>
            <w:r>
              <w:rPr>
                <w:noProof/>
                <w:sz w:val="20"/>
              </w:rPr>
              <w:t>15 02 01 02</w:t>
            </w:r>
          </w:p>
        </w:tc>
        <w:tc>
          <w:tcPr>
            <w:tcW w:w="2318" w:type="pct"/>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Насърчаване на високите постижения и сътрудничеството в областта на европейската младеж и участието на младите хора в европейския демократичен живот</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26,5</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33,5</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35</w:t>
            </w:r>
          </w:p>
        </w:tc>
        <w:tc>
          <w:tcPr>
            <w:tcW w:w="40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35</w:t>
            </w:r>
          </w:p>
        </w:tc>
        <w:tc>
          <w:tcPr>
            <w:tcW w:w="380" w:type="pct"/>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130</w:t>
            </w:r>
          </w:p>
        </w:tc>
      </w:tr>
      <w:tr>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right"/>
              <w:rPr>
                <w:b/>
                <w:noProof/>
                <w:sz w:val="20"/>
                <w:szCs w:val="20"/>
              </w:rPr>
            </w:pPr>
          </w:p>
        </w:tc>
        <w:tc>
          <w:tcPr>
            <w:tcW w:w="2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1350"/>
              </w:tabs>
              <w:spacing w:before="30" w:after="30"/>
              <w:jc w:val="right"/>
              <w:rPr>
                <w:b/>
                <w:noProof/>
                <w:sz w:val="20"/>
                <w:szCs w:val="20"/>
              </w:rPr>
            </w:pPr>
            <w:r>
              <w:rPr>
                <w:b/>
                <w:noProof/>
                <w:sz w:val="20"/>
              </w:rPr>
              <w:t>Общо за „Хоризонт 2020“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50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50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50</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50</w:t>
            </w: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30" w:after="30"/>
              <w:jc w:val="center"/>
              <w:rPr>
                <w:b/>
                <w:noProof/>
                <w:sz w:val="20"/>
                <w:szCs w:val="20"/>
              </w:rPr>
            </w:pPr>
            <w:r>
              <w:rPr>
                <w:b/>
                <w:noProof/>
                <w:sz w:val="20"/>
              </w:rPr>
              <w:t>200</w:t>
            </w:r>
          </w:p>
        </w:tc>
      </w:tr>
    </w:tbl>
    <w:p>
      <w:pPr>
        <w:spacing w:before="120" w:after="120"/>
        <w:jc w:val="both"/>
        <w:rPr>
          <w:noProof/>
          <w:szCs w:val="20"/>
        </w:rPr>
      </w:pPr>
      <w:r>
        <w:rPr>
          <w:noProof/>
        </w:rPr>
        <w:t xml:space="preserve">В междинния преглед/междинното преразглеждане се предлага също така да се продължи </w:t>
      </w:r>
      <w:r>
        <w:rPr>
          <w:b/>
          <w:noProof/>
        </w:rPr>
        <w:t>Инициативата за младежка заетост</w:t>
      </w:r>
      <w:r>
        <w:rPr>
          <w:noProof/>
        </w:rPr>
        <w:t xml:space="preserve"> (ИМЗ) във функция 1б, като се разпредели 1 млрд. евро за периода 2017—2020 г. Комисията предлага да се разпределят 500 млн. евро през 2017 г. и 500 млн. евро през 2018 г., финансирани от общия марж за поетите задължения (ОМПЗ). Понастоящем ОМПЗ, който е наличен за 2017 г., е само 174,1 млн. евро след финансирането на ЕФСИ. Като се има предвид обаче маржа на поетите задължения в бюджета за 2016 г., има вероятност ОМПЗ да се увеличи след техническата корекция в началото на 2017 г. Комисията предлага да се добавят 500 млн. евро към ИМЗ през 2017 г. чрез проект на коригиращ бюджет, който да бъде предложен непосредствено след техническата корекция. </w:t>
      </w:r>
    </w:p>
    <w:p>
      <w:pPr>
        <w:spacing w:before="120" w:after="120"/>
        <w:jc w:val="both"/>
        <w:rPr>
          <w:noProof/>
          <w:szCs w:val="20"/>
        </w:rPr>
      </w:pPr>
      <w:r>
        <w:rPr>
          <w:noProof/>
        </w:rPr>
        <w:t>На този етап единствените корекции, които са предложени в настоящото писмо за внасяне на корекции във връзка с растежа и работните места, са свързаните с функция 1а.</w:t>
      </w:r>
    </w:p>
    <w:p>
      <w:pPr>
        <w:pStyle w:val="ManualHeading2"/>
        <w:numPr>
          <w:ilvl w:val="0"/>
          <w:numId w:val="0"/>
        </w:numPr>
        <w:tabs>
          <w:tab w:val="left" w:pos="851"/>
        </w:tabs>
      </w:pPr>
      <w:bookmarkStart w:id="66" w:name="_Toc462933838"/>
      <w:bookmarkStart w:id="67" w:name="_Toc462935199"/>
      <w:bookmarkStart w:id="68" w:name="_Toc462935301"/>
      <w:bookmarkStart w:id="69" w:name="_Toc462935349"/>
      <w:bookmarkStart w:id="70" w:name="_Toc462935506"/>
      <w:bookmarkStart w:id="71" w:name="_Toc463004740"/>
      <w:bookmarkStart w:id="72" w:name="_Toc462933839"/>
      <w:bookmarkStart w:id="73" w:name="_Toc462935200"/>
      <w:bookmarkStart w:id="74" w:name="_Toc462935302"/>
      <w:bookmarkStart w:id="75" w:name="_Toc462935350"/>
      <w:bookmarkStart w:id="76" w:name="_Toc462935507"/>
      <w:bookmarkStart w:id="77" w:name="_Toc463004741"/>
      <w:bookmarkStart w:id="78" w:name="_Toc462933840"/>
      <w:bookmarkStart w:id="79" w:name="_Toc462935201"/>
      <w:bookmarkStart w:id="80" w:name="_Toc462935303"/>
      <w:bookmarkStart w:id="81" w:name="_Toc462935351"/>
      <w:bookmarkStart w:id="82" w:name="_Toc462935508"/>
      <w:bookmarkStart w:id="83" w:name="_Toc463004742"/>
      <w:bookmarkStart w:id="84" w:name="_Toc463974158"/>
      <w:bookmarkStart w:id="85" w:name="_Toc464028203"/>
      <w:bookmarkStart w:id="86" w:name="_Toc464028335"/>
      <w:bookmarkStart w:id="87" w:name="_Toc463974159"/>
      <w:bookmarkStart w:id="88" w:name="_Toc464028204"/>
      <w:bookmarkStart w:id="89" w:name="_Toc464028336"/>
      <w:bookmarkStart w:id="90" w:name="_Toc463974160"/>
      <w:bookmarkStart w:id="91" w:name="_Toc464028205"/>
      <w:bookmarkStart w:id="92" w:name="_Toc464028337"/>
      <w:bookmarkStart w:id="93" w:name="_Toc463974161"/>
      <w:bookmarkStart w:id="94" w:name="_Toc464028206"/>
      <w:bookmarkStart w:id="95" w:name="_Toc464028338"/>
      <w:bookmarkStart w:id="96" w:name="_Toc464138541"/>
      <w:bookmarkStart w:id="97" w:name="_Toc465250561"/>
      <w:bookmarkStart w:id="98" w:name="_Toc46215382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 xml:space="preserve">3.1 </w:t>
      </w:r>
      <w:r>
        <w:tab/>
        <w:t>„Хоризонт 2020“</w:t>
      </w:r>
      <w:bookmarkEnd w:id="96"/>
      <w:bookmarkEnd w:id="97"/>
    </w:p>
    <w:p>
      <w:pPr>
        <w:spacing w:before="120" w:after="120"/>
        <w:jc w:val="both"/>
        <w:rPr>
          <w:noProof/>
        </w:rPr>
      </w:pPr>
      <w:r>
        <w:rPr>
          <w:noProof/>
        </w:rPr>
        <w:t>По-голямата част от поканите за представяне на предложения по „Хоризонт 2020“ се радват на голям интерес за участие. За да продължи увеличението на подпомагането по програмата за растеж и работни места, се предлагат допълнителни бюджетни кредити за поети задължения в размер на 50 млн. евро през 2017 г., насочени към ограничен брой приоритетни мерки, за да се постигне максимално въздействие, както следва:</w:t>
      </w:r>
    </w:p>
    <w:p>
      <w:pPr>
        <w:spacing w:before="120" w:after="120"/>
        <w:ind w:left="720" w:hanging="720"/>
        <w:jc w:val="both"/>
        <w:rPr>
          <w:noProof/>
        </w:rPr>
      </w:pPr>
      <w:r>
        <w:rPr>
          <w:noProof/>
        </w:rPr>
        <w:t>–</w:t>
      </w:r>
      <w:r>
        <w:rPr>
          <w:noProof/>
        </w:rPr>
        <w:tab/>
        <w:t>Европейски научноизследователски съвет: ЕНС насърчава авангардните научни изследвания в нови и обещаващи области, което е от съществено значение за консолидирането на европейската научна база. Понастоящем не може да се финансират голям брой отлични проекти: участието на ЕС може да покрие само 10 % от бюджета, предложен за допустими проекти, и дори има риск да падне под тези критични 10 % за общия процент на успеваемост . Ако това стане, някои от най-изявените самостоятелни учени може да решат изобщо да не кандидатстват. До момента ЕНС е финансирал много по-малко от 1 % от европейските изследователи. Допълнителните ресурси биха дали възможност на комисиите за подбор на ЕНС така също да поемат по-големи рискове, когато разглеждат най-амбициозните проекти.</w:t>
      </w:r>
    </w:p>
    <w:p>
      <w:pPr>
        <w:spacing w:before="120" w:after="120"/>
        <w:ind w:left="720" w:hanging="720"/>
        <w:jc w:val="both"/>
        <w:rPr>
          <w:noProof/>
        </w:rPr>
      </w:pPr>
      <w:r>
        <w:rPr>
          <w:noProof/>
        </w:rPr>
        <w:t>–</w:t>
      </w:r>
      <w:r>
        <w:rPr>
          <w:noProof/>
        </w:rPr>
        <w:tab/>
        <w:t>Разпространяване на високите научни постижения и разширяване на участието: „</w:t>
      </w:r>
      <w:r>
        <w:rPr>
          <w:i/>
          <w:noProof/>
        </w:rPr>
        <w:t>Разширяване“</w:t>
      </w:r>
      <w:r>
        <w:rPr>
          <w:noProof/>
        </w:rPr>
        <w:t xml:space="preserve"> е високо ценена програма, тъй като тя насърчава научноизследователския и развойния капацитет в държавите със слабо развити НИРД чрез институционално изграждане/създаване на мрежи и учене от опита на напредналите партньори. Това не са типични НИРД по „Хоризонт 2020“. По-специално действията по„</w:t>
      </w:r>
      <w:r>
        <w:rPr>
          <w:i/>
          <w:noProof/>
        </w:rPr>
        <w:t>съвместна работа“</w:t>
      </w:r>
      <w:r>
        <w:rPr>
          <w:noProof/>
        </w:rPr>
        <w:t>, с които се цели създаването на центрове за високи постижения в държавите, участващи в програма „</w:t>
      </w:r>
      <w:r>
        <w:rPr>
          <w:i/>
          <w:noProof/>
        </w:rPr>
        <w:t>Разширяване“</w:t>
      </w:r>
      <w:r>
        <w:rPr>
          <w:noProof/>
        </w:rPr>
        <w:t>, имат изключително голям ефект на ливъридж, тъй като за тях е необходимо да се мобилизира голямо количество национални ресурси за допълване на участието на ЕС (при което се увеличават до максимум синергиите с европейските структурни и инвестиционни фондове). Допълнителните ресурси за част „</w:t>
      </w:r>
      <w:r>
        <w:rPr>
          <w:i/>
          <w:noProof/>
        </w:rPr>
        <w:t>Разширяване“</w:t>
      </w:r>
      <w:r>
        <w:rPr>
          <w:noProof/>
        </w:rPr>
        <w:t xml:space="preserve"> на „Хоризонт 2020“ ще дадат възможност за постигането на максимално въздействие на ключовите действия като „</w:t>
      </w:r>
      <w:r>
        <w:rPr>
          <w:i/>
          <w:noProof/>
        </w:rPr>
        <w:t>съвместна работа“</w:t>
      </w:r>
      <w:r>
        <w:rPr>
          <w:noProof/>
        </w:rPr>
        <w:t>. Освен това средното ѝ ниво на успеваемост е под средното за „Хоризонт 2020“ и само един от пет висококачествени проекта може да бъде финансиран.</w:t>
      </w:r>
    </w:p>
    <w:p>
      <w:pPr>
        <w:spacing w:before="120"/>
        <w:ind w:left="720" w:hanging="720"/>
        <w:jc w:val="both"/>
        <w:rPr>
          <w:noProof/>
        </w:rPr>
      </w:pPr>
      <w:r>
        <w:rPr>
          <w:noProof/>
        </w:rPr>
        <w:t>–</w:t>
      </w:r>
      <w:r>
        <w:rPr>
          <w:noProof/>
        </w:rPr>
        <w:tab/>
        <w:t>Програма „Водещи позиции при базовите и промишлените технологии“ (LEIT — ИКТ) ще подпомага инвестициите във високопроизводителните изчислителни технологии, които в междинния преглед са определени като ключов приоритет в областта на цифровите технологии. За да се извлекат максимални ползи от възможностите на цифровия единен пазар, финансирането ще допринесе за създаването на европейска инфраструктура за високопроизводителни изчислителни технологии (ВИТ) посредством разработването на цялостен прототип на демонстрационна система от порядъка екзафлоп и нужното приложно ниво.</w:t>
      </w:r>
    </w:p>
    <w:tbl>
      <w:tblPr>
        <w:tblW w:w="9714" w:type="dxa"/>
        <w:jc w:val="center"/>
        <w:tblLayout w:type="fixed"/>
        <w:tblCellMar>
          <w:left w:w="40" w:type="dxa"/>
          <w:right w:w="40" w:type="dxa"/>
        </w:tblCellMar>
        <w:tblLook w:val="0000" w:firstRow="0" w:lastRow="0" w:firstColumn="0" w:lastColumn="0" w:noHBand="0" w:noVBand="0"/>
      </w:tblPr>
      <w:tblGrid>
        <w:gridCol w:w="1229"/>
        <w:gridCol w:w="5152"/>
        <w:gridCol w:w="1498"/>
        <w:gridCol w:w="1634"/>
        <w:gridCol w:w="201"/>
      </w:tblGrid>
      <w:tr>
        <w:trPr>
          <w:gridAfter w:val="1"/>
          <w:wAfter w:w="201" w:type="dxa"/>
          <w:trHeight w:val="164"/>
          <w:tblHeader/>
          <w:jc w:val="center"/>
        </w:trPr>
        <w:tc>
          <w:tcPr>
            <w:tcW w:w="9513" w:type="dxa"/>
            <w:gridSpan w:val="4"/>
            <w:shd w:val="clear" w:color="auto" w:fill="FFFFFF"/>
            <w:vAlign w:val="center"/>
          </w:tcPr>
          <w:p>
            <w:pPr>
              <w:jc w:val="right"/>
              <w:rPr>
                <w:noProof/>
                <w:sz w:val="16"/>
                <w:szCs w:val="16"/>
              </w:rPr>
            </w:pPr>
            <w:r>
              <w:rPr>
                <w:i/>
                <w:noProof/>
                <w:sz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shd w:val="clear" w:color="auto" w:fill="D9D9D9"/>
            <w:vAlign w:val="center"/>
          </w:tcPr>
          <w:p>
            <w:pPr>
              <w:widowControl w:val="0"/>
              <w:spacing w:before="15" w:after="15"/>
              <w:jc w:val="center"/>
              <w:rPr>
                <w:b/>
                <w:noProof/>
                <w:sz w:val="20"/>
                <w:szCs w:val="20"/>
              </w:rPr>
            </w:pPr>
            <w:r>
              <w:rPr>
                <w:b/>
                <w:noProof/>
                <w:sz w:val="20"/>
              </w:rPr>
              <w:t>Бюджетен ред</w:t>
            </w:r>
          </w:p>
        </w:tc>
        <w:tc>
          <w:tcPr>
            <w:tcW w:w="5152"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498" w:type="dxa"/>
            <w:shd w:val="clear" w:color="auto" w:fill="D9D9D9"/>
          </w:tcPr>
          <w:p>
            <w:pPr>
              <w:widowControl w:val="0"/>
              <w:spacing w:before="15" w:after="15"/>
              <w:jc w:val="center"/>
              <w:rPr>
                <w:b/>
                <w:noProof/>
                <w:sz w:val="20"/>
                <w:szCs w:val="20"/>
              </w:rPr>
            </w:pPr>
            <w:r>
              <w:rPr>
                <w:b/>
                <w:noProof/>
                <w:sz w:val="20"/>
              </w:rPr>
              <w:t>Бюджетни кредити за поети задължения</w:t>
            </w:r>
          </w:p>
        </w:tc>
        <w:tc>
          <w:tcPr>
            <w:tcW w:w="1835" w:type="dxa"/>
            <w:gridSpan w:val="2"/>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tcPr>
          <w:p>
            <w:pPr>
              <w:widowControl w:val="0"/>
              <w:spacing w:before="15" w:after="15"/>
              <w:ind w:right="-113"/>
              <w:jc w:val="both"/>
              <w:rPr>
                <w:noProof/>
                <w:sz w:val="20"/>
                <w:szCs w:val="20"/>
              </w:rPr>
            </w:pPr>
            <w:r>
              <w:rPr>
                <w:noProof/>
                <w:sz w:val="20"/>
              </w:rPr>
              <w:t xml:space="preserve">08 02 01 01 </w:t>
            </w:r>
          </w:p>
        </w:tc>
        <w:tc>
          <w:tcPr>
            <w:tcW w:w="5152" w:type="dxa"/>
          </w:tcPr>
          <w:p>
            <w:pPr>
              <w:widowControl w:val="0"/>
              <w:tabs>
                <w:tab w:val="left" w:pos="1350"/>
              </w:tabs>
              <w:spacing w:before="15" w:after="15"/>
              <w:jc w:val="both"/>
              <w:rPr>
                <w:noProof/>
                <w:sz w:val="16"/>
                <w:szCs w:val="16"/>
              </w:rPr>
            </w:pPr>
            <w:r>
              <w:rPr>
                <w:noProof/>
                <w:sz w:val="16"/>
              </w:rPr>
              <w:t xml:space="preserve">Засилване на авангардните научни изследвания чрез Европейския научноизследователски съвет </w:t>
            </w:r>
          </w:p>
        </w:tc>
        <w:tc>
          <w:tcPr>
            <w:tcW w:w="1498" w:type="dxa"/>
          </w:tcPr>
          <w:p>
            <w:pPr>
              <w:widowControl w:val="0"/>
              <w:spacing w:before="15" w:after="15"/>
              <w:jc w:val="right"/>
              <w:rPr>
                <w:noProof/>
                <w:sz w:val="20"/>
                <w:szCs w:val="20"/>
              </w:rPr>
            </w:pPr>
            <w:r>
              <w:rPr>
                <w:noProof/>
                <w:sz w:val="20"/>
              </w:rPr>
              <w:t>16 665 000</w:t>
            </w:r>
          </w:p>
        </w:tc>
        <w:tc>
          <w:tcPr>
            <w:tcW w:w="1835" w:type="dxa"/>
            <w:gridSpan w:val="2"/>
          </w:tcPr>
          <w:p>
            <w:pPr>
              <w:widowControl w:val="0"/>
              <w:spacing w:before="15" w:after="15"/>
              <w:jc w:val="right"/>
              <w:rPr>
                <w:noProof/>
                <w:sz w:val="20"/>
                <w:szCs w:val="20"/>
              </w:rPr>
            </w:pPr>
            <w:r>
              <w:rPr>
                <w:noProof/>
                <w:sz w:val="20"/>
              </w:rPr>
              <w:t>660 000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tcPr>
          <w:p>
            <w:pPr>
              <w:widowControl w:val="0"/>
              <w:spacing w:before="15" w:after="15"/>
              <w:ind w:right="-113"/>
              <w:jc w:val="both"/>
              <w:rPr>
                <w:noProof/>
                <w:sz w:val="20"/>
                <w:szCs w:val="20"/>
              </w:rPr>
            </w:pPr>
            <w:r>
              <w:rPr>
                <w:noProof/>
                <w:sz w:val="20"/>
              </w:rPr>
              <w:t>08 02 04</w:t>
            </w:r>
          </w:p>
        </w:tc>
        <w:tc>
          <w:tcPr>
            <w:tcW w:w="5152" w:type="dxa"/>
          </w:tcPr>
          <w:p>
            <w:pPr>
              <w:widowControl w:val="0"/>
              <w:tabs>
                <w:tab w:val="left" w:pos="1350"/>
              </w:tabs>
              <w:spacing w:before="15" w:after="15"/>
              <w:jc w:val="both"/>
              <w:rPr>
                <w:noProof/>
                <w:sz w:val="16"/>
                <w:szCs w:val="16"/>
              </w:rPr>
            </w:pPr>
            <w:r>
              <w:rPr>
                <w:noProof/>
                <w:sz w:val="16"/>
              </w:rPr>
              <w:t xml:space="preserve">Разпространяване на високите научни постижения и разширяване на участието </w:t>
            </w:r>
          </w:p>
        </w:tc>
        <w:tc>
          <w:tcPr>
            <w:tcW w:w="1498" w:type="dxa"/>
          </w:tcPr>
          <w:p>
            <w:pPr>
              <w:widowControl w:val="0"/>
              <w:spacing w:before="15" w:after="15"/>
              <w:jc w:val="right"/>
              <w:rPr>
                <w:noProof/>
                <w:sz w:val="20"/>
                <w:szCs w:val="20"/>
              </w:rPr>
            </w:pPr>
            <w:r>
              <w:rPr>
                <w:noProof/>
                <w:sz w:val="20"/>
              </w:rPr>
              <w:t>16 665 000</w:t>
            </w:r>
          </w:p>
        </w:tc>
        <w:tc>
          <w:tcPr>
            <w:tcW w:w="1835" w:type="dxa"/>
            <w:gridSpan w:val="2"/>
          </w:tcPr>
          <w:p>
            <w:pPr>
              <w:widowControl w:val="0"/>
              <w:spacing w:before="15" w:after="15"/>
              <w:jc w:val="right"/>
              <w:rPr>
                <w:noProof/>
                <w:sz w:val="20"/>
                <w:szCs w:val="20"/>
              </w:rPr>
            </w:pPr>
            <w:r>
              <w:rPr>
                <w:noProof/>
                <w:sz w:val="20"/>
              </w:rPr>
              <w:t>5 400 000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29" w:type="dxa"/>
          </w:tcPr>
          <w:p>
            <w:pPr>
              <w:widowControl w:val="0"/>
              <w:spacing w:before="15" w:after="15"/>
              <w:ind w:right="-113"/>
              <w:jc w:val="both"/>
              <w:rPr>
                <w:noProof/>
                <w:sz w:val="20"/>
                <w:szCs w:val="20"/>
              </w:rPr>
            </w:pPr>
            <w:r>
              <w:rPr>
                <w:noProof/>
                <w:sz w:val="20"/>
              </w:rPr>
              <w:t>09 04 02 01</w:t>
            </w:r>
          </w:p>
        </w:tc>
        <w:tc>
          <w:tcPr>
            <w:tcW w:w="5152" w:type="dxa"/>
          </w:tcPr>
          <w:p>
            <w:pPr>
              <w:widowControl w:val="0"/>
              <w:tabs>
                <w:tab w:val="left" w:pos="1350"/>
              </w:tabs>
              <w:spacing w:before="15" w:after="15"/>
              <w:jc w:val="both"/>
              <w:rPr>
                <w:noProof/>
                <w:sz w:val="16"/>
                <w:szCs w:val="16"/>
              </w:rPr>
            </w:pPr>
            <w:r>
              <w:rPr>
                <w:noProof/>
                <w:sz w:val="16"/>
              </w:rPr>
              <w:t>Водещи позиции в информационните и комуникационните технологии</w:t>
            </w:r>
          </w:p>
        </w:tc>
        <w:tc>
          <w:tcPr>
            <w:tcW w:w="1498" w:type="dxa"/>
          </w:tcPr>
          <w:p>
            <w:pPr>
              <w:widowControl w:val="0"/>
              <w:spacing w:before="15" w:after="15"/>
              <w:jc w:val="right"/>
              <w:rPr>
                <w:noProof/>
                <w:sz w:val="20"/>
                <w:szCs w:val="20"/>
              </w:rPr>
            </w:pPr>
            <w:r>
              <w:rPr>
                <w:noProof/>
                <w:sz w:val="20"/>
              </w:rPr>
              <w:t>16 670 000</w:t>
            </w:r>
          </w:p>
        </w:tc>
        <w:tc>
          <w:tcPr>
            <w:tcW w:w="1835" w:type="dxa"/>
            <w:gridSpan w:val="2"/>
          </w:tcPr>
          <w:p>
            <w:pPr>
              <w:widowControl w:val="0"/>
              <w:spacing w:before="15" w:after="15"/>
              <w:jc w:val="right"/>
              <w:rPr>
                <w:noProof/>
                <w:sz w:val="20"/>
                <w:szCs w:val="20"/>
              </w:rPr>
            </w:pPr>
            <w:r>
              <w:rPr>
                <w:noProof/>
                <w:sz w:val="20"/>
              </w:rPr>
              <w:t>830 000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81" w:type="dxa"/>
            <w:gridSpan w:val="2"/>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498" w:type="dxa"/>
            <w:shd w:val="clear" w:color="auto" w:fill="D9D9D9"/>
          </w:tcPr>
          <w:p>
            <w:pPr>
              <w:widowControl w:val="0"/>
              <w:spacing w:before="15" w:after="15"/>
              <w:jc w:val="right"/>
              <w:rPr>
                <w:b/>
                <w:noProof/>
                <w:sz w:val="20"/>
                <w:szCs w:val="20"/>
              </w:rPr>
            </w:pPr>
            <w:r>
              <w:rPr>
                <w:b/>
                <w:noProof/>
                <w:sz w:val="20"/>
              </w:rPr>
              <w:t>50 000 000</w:t>
            </w:r>
          </w:p>
        </w:tc>
        <w:tc>
          <w:tcPr>
            <w:tcW w:w="1835" w:type="dxa"/>
            <w:gridSpan w:val="2"/>
            <w:shd w:val="clear" w:color="auto" w:fill="D9D9D9"/>
          </w:tcPr>
          <w:p>
            <w:pPr>
              <w:widowControl w:val="0"/>
              <w:spacing w:before="15" w:after="15"/>
              <w:jc w:val="right"/>
              <w:rPr>
                <w:b/>
                <w:noProof/>
                <w:sz w:val="20"/>
                <w:szCs w:val="20"/>
              </w:rPr>
            </w:pPr>
            <w:r>
              <w:rPr>
                <w:b/>
                <w:noProof/>
                <w:sz w:val="20"/>
              </w:rPr>
              <w:t>6 890 000</w:t>
            </w:r>
          </w:p>
        </w:tc>
      </w:tr>
    </w:tbl>
    <w:p>
      <w:pPr>
        <w:pStyle w:val="ManualHeading2"/>
        <w:numPr>
          <w:ilvl w:val="0"/>
          <w:numId w:val="0"/>
        </w:numPr>
        <w:tabs>
          <w:tab w:val="left" w:pos="851"/>
        </w:tabs>
      </w:pPr>
      <w:bookmarkStart w:id="99" w:name="_Toc464138542"/>
      <w:bookmarkStart w:id="100" w:name="_Toc465250562"/>
      <w:r>
        <w:t xml:space="preserve">3.2 </w:t>
      </w:r>
      <w:r>
        <w:tab/>
        <w:t>Програма за конкурентоспособност на предприятията и малките и средните предприятия (COSME)</w:t>
      </w:r>
      <w:bookmarkEnd w:id="99"/>
      <w:bookmarkEnd w:id="100"/>
    </w:p>
    <w:p>
      <w:pPr>
        <w:spacing w:before="120" w:after="120"/>
        <w:jc w:val="both"/>
        <w:rPr>
          <w:noProof/>
          <w:szCs w:val="20"/>
        </w:rPr>
      </w:pPr>
      <w:r>
        <w:rPr>
          <w:noProof/>
        </w:rPr>
        <w:t>Подпомагането на европейските МСП е от ключово значение за засилването на конкурентоспособността, създаването на работни места и стимулирането на растежа. С финансовите инструменти в рамките на COSME (Програма за конкурентоспособност на предприятията и малките и средните предприятия) се предоставя подпомагане на МСП, които имат затруднения при получаването на финанси от финансови посредници поради предполагаемия по-висок риск, който носят, или поради липсата на обезпечение. С цел подобряване на финансовата среда за МСП и за увеличаване на средствата на механизма за гарантиране на заеми и на капиталовия механизъм за растеж по програмата, Комисията предлага да се увеличат бюджетните кредити за поети задължения с 50 млн. евро. Инструментите се прилагат успешно, което е видно от големия интерес от страна на МСП. Предвид необходимия период за осъществяването на тези проекти, на този етап не са поискани никакви допълнителни бюджетни кредити за плащания.</w:t>
      </w:r>
    </w:p>
    <w:tbl>
      <w:tblPr>
        <w:tblW w:w="9952" w:type="dxa"/>
        <w:jc w:val="center"/>
        <w:tblLayout w:type="fixed"/>
        <w:tblCellMar>
          <w:left w:w="40" w:type="dxa"/>
          <w:right w:w="40" w:type="dxa"/>
        </w:tblCellMar>
        <w:tblLook w:val="0000" w:firstRow="0" w:lastRow="0" w:firstColumn="0" w:lastColumn="0" w:noHBand="0" w:noVBand="0"/>
      </w:tblPr>
      <w:tblGrid>
        <w:gridCol w:w="69"/>
        <w:gridCol w:w="1202"/>
        <w:gridCol w:w="5353"/>
        <w:gridCol w:w="1550"/>
        <w:gridCol w:w="1691"/>
        <w:gridCol w:w="87"/>
      </w:tblGrid>
      <w:tr>
        <w:trPr>
          <w:gridBefore w:val="1"/>
          <w:wBefore w:w="68" w:type="dxa"/>
          <w:trHeight w:val="164"/>
          <w:tblHeader/>
          <w:jc w:val="center"/>
        </w:trPr>
        <w:tc>
          <w:tcPr>
            <w:tcW w:w="9943" w:type="dxa"/>
            <w:gridSpan w:val="5"/>
            <w:shd w:val="clear" w:color="auto" w:fill="FFFFFF"/>
            <w:vAlign w:val="center"/>
          </w:tcPr>
          <w:p>
            <w:pPr>
              <w:jc w:val="right"/>
              <w:rPr>
                <w:noProof/>
                <w:sz w:val="16"/>
                <w:szCs w:val="16"/>
              </w:rPr>
            </w:pPr>
            <w:r>
              <w:rPr>
                <w:i/>
                <w:noProof/>
                <w:sz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Borders>
              <w:bottom w:val="nil"/>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387" w:type="dxa"/>
            <w:tcBorders>
              <w:bottom w:val="nil"/>
            </w:tcBorders>
            <w:shd w:val="clear" w:color="auto" w:fill="D9D9D9"/>
            <w:vAlign w:val="center"/>
          </w:tcPr>
          <w:p>
            <w:pPr>
              <w:widowControl w:val="0"/>
              <w:spacing w:before="15" w:after="15"/>
              <w:jc w:val="center"/>
              <w:rPr>
                <w:b/>
                <w:noProof/>
                <w:sz w:val="20"/>
                <w:szCs w:val="20"/>
              </w:rPr>
            </w:pPr>
            <w:r>
              <w:rPr>
                <w:b/>
                <w:noProof/>
                <w:sz w:val="20"/>
              </w:rPr>
              <w:t>Наименование</w:t>
            </w:r>
          </w:p>
        </w:tc>
        <w:tc>
          <w:tcPr>
            <w:tcW w:w="1559" w:type="dxa"/>
            <w:tcBorders>
              <w:bottom w:val="nil"/>
            </w:tcBorders>
            <w:shd w:val="clear" w:color="auto" w:fill="D9D9D9"/>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bottom w:val="nil"/>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rPr>
              <w:t xml:space="preserve">02 02 02 </w:t>
            </w:r>
          </w:p>
        </w:tc>
        <w:tc>
          <w:tcPr>
            <w:tcW w:w="5387" w:type="dxa"/>
          </w:tcPr>
          <w:p>
            <w:pPr>
              <w:widowControl w:val="0"/>
              <w:tabs>
                <w:tab w:val="left" w:pos="1350"/>
              </w:tabs>
              <w:spacing w:before="15" w:after="15"/>
              <w:jc w:val="both"/>
              <w:rPr>
                <w:noProof/>
                <w:sz w:val="16"/>
                <w:szCs w:val="16"/>
              </w:rPr>
            </w:pPr>
            <w:r>
              <w:rPr>
                <w:noProof/>
                <w:sz w:val="16"/>
              </w:rPr>
              <w:t>Подобряване на достъпа до финансиране на малките и средните предприятия (МСП) под формата на капиталови и дългови инструменти.</w:t>
            </w:r>
          </w:p>
        </w:tc>
        <w:tc>
          <w:tcPr>
            <w:tcW w:w="1559" w:type="dxa"/>
          </w:tcPr>
          <w:p>
            <w:pPr>
              <w:widowControl w:val="0"/>
              <w:spacing w:before="15" w:after="15"/>
              <w:jc w:val="right"/>
              <w:rPr>
                <w:noProof/>
                <w:sz w:val="20"/>
                <w:szCs w:val="20"/>
              </w:rPr>
            </w:pPr>
            <w:r>
              <w:rPr>
                <w:noProof/>
                <w:sz w:val="20"/>
              </w:rPr>
              <w:t>50 000 000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559" w:type="dxa"/>
            <w:shd w:val="clear" w:color="auto" w:fill="D9D9D9"/>
          </w:tcPr>
          <w:p>
            <w:pPr>
              <w:widowControl w:val="0"/>
              <w:spacing w:before="15" w:after="15"/>
              <w:jc w:val="right"/>
              <w:rPr>
                <w:b/>
                <w:noProof/>
                <w:sz w:val="20"/>
                <w:szCs w:val="20"/>
              </w:rPr>
            </w:pPr>
            <w:r>
              <w:rPr>
                <w:b/>
                <w:noProof/>
                <w:sz w:val="20"/>
              </w:rPr>
              <w:t>50 000 000</w:t>
            </w:r>
          </w:p>
        </w:tc>
        <w:tc>
          <w:tcPr>
            <w:tcW w:w="1701" w:type="dxa"/>
            <w:shd w:val="clear" w:color="auto" w:fill="D9D9D9"/>
          </w:tcPr>
          <w:p>
            <w:pPr>
              <w:widowControl w:val="0"/>
              <w:spacing w:before="15" w:after="15"/>
              <w:jc w:val="right"/>
              <w:rPr>
                <w:b/>
                <w:noProof/>
                <w:sz w:val="20"/>
                <w:szCs w:val="20"/>
              </w:rPr>
            </w:pPr>
            <w:r>
              <w:rPr>
                <w:b/>
                <w:noProof/>
                <w:sz w:val="20"/>
              </w:rPr>
              <w:t>0</w:t>
            </w:r>
          </w:p>
        </w:tc>
      </w:tr>
    </w:tbl>
    <w:p>
      <w:pPr>
        <w:pStyle w:val="ManualHeading2"/>
        <w:numPr>
          <w:ilvl w:val="0"/>
          <w:numId w:val="0"/>
        </w:numPr>
        <w:tabs>
          <w:tab w:val="left" w:pos="851"/>
        </w:tabs>
      </w:pPr>
      <w:bookmarkStart w:id="101" w:name="_Toc464138543"/>
      <w:bookmarkStart w:id="102" w:name="_Toc465250563"/>
      <w:r>
        <w:t xml:space="preserve">3.3 </w:t>
      </w:r>
      <w:r>
        <w:tab/>
        <w:t>Механизъм за свързване на Европа (МСЕ) — транспорт</w:t>
      </w:r>
      <w:bookmarkEnd w:id="101"/>
      <w:bookmarkEnd w:id="102"/>
    </w:p>
    <w:p>
      <w:pPr>
        <w:spacing w:before="120" w:after="120"/>
        <w:jc w:val="both"/>
        <w:rPr>
          <w:noProof/>
          <w:szCs w:val="20"/>
        </w:rPr>
      </w:pPr>
      <w:r>
        <w:rPr>
          <w:noProof/>
        </w:rPr>
        <w:t>Поканите за представяне на предложения през 2014 г. и 2015 г., обявени по направление „Транспорт“ на Механизма за свързване на Европа (МСЕ — транспорт), бяха много успешни. Предвид големият интерес и ефективното усвояване, в контекста на междинния преглед/междинното преразглеждане Комисията предложи да се увеличат първоначално разпределените средства за МСЕ — транспорт с 400 млн. евро за периода 2017—2020 г. С цел увеличаване на подпомагането от ЕС за интегрирането и взаимното свързване на видовете транспорт и за подпомагане на оперативната съвместимост на транспортните услуги се предлага 50 млн. евро от тази сума да бъдат разпределени през 2017 г. Предвид необходимия период за осъществяването на тези проекти, на този етап не са поискани никакви допълнителни бюджетни кредити за плащания.</w:t>
      </w:r>
    </w:p>
    <w:tbl>
      <w:tblPr>
        <w:tblW w:w="9952" w:type="dxa"/>
        <w:jc w:val="center"/>
        <w:tblLayout w:type="fixed"/>
        <w:tblCellMar>
          <w:left w:w="40" w:type="dxa"/>
          <w:right w:w="40" w:type="dxa"/>
        </w:tblCellMar>
        <w:tblLook w:val="0000" w:firstRow="0" w:lastRow="0" w:firstColumn="0" w:lastColumn="0" w:noHBand="0" w:noVBand="0"/>
      </w:tblPr>
      <w:tblGrid>
        <w:gridCol w:w="9"/>
        <w:gridCol w:w="1267"/>
        <w:gridCol w:w="5387"/>
        <w:gridCol w:w="1559"/>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rPr>
            </w:pPr>
            <w:r>
              <w:rPr>
                <w:i/>
                <w:noProof/>
                <w:sz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Borders>
              <w:bottom w:val="nil"/>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387" w:type="dxa"/>
            <w:tcBorders>
              <w:bottom w:val="nil"/>
            </w:tcBorders>
            <w:shd w:val="clear" w:color="auto" w:fill="D9D9D9"/>
            <w:vAlign w:val="center"/>
          </w:tcPr>
          <w:p>
            <w:pPr>
              <w:widowControl w:val="0"/>
              <w:spacing w:before="15" w:after="15"/>
              <w:jc w:val="center"/>
              <w:rPr>
                <w:b/>
                <w:noProof/>
                <w:sz w:val="20"/>
                <w:szCs w:val="20"/>
              </w:rPr>
            </w:pPr>
            <w:r>
              <w:rPr>
                <w:b/>
                <w:noProof/>
                <w:sz w:val="20"/>
              </w:rPr>
              <w:t>Наименование</w:t>
            </w:r>
          </w:p>
        </w:tc>
        <w:tc>
          <w:tcPr>
            <w:tcW w:w="1559" w:type="dxa"/>
            <w:tcBorders>
              <w:bottom w:val="nil"/>
            </w:tcBorders>
            <w:shd w:val="clear" w:color="auto" w:fill="D9D9D9"/>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bottom w:val="nil"/>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06 02 01 03</w:t>
            </w:r>
          </w:p>
        </w:tc>
        <w:tc>
          <w:tcPr>
            <w:tcW w:w="5387" w:type="dxa"/>
          </w:tcPr>
          <w:p>
            <w:pPr>
              <w:widowControl w:val="0"/>
              <w:tabs>
                <w:tab w:val="left" w:pos="1350"/>
              </w:tabs>
              <w:spacing w:before="15" w:after="15"/>
              <w:jc w:val="both"/>
              <w:rPr>
                <w:noProof/>
                <w:sz w:val="16"/>
                <w:szCs w:val="16"/>
              </w:rPr>
            </w:pPr>
            <w:r>
              <w:rPr>
                <w:noProof/>
                <w:sz w:val="16"/>
              </w:rPr>
              <w:t>Оптимизиране на интегрирането и взаимното свързване на видовете транспорт и засилване на оперативната съвместимост</w:t>
            </w:r>
          </w:p>
        </w:tc>
        <w:tc>
          <w:tcPr>
            <w:tcW w:w="1559" w:type="dxa"/>
          </w:tcPr>
          <w:p>
            <w:pPr>
              <w:widowControl w:val="0"/>
              <w:spacing w:before="15" w:after="15"/>
              <w:jc w:val="right"/>
              <w:rPr>
                <w:noProof/>
                <w:sz w:val="20"/>
                <w:szCs w:val="20"/>
              </w:rPr>
            </w:pPr>
            <w:r>
              <w:rPr>
                <w:noProof/>
                <w:sz w:val="20"/>
              </w:rPr>
              <w:t>50 000 000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559" w:type="dxa"/>
            <w:shd w:val="clear" w:color="auto" w:fill="D9D9D9"/>
          </w:tcPr>
          <w:p>
            <w:pPr>
              <w:widowControl w:val="0"/>
              <w:spacing w:before="15" w:after="15"/>
              <w:jc w:val="right"/>
              <w:rPr>
                <w:b/>
                <w:noProof/>
                <w:sz w:val="20"/>
                <w:szCs w:val="20"/>
              </w:rPr>
            </w:pPr>
            <w:r>
              <w:rPr>
                <w:b/>
                <w:noProof/>
                <w:sz w:val="20"/>
              </w:rPr>
              <w:t>50 000 000</w:t>
            </w:r>
          </w:p>
        </w:tc>
        <w:tc>
          <w:tcPr>
            <w:tcW w:w="1701" w:type="dxa"/>
            <w:shd w:val="clear" w:color="auto" w:fill="D9D9D9"/>
          </w:tcPr>
          <w:p>
            <w:pPr>
              <w:widowControl w:val="0"/>
              <w:spacing w:before="15" w:after="15"/>
              <w:jc w:val="right"/>
              <w:rPr>
                <w:b/>
                <w:noProof/>
                <w:sz w:val="20"/>
                <w:szCs w:val="20"/>
              </w:rPr>
            </w:pPr>
            <w:r>
              <w:rPr>
                <w:b/>
                <w:noProof/>
                <w:sz w:val="20"/>
              </w:rPr>
              <w:t>0</w:t>
            </w:r>
          </w:p>
        </w:tc>
      </w:tr>
    </w:tbl>
    <w:p>
      <w:pPr>
        <w:pStyle w:val="ManualHeading2"/>
        <w:numPr>
          <w:ilvl w:val="0"/>
          <w:numId w:val="0"/>
        </w:numPr>
      </w:pPr>
      <w:bookmarkStart w:id="103" w:name="_Toc462933859"/>
      <w:bookmarkStart w:id="104" w:name="_Toc462935220"/>
      <w:bookmarkStart w:id="105" w:name="_Toc462935322"/>
      <w:bookmarkStart w:id="106" w:name="_Toc462935370"/>
      <w:bookmarkStart w:id="107" w:name="_Toc462935527"/>
      <w:bookmarkStart w:id="108" w:name="_Toc463004747"/>
      <w:bookmarkStart w:id="109" w:name="_Toc464138544"/>
      <w:bookmarkStart w:id="110" w:name="_Toc465250564"/>
      <w:bookmarkEnd w:id="103"/>
      <w:bookmarkEnd w:id="104"/>
      <w:bookmarkEnd w:id="105"/>
      <w:bookmarkEnd w:id="106"/>
      <w:bookmarkEnd w:id="107"/>
      <w:bookmarkEnd w:id="108"/>
      <w:r>
        <w:t xml:space="preserve">3.4 </w:t>
      </w:r>
      <w:r>
        <w:tab/>
        <w:t>Образование, обучение и спорт („Еразъм +“)</w:t>
      </w:r>
      <w:bookmarkEnd w:id="109"/>
      <w:bookmarkEnd w:id="110"/>
    </w:p>
    <w:p>
      <w:pPr>
        <w:spacing w:before="120" w:after="120"/>
        <w:jc w:val="both"/>
        <w:rPr>
          <w:noProof/>
          <w:szCs w:val="20"/>
        </w:rPr>
      </w:pPr>
      <w:r>
        <w:rPr>
          <w:noProof/>
        </w:rPr>
        <w:t>Въз основа на големия интерес към дейностите по „Еразъм+“ през предходни години и предвид сериозното усвояване по текущата финансова рамка, както и с оглед на обявения нов Европейски корпус за солидарност, Комисията предложи бюджетът за тази програма да се увеличи с 200 млн. евро за периода 2017—2020 г. От тази сума още през 2017 г. са предвидени 50 млн. евро за дейности за повишаване на възможностите за мобилност с цел образование и обучение (включително чиракуването), за дейности, при които се наблюдава значително по-голям интерес от възможностите (като инициативи, свързани със социалното приобщаване и борбата с екстремизма), както и за обявени нови дейности.</w:t>
      </w:r>
    </w:p>
    <w:p>
      <w:pPr>
        <w:spacing w:before="120" w:after="120"/>
        <w:jc w:val="both"/>
        <w:rPr>
          <w:noProof/>
          <w:szCs w:val="20"/>
        </w:rPr>
      </w:pPr>
      <w:r>
        <w:rPr>
          <w:noProof/>
        </w:rPr>
        <w:t>Що се отнася до бюджетните кредити за плащания, Комисията ще покрие всички нужди, възникнали в резултат на тези допълнителни поети задължения, от сумите, които вече са включени в ПБ за 2017 г.</w:t>
      </w:r>
    </w:p>
    <w:tbl>
      <w:tblPr>
        <w:tblW w:w="9952" w:type="dxa"/>
        <w:jc w:val="center"/>
        <w:tblLayout w:type="fixed"/>
        <w:tblCellMar>
          <w:left w:w="40" w:type="dxa"/>
          <w:right w:w="40" w:type="dxa"/>
        </w:tblCellMar>
        <w:tblLook w:val="0000" w:firstRow="0" w:lastRow="0" w:firstColumn="0" w:lastColumn="0" w:noHBand="0" w:noVBand="0"/>
      </w:tblPr>
      <w:tblGrid>
        <w:gridCol w:w="9"/>
        <w:gridCol w:w="1267"/>
        <w:gridCol w:w="5387"/>
        <w:gridCol w:w="1559"/>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rPr>
            </w:pPr>
            <w:r>
              <w:rPr>
                <w:i/>
                <w:noProof/>
                <w:sz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shd w:val="clear" w:color="auto" w:fill="D9D9D9"/>
            <w:vAlign w:val="center"/>
          </w:tcPr>
          <w:p>
            <w:pPr>
              <w:widowControl w:val="0"/>
              <w:spacing w:before="15" w:after="15"/>
              <w:jc w:val="center"/>
              <w:rPr>
                <w:b/>
                <w:noProof/>
                <w:sz w:val="20"/>
                <w:szCs w:val="20"/>
              </w:rPr>
            </w:pPr>
            <w:r>
              <w:rPr>
                <w:b/>
                <w:noProof/>
                <w:sz w:val="20"/>
              </w:rPr>
              <w:t>Бюджетен ред</w:t>
            </w:r>
          </w:p>
        </w:tc>
        <w:tc>
          <w:tcPr>
            <w:tcW w:w="5387"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559" w:type="dxa"/>
            <w:shd w:val="clear" w:color="auto" w:fill="D9D9D9"/>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15 02 01 01</w:t>
            </w:r>
          </w:p>
        </w:tc>
        <w:tc>
          <w:tcPr>
            <w:tcW w:w="5387" w:type="dxa"/>
          </w:tcPr>
          <w:p>
            <w:pPr>
              <w:widowControl w:val="0"/>
              <w:tabs>
                <w:tab w:val="left" w:pos="1350"/>
              </w:tabs>
              <w:spacing w:before="15" w:after="15"/>
              <w:jc w:val="both"/>
              <w:rPr>
                <w:noProof/>
                <w:sz w:val="16"/>
                <w:szCs w:val="16"/>
              </w:rPr>
            </w:pPr>
            <w:r>
              <w:rPr>
                <w:noProof/>
                <w:sz w:val="16"/>
              </w:rPr>
              <w:t>Насърчаване на високите постижения и сътрудничеството в областта на европейското образование и обучение и тяхното значение за пазара на труда</w:t>
            </w:r>
          </w:p>
        </w:tc>
        <w:tc>
          <w:tcPr>
            <w:tcW w:w="1559" w:type="dxa"/>
          </w:tcPr>
          <w:p>
            <w:pPr>
              <w:widowControl w:val="0"/>
              <w:spacing w:before="15" w:after="15"/>
              <w:jc w:val="right"/>
              <w:rPr>
                <w:noProof/>
                <w:sz w:val="20"/>
                <w:szCs w:val="20"/>
              </w:rPr>
            </w:pPr>
            <w:r>
              <w:rPr>
                <w:noProof/>
                <w:sz w:val="20"/>
              </w:rPr>
              <w:t>23 500 000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15 02 01 02</w:t>
            </w:r>
          </w:p>
        </w:tc>
        <w:tc>
          <w:tcPr>
            <w:tcW w:w="5387" w:type="dxa"/>
          </w:tcPr>
          <w:p>
            <w:pPr>
              <w:widowControl w:val="0"/>
              <w:tabs>
                <w:tab w:val="left" w:pos="1350"/>
              </w:tabs>
              <w:spacing w:before="15" w:after="15"/>
              <w:jc w:val="both"/>
              <w:rPr>
                <w:noProof/>
                <w:sz w:val="16"/>
                <w:szCs w:val="16"/>
              </w:rPr>
            </w:pPr>
            <w:r>
              <w:rPr>
                <w:noProof/>
                <w:sz w:val="16"/>
              </w:rPr>
              <w:t>Насърчаване на високите постижения и сътрудничеството в областта на европейската младеж и участието на младите хора в европейския демократичен живот</w:t>
            </w:r>
          </w:p>
        </w:tc>
        <w:tc>
          <w:tcPr>
            <w:tcW w:w="1559" w:type="dxa"/>
          </w:tcPr>
          <w:p>
            <w:pPr>
              <w:widowControl w:val="0"/>
              <w:spacing w:before="15" w:after="15"/>
              <w:jc w:val="right"/>
              <w:rPr>
                <w:noProof/>
                <w:sz w:val="20"/>
                <w:szCs w:val="20"/>
              </w:rPr>
            </w:pPr>
            <w:r>
              <w:rPr>
                <w:noProof/>
                <w:sz w:val="20"/>
              </w:rPr>
              <w:t>26 500 000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559" w:type="dxa"/>
            <w:shd w:val="clear" w:color="auto" w:fill="D9D9D9"/>
          </w:tcPr>
          <w:p>
            <w:pPr>
              <w:widowControl w:val="0"/>
              <w:spacing w:before="15" w:after="15"/>
              <w:jc w:val="right"/>
              <w:rPr>
                <w:b/>
                <w:noProof/>
                <w:sz w:val="20"/>
                <w:szCs w:val="20"/>
              </w:rPr>
            </w:pPr>
            <w:r>
              <w:rPr>
                <w:b/>
                <w:noProof/>
                <w:sz w:val="20"/>
              </w:rPr>
              <w:t>50 000 000</w:t>
            </w:r>
          </w:p>
        </w:tc>
        <w:tc>
          <w:tcPr>
            <w:tcW w:w="1701" w:type="dxa"/>
            <w:shd w:val="clear" w:color="auto" w:fill="D9D9D9"/>
          </w:tcPr>
          <w:p>
            <w:pPr>
              <w:widowControl w:val="0"/>
              <w:spacing w:before="15" w:after="15"/>
              <w:jc w:val="right"/>
              <w:rPr>
                <w:b/>
                <w:noProof/>
                <w:sz w:val="20"/>
                <w:szCs w:val="20"/>
              </w:rPr>
            </w:pPr>
            <w:r>
              <w:rPr>
                <w:b/>
                <w:noProof/>
                <w:sz w:val="20"/>
              </w:rPr>
              <w:t>0</w:t>
            </w:r>
          </w:p>
        </w:tc>
      </w:tr>
    </w:tbl>
    <w:p>
      <w:pPr>
        <w:pStyle w:val="ManualHeading2"/>
        <w:numPr>
          <w:ilvl w:val="0"/>
          <w:numId w:val="0"/>
        </w:numPr>
        <w:tabs>
          <w:tab w:val="left" w:pos="851"/>
        </w:tabs>
      </w:pPr>
      <w:bookmarkStart w:id="111" w:name="_Toc464138545"/>
      <w:bookmarkStart w:id="112" w:name="_Toc465250565"/>
      <w:r>
        <w:t xml:space="preserve">3.5 </w:t>
      </w:r>
      <w:r>
        <w:tab/>
        <w:t>WiFi4EU</w:t>
      </w:r>
      <w:bookmarkEnd w:id="111"/>
      <w:bookmarkEnd w:id="112"/>
    </w:p>
    <w:p>
      <w:pPr>
        <w:spacing w:before="120" w:after="120"/>
        <w:jc w:val="both"/>
        <w:rPr>
          <w:noProof/>
          <w:szCs w:val="20"/>
        </w:rPr>
      </w:pPr>
      <w:r>
        <w:rPr>
          <w:noProof/>
        </w:rPr>
        <w:t>Предложението WiFi4EU се основава на желанието на Комисията да насърчава безплатната Wi-Fi свързаност за гражданите и посетителите на обществени места като паркове, площади, обществени сгради, библиотеки, здравни заведения и музеи навсякъде в Европа. Предложеният първоначален бюджет за схемата е 120 млн. евро за периода 2017—2019 г. С него ще се подпомага инсталирането на най-съвременно оборудване като Wi-Fi антени в центровете, където протича животът на общността. Нужно е създаването на специален бюджетен ред, считано от 2017 г., за да започнат новите действия по предложението WiFi4EU. Както е посочено във финансовата обосновка, придружаваща предложението, през първата година на новата дейност са необходими 20 млн. евро за покриване на оперативните разходи, административното подпомагане в рамките на Комисията и управлението на новите дейности от Изпълнителната агенция за иновации и мрежи (INEA). Съответните бюджетни кредити за поети задължения и плащания обаче ще бъдат напълно покрити чрез преразпределение от други бюджетни редове на програма МСЕ — телекомуникации, затова ефектът върху бюджета е неутрален.</w:t>
      </w:r>
    </w:p>
    <w:tbl>
      <w:tblPr>
        <w:tblW w:w="9952" w:type="dxa"/>
        <w:jc w:val="center"/>
        <w:tblLayout w:type="fixed"/>
        <w:tblCellMar>
          <w:left w:w="40" w:type="dxa"/>
          <w:right w:w="40" w:type="dxa"/>
        </w:tblCellMar>
        <w:tblLook w:val="0000" w:firstRow="0" w:lastRow="0" w:firstColumn="0" w:lastColumn="0" w:noHBand="0" w:noVBand="0"/>
      </w:tblPr>
      <w:tblGrid>
        <w:gridCol w:w="9"/>
        <w:gridCol w:w="1267"/>
        <w:gridCol w:w="5387"/>
        <w:gridCol w:w="1559"/>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rPr>
            </w:pPr>
            <w:r>
              <w:rPr>
                <w:noProof/>
              </w:rPr>
              <w:br w:type="page"/>
            </w:r>
            <w:r>
              <w:rPr>
                <w:i/>
                <w:noProof/>
                <w:sz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shd w:val="clear" w:color="auto" w:fill="D9D9D9"/>
            <w:vAlign w:val="center"/>
          </w:tcPr>
          <w:p>
            <w:pPr>
              <w:widowControl w:val="0"/>
              <w:spacing w:before="15" w:after="15"/>
              <w:jc w:val="center"/>
              <w:rPr>
                <w:b/>
                <w:noProof/>
                <w:sz w:val="20"/>
                <w:szCs w:val="20"/>
              </w:rPr>
            </w:pPr>
            <w:r>
              <w:rPr>
                <w:b/>
                <w:noProof/>
                <w:sz w:val="20"/>
              </w:rPr>
              <w:t>Бюджетен ред</w:t>
            </w:r>
          </w:p>
        </w:tc>
        <w:tc>
          <w:tcPr>
            <w:tcW w:w="5387"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559" w:type="dxa"/>
            <w:shd w:val="clear" w:color="auto" w:fill="D9D9D9"/>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09 03 04</w:t>
            </w:r>
          </w:p>
        </w:tc>
        <w:tc>
          <w:tcPr>
            <w:tcW w:w="5387" w:type="dxa"/>
          </w:tcPr>
          <w:p>
            <w:pPr>
              <w:widowControl w:val="0"/>
              <w:tabs>
                <w:tab w:val="left" w:pos="1350"/>
              </w:tabs>
              <w:spacing w:before="15" w:after="15"/>
              <w:jc w:val="both"/>
              <w:rPr>
                <w:noProof/>
                <w:sz w:val="16"/>
                <w:szCs w:val="16"/>
              </w:rPr>
            </w:pPr>
            <w:r>
              <w:rPr>
                <w:noProof/>
                <w:sz w:val="16"/>
              </w:rPr>
              <w:t xml:space="preserve">WiFi4EU — подкрепа за изграждането на безплатна местна безжична връзка </w:t>
            </w:r>
          </w:p>
        </w:tc>
        <w:tc>
          <w:tcPr>
            <w:tcW w:w="1559" w:type="dxa"/>
          </w:tcPr>
          <w:p>
            <w:pPr>
              <w:widowControl w:val="0"/>
              <w:spacing w:before="15" w:after="15"/>
              <w:jc w:val="right"/>
              <w:rPr>
                <w:noProof/>
                <w:sz w:val="20"/>
                <w:szCs w:val="20"/>
              </w:rPr>
            </w:pPr>
            <w:r>
              <w:rPr>
                <w:noProof/>
                <w:sz w:val="20"/>
              </w:rPr>
              <w:t>19 330 000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06 01 06 01</w:t>
            </w:r>
          </w:p>
        </w:tc>
        <w:tc>
          <w:tcPr>
            <w:tcW w:w="5387" w:type="dxa"/>
          </w:tcPr>
          <w:p>
            <w:pPr>
              <w:widowControl w:val="0"/>
              <w:tabs>
                <w:tab w:val="left" w:pos="1350"/>
              </w:tabs>
              <w:spacing w:before="15" w:after="15"/>
              <w:jc w:val="both"/>
              <w:rPr>
                <w:noProof/>
                <w:sz w:val="16"/>
                <w:szCs w:val="16"/>
              </w:rPr>
            </w:pPr>
            <w:r>
              <w:rPr>
                <w:noProof/>
                <w:sz w:val="16"/>
              </w:rPr>
              <w:t xml:space="preserve">Изпълнителна агенция за иновации и мрежи </w:t>
            </w:r>
            <w:r>
              <w:rPr>
                <w:noProof/>
                <w:sz w:val="16"/>
                <w:szCs w:val="16"/>
              </w:rPr>
              <w:sym w:font="Symbol" w:char="F0BE"/>
            </w:r>
            <w:r>
              <w:rPr>
                <w:noProof/>
                <w:sz w:val="16"/>
              </w:rPr>
              <w:t xml:space="preserve"> вноска от МСЕ</w:t>
            </w:r>
          </w:p>
        </w:tc>
        <w:tc>
          <w:tcPr>
            <w:tcW w:w="1559" w:type="dxa"/>
          </w:tcPr>
          <w:p>
            <w:pPr>
              <w:widowControl w:val="0"/>
              <w:spacing w:before="15" w:after="15"/>
              <w:jc w:val="right"/>
              <w:rPr>
                <w:noProof/>
                <w:sz w:val="20"/>
                <w:szCs w:val="20"/>
              </w:rPr>
            </w:pPr>
            <w:r>
              <w:rPr>
                <w:noProof/>
                <w:sz w:val="20"/>
              </w:rPr>
              <w:t>580 000</w:t>
            </w:r>
          </w:p>
        </w:tc>
        <w:tc>
          <w:tcPr>
            <w:tcW w:w="1701" w:type="dxa"/>
          </w:tcPr>
          <w:p>
            <w:pPr>
              <w:widowControl w:val="0"/>
              <w:spacing w:before="15" w:after="15"/>
              <w:jc w:val="right"/>
              <w:rPr>
                <w:noProof/>
                <w:sz w:val="20"/>
                <w:szCs w:val="20"/>
              </w:rPr>
            </w:pPr>
            <w:r>
              <w:rPr>
                <w:noProof/>
                <w:sz w:val="20"/>
              </w:rPr>
              <w:t>580 000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09 01 04 01</w:t>
            </w:r>
          </w:p>
        </w:tc>
        <w:tc>
          <w:tcPr>
            <w:tcW w:w="5387" w:type="dxa"/>
          </w:tcPr>
          <w:p>
            <w:pPr>
              <w:widowControl w:val="0"/>
              <w:tabs>
                <w:tab w:val="left" w:pos="1350"/>
              </w:tabs>
              <w:spacing w:before="15" w:after="15"/>
              <w:jc w:val="both"/>
              <w:rPr>
                <w:noProof/>
                <w:sz w:val="16"/>
                <w:szCs w:val="16"/>
              </w:rPr>
            </w:pPr>
            <w:r>
              <w:rPr>
                <w:noProof/>
                <w:sz w:val="16"/>
              </w:rPr>
              <w:t>Разходи за подкрепа на Механизма за свързване на Европа (МСЕ)</w:t>
            </w:r>
          </w:p>
        </w:tc>
        <w:tc>
          <w:tcPr>
            <w:tcW w:w="1559" w:type="dxa"/>
          </w:tcPr>
          <w:p>
            <w:pPr>
              <w:widowControl w:val="0"/>
              <w:spacing w:before="15" w:after="15"/>
              <w:jc w:val="right"/>
              <w:rPr>
                <w:noProof/>
                <w:sz w:val="20"/>
                <w:szCs w:val="20"/>
              </w:rPr>
            </w:pPr>
            <w:r>
              <w:rPr>
                <w:noProof/>
                <w:sz w:val="20"/>
              </w:rPr>
              <w:t>90 000</w:t>
            </w:r>
          </w:p>
        </w:tc>
        <w:tc>
          <w:tcPr>
            <w:tcW w:w="1701" w:type="dxa"/>
          </w:tcPr>
          <w:p>
            <w:pPr>
              <w:widowControl w:val="0"/>
              <w:spacing w:before="15" w:after="15"/>
              <w:jc w:val="right"/>
              <w:rPr>
                <w:noProof/>
                <w:sz w:val="20"/>
                <w:szCs w:val="20"/>
              </w:rPr>
            </w:pPr>
            <w:r>
              <w:rPr>
                <w:noProof/>
                <w:sz w:val="20"/>
              </w:rPr>
              <w:t>90 000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09 03 02</w:t>
            </w:r>
          </w:p>
        </w:tc>
        <w:tc>
          <w:tcPr>
            <w:tcW w:w="5387" w:type="dxa"/>
          </w:tcPr>
          <w:p>
            <w:pPr>
              <w:widowControl w:val="0"/>
              <w:tabs>
                <w:tab w:val="left" w:pos="1350"/>
              </w:tabs>
              <w:spacing w:before="15" w:after="15"/>
              <w:jc w:val="both"/>
              <w:rPr>
                <w:noProof/>
                <w:sz w:val="16"/>
                <w:szCs w:val="16"/>
              </w:rPr>
            </w:pPr>
            <w:r>
              <w:rPr>
                <w:noProof/>
                <w:sz w:val="16"/>
              </w:rPr>
              <w:t>Създаване на по-благоприятна среда за частни инвестиции в проекти за телекомуникационна инфраструктура — мрежи за широколентов достъп в рамките на МСЕ</w:t>
            </w:r>
          </w:p>
        </w:tc>
        <w:tc>
          <w:tcPr>
            <w:tcW w:w="1559" w:type="dxa"/>
          </w:tcPr>
          <w:p>
            <w:pPr>
              <w:widowControl w:val="0"/>
              <w:spacing w:before="15" w:after="15"/>
              <w:jc w:val="right"/>
              <w:rPr>
                <w:noProof/>
                <w:sz w:val="20"/>
                <w:szCs w:val="20"/>
              </w:rPr>
            </w:pPr>
            <w:r>
              <w:rPr>
                <w:noProof/>
                <w:sz w:val="20"/>
              </w:rPr>
              <w:t>-19 422 150</w:t>
            </w:r>
          </w:p>
        </w:tc>
        <w:tc>
          <w:tcPr>
            <w:tcW w:w="1701" w:type="dxa"/>
          </w:tcPr>
          <w:p>
            <w:pPr>
              <w:widowControl w:val="0"/>
              <w:spacing w:before="15" w:after="15"/>
              <w:jc w:val="right"/>
              <w:rPr>
                <w:noProof/>
                <w:sz w:val="20"/>
                <w:szCs w:val="20"/>
              </w:rPr>
            </w:pPr>
            <w:r>
              <w:rPr>
                <w:noProof/>
                <w:sz w:val="20"/>
              </w:rPr>
              <w:t>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1276" w:type="dxa"/>
            <w:gridSpan w:val="2"/>
          </w:tcPr>
          <w:p>
            <w:pPr>
              <w:widowControl w:val="0"/>
              <w:spacing w:before="15" w:after="15"/>
              <w:ind w:right="-113"/>
              <w:jc w:val="both"/>
              <w:rPr>
                <w:noProof/>
                <w:sz w:val="20"/>
                <w:szCs w:val="20"/>
              </w:rPr>
            </w:pPr>
            <w:r>
              <w:rPr>
                <w:noProof/>
                <w:sz w:val="20"/>
              </w:rPr>
              <w:t>09 03 03</w:t>
            </w:r>
          </w:p>
        </w:tc>
        <w:tc>
          <w:tcPr>
            <w:tcW w:w="5387" w:type="dxa"/>
          </w:tcPr>
          <w:p>
            <w:pPr>
              <w:widowControl w:val="0"/>
              <w:tabs>
                <w:tab w:val="left" w:pos="1350"/>
              </w:tabs>
              <w:spacing w:before="15" w:after="15"/>
              <w:jc w:val="both"/>
              <w:rPr>
                <w:noProof/>
                <w:sz w:val="16"/>
                <w:szCs w:val="16"/>
              </w:rPr>
            </w:pPr>
            <w:r>
              <w:rPr>
                <w:noProof/>
                <w:sz w:val="16"/>
              </w:rPr>
              <w:t>Насърчаване на оперативната съвместимост, устойчивото внедряване, експлоатацията и модернизирането на трансевропейските инфраструктури за цифрови услуги, както и на координацията на европейско равнище</w:t>
            </w:r>
          </w:p>
        </w:tc>
        <w:tc>
          <w:tcPr>
            <w:tcW w:w="1559" w:type="dxa"/>
          </w:tcPr>
          <w:p>
            <w:pPr>
              <w:widowControl w:val="0"/>
              <w:spacing w:before="15" w:after="15"/>
              <w:jc w:val="right"/>
              <w:rPr>
                <w:noProof/>
                <w:sz w:val="20"/>
                <w:szCs w:val="20"/>
              </w:rPr>
            </w:pPr>
            <w:r>
              <w:rPr>
                <w:noProof/>
                <w:sz w:val="20"/>
              </w:rPr>
              <w:t>-577 850</w:t>
            </w:r>
          </w:p>
        </w:tc>
        <w:tc>
          <w:tcPr>
            <w:tcW w:w="1701" w:type="dxa"/>
          </w:tcPr>
          <w:p>
            <w:pPr>
              <w:widowControl w:val="0"/>
              <w:spacing w:before="15" w:after="15"/>
              <w:jc w:val="right"/>
              <w:rPr>
                <w:noProof/>
                <w:sz w:val="20"/>
                <w:szCs w:val="20"/>
              </w:rPr>
            </w:pPr>
            <w:r>
              <w:rPr>
                <w:noProof/>
                <w:sz w:val="20"/>
              </w:rPr>
              <w:t>-670 000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559" w:type="dxa"/>
            <w:shd w:val="clear" w:color="auto" w:fill="D9D9D9"/>
          </w:tcPr>
          <w:p>
            <w:pPr>
              <w:widowControl w:val="0"/>
              <w:spacing w:before="15" w:after="15"/>
              <w:jc w:val="right"/>
              <w:rPr>
                <w:b/>
                <w:noProof/>
                <w:sz w:val="20"/>
                <w:szCs w:val="20"/>
              </w:rPr>
            </w:pPr>
            <w:r>
              <w:rPr>
                <w:b/>
                <w:noProof/>
                <w:sz w:val="20"/>
              </w:rPr>
              <w:t>0</w:t>
            </w:r>
          </w:p>
        </w:tc>
        <w:tc>
          <w:tcPr>
            <w:tcW w:w="1701" w:type="dxa"/>
            <w:shd w:val="clear" w:color="auto" w:fill="D9D9D9"/>
          </w:tcPr>
          <w:p>
            <w:pPr>
              <w:widowControl w:val="0"/>
              <w:spacing w:before="15" w:after="15"/>
              <w:jc w:val="right"/>
              <w:rPr>
                <w:b/>
                <w:noProof/>
                <w:sz w:val="20"/>
                <w:szCs w:val="20"/>
              </w:rPr>
            </w:pPr>
            <w:r>
              <w:rPr>
                <w:b/>
                <w:noProof/>
                <w:sz w:val="20"/>
              </w:rPr>
              <w:t>0</w:t>
            </w:r>
          </w:p>
        </w:tc>
      </w:tr>
    </w:tbl>
    <w:p>
      <w:pPr>
        <w:pStyle w:val="ManualHeading2"/>
        <w:numPr>
          <w:ilvl w:val="0"/>
          <w:numId w:val="0"/>
        </w:numPr>
      </w:pPr>
      <w:bookmarkStart w:id="113" w:name="_Toc464138546"/>
      <w:bookmarkStart w:id="114" w:name="_Toc465250566"/>
      <w:r>
        <w:t xml:space="preserve">3.6 </w:t>
      </w:r>
      <w:r>
        <w:tab/>
        <w:t>Използване на общия марж за поетите задължения по функция 1а</w:t>
      </w:r>
      <w:bookmarkEnd w:id="113"/>
      <w:bookmarkEnd w:id="114"/>
    </w:p>
    <w:p>
      <w:pPr>
        <w:spacing w:before="120" w:after="120"/>
        <w:jc w:val="both"/>
        <w:rPr>
          <w:b/>
          <w:smallCaps/>
          <w:noProof/>
        </w:rPr>
      </w:pPr>
      <w:r>
        <w:rPr>
          <w:noProof/>
        </w:rPr>
        <w:t>Както вече беше посочено, през 2017 г. в общия марж за поетите задължения (ОМПЗ) остават 174,1 млн. евро след използването на 1 265 млн. евро за финансирането на ЕФСИ. Затова Комисията предлага да финансира предложените увеличения за COSME, МСЕ — транспорт, „Еразъм+“ и „Хоризонт 2020“ от неизползваната част на ОМПЗ и от неразпределения марж по функция 1а.</w:t>
      </w:r>
      <w:bookmarkStart w:id="115" w:name="_Toc463264178"/>
    </w:p>
    <w:p>
      <w:pPr>
        <w:pStyle w:val="ManualHeading1"/>
        <w:spacing w:before="240"/>
        <w:rPr>
          <w:noProof/>
        </w:rPr>
      </w:pPr>
      <w:bookmarkStart w:id="116" w:name="_Toc462935530"/>
      <w:bookmarkStart w:id="117" w:name="_Toc463004750"/>
      <w:bookmarkStart w:id="118" w:name="_Toc463974168"/>
      <w:bookmarkStart w:id="119" w:name="_Toc464028213"/>
      <w:bookmarkStart w:id="120" w:name="_Toc464028345"/>
      <w:bookmarkStart w:id="121" w:name="_Toc464138547"/>
      <w:bookmarkStart w:id="122" w:name="_Toc465250567"/>
      <w:bookmarkEnd w:id="98"/>
      <w:bookmarkEnd w:id="115"/>
      <w:bookmarkEnd w:id="116"/>
      <w:bookmarkEnd w:id="117"/>
      <w:bookmarkEnd w:id="118"/>
      <w:bookmarkEnd w:id="119"/>
      <w:bookmarkEnd w:id="120"/>
      <w:r>
        <w:rPr>
          <w:noProof/>
        </w:rPr>
        <w:t>4.</w:t>
      </w:r>
      <w:r>
        <w:rPr>
          <w:noProof/>
        </w:rPr>
        <w:tab/>
        <w:t>Рамка за партньорство по програмата за миграцията, Плана за външни инвестиции и сигурността</w:t>
      </w:r>
      <w:bookmarkEnd w:id="121"/>
      <w:bookmarkEnd w:id="122"/>
    </w:p>
    <w:p>
      <w:pPr>
        <w:pStyle w:val="ManualHeading2"/>
        <w:numPr>
          <w:ilvl w:val="0"/>
          <w:numId w:val="0"/>
        </w:numPr>
        <w:tabs>
          <w:tab w:val="left" w:pos="851"/>
        </w:tabs>
      </w:pPr>
      <w:bookmarkStart w:id="123" w:name="_Toc464138548"/>
      <w:bookmarkStart w:id="124" w:name="_Toc465250568"/>
      <w:r>
        <w:t xml:space="preserve">4.1 </w:t>
      </w:r>
      <w:r>
        <w:tab/>
        <w:t>Бързо стартиране на новия процес, свързан с рамката за партньорство с приоритетни партньори</w:t>
      </w:r>
      <w:bookmarkEnd w:id="123"/>
      <w:bookmarkEnd w:id="124"/>
    </w:p>
    <w:p>
      <w:pPr>
        <w:autoSpaceDE w:val="0"/>
        <w:autoSpaceDN w:val="0"/>
        <w:adjustRightInd w:val="0"/>
        <w:spacing w:before="120" w:after="120"/>
        <w:jc w:val="both"/>
        <w:rPr>
          <w:noProof/>
          <w:color w:val="000000"/>
        </w:rPr>
      </w:pPr>
      <w:r>
        <w:rPr>
          <w:noProof/>
          <w:color w:val="000000"/>
        </w:rPr>
        <w:t xml:space="preserve">На 7 юни 2016 г. Комисията представи Съобщение </w:t>
      </w:r>
      <w:r>
        <w:rPr>
          <w:i/>
          <w:noProof/>
          <w:color w:val="000000"/>
        </w:rPr>
        <w:t>относно създаването на нова рамка за партньорство с трети държави в рамките на европейската програма за миграцията</w:t>
      </w:r>
      <w:r>
        <w:rPr>
          <w:noProof/>
          <w:color w:val="000000"/>
          <w:vertAlign w:val="superscript"/>
        </w:rPr>
        <w:footnoteReference w:id="16"/>
      </w:r>
      <w:r>
        <w:rPr>
          <w:noProof/>
          <w:color w:val="000000"/>
        </w:rPr>
        <w:t>, което се основава на плана за действие от Ла Валета</w:t>
      </w:r>
      <w:r>
        <w:rPr>
          <w:noProof/>
          <w:color w:val="000000"/>
          <w:vertAlign w:val="superscript"/>
        </w:rPr>
        <w:footnoteReference w:id="17"/>
      </w:r>
      <w:r>
        <w:rPr>
          <w:noProof/>
          <w:color w:val="000000"/>
        </w:rPr>
        <w:t xml:space="preserve"> и на резултатите от диалозите на високо равнище относно миграцията и </w:t>
      </w:r>
      <w:r>
        <w:rPr>
          <w:i/>
          <w:noProof/>
          <w:color w:val="000000"/>
        </w:rPr>
        <w:t>пактовете</w:t>
      </w:r>
      <w:r>
        <w:rPr>
          <w:i/>
          <w:noProof/>
          <w:color w:val="000000"/>
          <w:vertAlign w:val="superscript"/>
        </w:rPr>
        <w:footnoteReference w:id="18"/>
      </w:r>
      <w:r>
        <w:rPr>
          <w:noProof/>
          <w:color w:val="000000"/>
        </w:rPr>
        <w:t xml:space="preserve"> с редица приоритетни партньори, за което ще е необходимо допълнително финансиране. С пактовете се прави опит да се представи един координиран, систематичен и структуриран подход за постигане на максимална синергия и ефект на ливъридж на вътрешните и външните политики на Съюза, като се отразяват интересите както на ЕС, така и на партньорските държави. Когато всеки от пакетите по държави бъде приведен в действие, с тези пактове, адаптирани към съответната приоритетна държава, ще бъдат надграждани също така специалните отношения, които държавите членки имат с трети държави, отразяващи политически, исторически и културни връзки, подхранвани с контакти от десетилетия. Всички налични инструменти и ресурси за финансиране ще се използват по един по-целенасочен, съгласуван, гъвкав и бърз начин, за да бъдат постигнати краткосрочните цели на пактовете.</w:t>
      </w:r>
    </w:p>
    <w:p>
      <w:pPr>
        <w:spacing w:before="120" w:after="120"/>
        <w:jc w:val="both"/>
        <w:rPr>
          <w:noProof/>
          <w:szCs w:val="20"/>
        </w:rPr>
      </w:pPr>
      <w:r>
        <w:rPr>
          <w:noProof/>
        </w:rPr>
        <w:t>В съответствие със Съобщението от месец юни и с цел да се осигури бързото започване на процеса по сключване на пактовете, особено с приоритетните партньори, Комисията предлага Инструментът за сътрудничество за развитие (ИСР) и Европейският инструмент за съседство (ЕИС) да бъдат увеличени със 750 млн. евро бюджетни кредити за поети задължения и с 210 млн. евро бюджетни кредити за плащания. Въз основа на напредъка по прилагането на пактовете, част от допълнителните средства може да бъдат осигурени от Извънредния доверителен фонд на ЕС за стабилност и преодоляване на първопричините за незаконната миграция и разселването на хора в Африка (Доверителен фонд „Африка“) и Регионалния доверителен фонд на Европейския съюз в отговор на кризата в Сирия (Доверителен фонд „Мадад“) за ползване през 2017 г. и по-нататък.</w:t>
      </w:r>
    </w:p>
    <w:p>
      <w:pPr>
        <w:spacing w:before="120" w:after="120"/>
        <w:jc w:val="both"/>
        <w:rPr>
          <w:i/>
          <w:noProof/>
          <w:szCs w:val="20"/>
        </w:rPr>
      </w:pPr>
      <w:r>
        <w:rPr>
          <w:i/>
          <w:noProof/>
        </w:rPr>
        <w:t>Инструмент за сътрудничество за развитие (ИСР)</w:t>
      </w:r>
    </w:p>
    <w:p>
      <w:pPr>
        <w:spacing w:before="120" w:after="120"/>
        <w:jc w:val="both"/>
        <w:rPr>
          <w:noProof/>
          <w:szCs w:val="20"/>
        </w:rPr>
      </w:pPr>
      <w:r>
        <w:rPr>
          <w:noProof/>
        </w:rPr>
        <w:t>За подпомагане на приоритетните трети държави в Азия и в Африка на юг от Сахара Комисията предлага увеличаване на бюджетна позиция 21 02 07 05 (</w:t>
      </w:r>
      <w:r>
        <w:rPr>
          <w:i/>
          <w:noProof/>
        </w:rPr>
        <w:t>Миграция и убежище</w:t>
      </w:r>
      <w:r>
        <w:rPr>
          <w:noProof/>
        </w:rPr>
        <w:t>) с 400 млн. евро бюджетни кредити за поети задължения и със 120 млн. бюджетни кредити за плащания.</w:t>
      </w:r>
    </w:p>
    <w:p>
      <w:pPr>
        <w:spacing w:before="120" w:after="120"/>
        <w:jc w:val="both"/>
        <w:rPr>
          <w:noProof/>
          <w:szCs w:val="20"/>
        </w:rPr>
      </w:pPr>
      <w:r>
        <w:rPr>
          <w:noProof/>
        </w:rPr>
        <w:t>В отговор на специфичните проблеми в Азия и с цел да се подпомогнат действията за създаване на икономически възможности и работни места, Комисията предлага да се увеличи статия 21 02 02</w:t>
      </w:r>
      <w:r>
        <w:rPr>
          <w:i/>
          <w:noProof/>
        </w:rPr>
        <w:t xml:space="preserve"> (Сътрудничество с Азия)</w:t>
      </w:r>
      <w:r>
        <w:rPr>
          <w:noProof/>
        </w:rPr>
        <w:t xml:space="preserve"> със 100 млн. евро бюджетни кредити за поети задължения и с 30 млн. евро бюджетни кредити за плащания.</w:t>
      </w:r>
    </w:p>
    <w:p>
      <w:pPr>
        <w:spacing w:before="120" w:after="120"/>
        <w:jc w:val="both"/>
        <w:rPr>
          <w:i/>
          <w:noProof/>
          <w:szCs w:val="20"/>
        </w:rPr>
      </w:pPr>
      <w:r>
        <w:rPr>
          <w:i/>
          <w:noProof/>
        </w:rPr>
        <w:t>Европейски инструмент за съседство (ЕИС)</w:t>
      </w:r>
    </w:p>
    <w:p>
      <w:pPr>
        <w:spacing w:before="120" w:after="120"/>
        <w:jc w:val="both"/>
        <w:rPr>
          <w:noProof/>
          <w:szCs w:val="20"/>
        </w:rPr>
      </w:pPr>
      <w:r>
        <w:rPr>
          <w:noProof/>
        </w:rPr>
        <w:t>С цел оказване на помощ при справяне с предизвикателствата, свързани с незаконната миграция и принудителното разселване, в това число чрез подпомагане на изпълнението на бъдещите пактове с държави от южното съседство, по-специално с Ливан и Йордания, с оглед на укрепване на отношенията с Тунис и за да се допринесе за стабилизирането на Либия, се предлага да бъде увеличена бюджетна позиция 22 04 01 03 (</w:t>
      </w:r>
      <w:r>
        <w:rPr>
          <w:i/>
          <w:noProof/>
        </w:rPr>
        <w:t>Средиземноморски държави — укрепване на доверието, сигурност, предотвратяване и уреждане на конфликти</w:t>
      </w:r>
      <w:r>
        <w:rPr>
          <w:noProof/>
        </w:rPr>
        <w:t>)</w:t>
      </w:r>
      <w:r>
        <w:rPr>
          <w:i/>
          <w:noProof/>
        </w:rPr>
        <w:t xml:space="preserve"> </w:t>
      </w:r>
      <w:r>
        <w:rPr>
          <w:noProof/>
        </w:rPr>
        <w:t>с 250 млн. евро бюджетни кредити за поети задължения и 60 млн. евро бюджетни кредити за плащания.</w:t>
      </w:r>
    </w:p>
    <w:tbl>
      <w:tblPr>
        <w:tblW w:w="9952" w:type="dxa"/>
        <w:jc w:val="center"/>
        <w:tblLayout w:type="fixed"/>
        <w:tblCellMar>
          <w:left w:w="40" w:type="dxa"/>
          <w:right w:w="40" w:type="dxa"/>
        </w:tblCellMar>
        <w:tblLook w:val="0000" w:firstRow="0" w:lastRow="0" w:firstColumn="0" w:lastColumn="0" w:noHBand="0" w:noVBand="0"/>
      </w:tblPr>
      <w:tblGrid>
        <w:gridCol w:w="69"/>
        <w:gridCol w:w="1202"/>
        <w:gridCol w:w="5353"/>
        <w:gridCol w:w="1550"/>
        <w:gridCol w:w="1691"/>
        <w:gridCol w:w="87"/>
      </w:tblGrid>
      <w:tr>
        <w:trPr>
          <w:gridBefore w:val="1"/>
          <w:wBefore w:w="68" w:type="dxa"/>
          <w:trHeight w:val="164"/>
          <w:tblHeader/>
          <w:jc w:val="center"/>
        </w:trPr>
        <w:tc>
          <w:tcPr>
            <w:tcW w:w="9943" w:type="dxa"/>
            <w:gridSpan w:val="5"/>
            <w:shd w:val="clear" w:color="auto" w:fill="FFFFFF"/>
            <w:vAlign w:val="center"/>
          </w:tcPr>
          <w:p>
            <w:pPr>
              <w:jc w:val="right"/>
              <w:rPr>
                <w:noProof/>
                <w:sz w:val="16"/>
                <w:szCs w:val="16"/>
              </w:rPr>
            </w:pPr>
            <w:r>
              <w:rPr>
                <w:i/>
                <w:noProof/>
                <w:sz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shd w:val="clear" w:color="auto" w:fill="D9D9D9"/>
            <w:vAlign w:val="center"/>
          </w:tcPr>
          <w:p>
            <w:pPr>
              <w:widowControl w:val="0"/>
              <w:spacing w:before="15" w:after="15"/>
              <w:jc w:val="center"/>
              <w:rPr>
                <w:b/>
                <w:noProof/>
                <w:sz w:val="20"/>
                <w:szCs w:val="20"/>
              </w:rPr>
            </w:pPr>
            <w:r>
              <w:rPr>
                <w:b/>
                <w:noProof/>
                <w:sz w:val="20"/>
              </w:rPr>
              <w:t>Бюджетен ред</w:t>
            </w:r>
          </w:p>
        </w:tc>
        <w:tc>
          <w:tcPr>
            <w:tcW w:w="5387" w:type="dxa"/>
            <w:shd w:val="clear" w:color="auto" w:fill="D9D9D9"/>
            <w:vAlign w:val="center"/>
          </w:tcPr>
          <w:p>
            <w:pPr>
              <w:widowControl w:val="0"/>
              <w:spacing w:before="15" w:after="15"/>
              <w:jc w:val="center"/>
              <w:rPr>
                <w:b/>
                <w:noProof/>
                <w:sz w:val="20"/>
                <w:szCs w:val="20"/>
              </w:rPr>
            </w:pPr>
            <w:r>
              <w:rPr>
                <w:b/>
                <w:noProof/>
                <w:sz w:val="20"/>
              </w:rPr>
              <w:t>Наименование</w:t>
            </w:r>
          </w:p>
        </w:tc>
        <w:tc>
          <w:tcPr>
            <w:tcW w:w="1559" w:type="dxa"/>
            <w:shd w:val="clear" w:color="auto" w:fill="D9D9D9"/>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rPr>
              <w:t>22 04 01 03</w:t>
            </w:r>
          </w:p>
        </w:tc>
        <w:tc>
          <w:tcPr>
            <w:tcW w:w="5387" w:type="dxa"/>
          </w:tcPr>
          <w:p>
            <w:pPr>
              <w:widowControl w:val="0"/>
              <w:tabs>
                <w:tab w:val="left" w:pos="1350"/>
              </w:tabs>
              <w:spacing w:before="15" w:after="15"/>
              <w:jc w:val="both"/>
              <w:rPr>
                <w:noProof/>
                <w:sz w:val="16"/>
                <w:szCs w:val="16"/>
              </w:rPr>
            </w:pPr>
            <w:r>
              <w:rPr>
                <w:noProof/>
                <w:sz w:val="16"/>
              </w:rPr>
              <w:t>Средиземноморски страни — Укрепване на доверието, сигурност, предотвратяване и уреждане на конфликти</w:t>
            </w:r>
          </w:p>
        </w:tc>
        <w:tc>
          <w:tcPr>
            <w:tcW w:w="1559" w:type="dxa"/>
          </w:tcPr>
          <w:p>
            <w:pPr>
              <w:widowControl w:val="0"/>
              <w:spacing w:before="15" w:after="15"/>
              <w:jc w:val="right"/>
              <w:rPr>
                <w:noProof/>
                <w:sz w:val="20"/>
                <w:szCs w:val="20"/>
              </w:rPr>
            </w:pPr>
            <w:r>
              <w:rPr>
                <w:noProof/>
                <w:sz w:val="20"/>
              </w:rPr>
              <w:t>250 000 000</w:t>
            </w:r>
          </w:p>
        </w:tc>
        <w:tc>
          <w:tcPr>
            <w:tcW w:w="1701" w:type="dxa"/>
          </w:tcPr>
          <w:p>
            <w:pPr>
              <w:widowControl w:val="0"/>
              <w:spacing w:before="15" w:after="15"/>
              <w:jc w:val="right"/>
              <w:rPr>
                <w:noProof/>
                <w:sz w:val="20"/>
                <w:szCs w:val="20"/>
              </w:rPr>
            </w:pPr>
            <w:r>
              <w:rPr>
                <w:noProof/>
                <w:sz w:val="20"/>
              </w:rPr>
              <w:t>60 000 000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rPr>
              <w:t>21 02 07 05</w:t>
            </w:r>
          </w:p>
        </w:tc>
        <w:tc>
          <w:tcPr>
            <w:tcW w:w="5387" w:type="dxa"/>
          </w:tcPr>
          <w:p>
            <w:pPr>
              <w:widowControl w:val="0"/>
              <w:tabs>
                <w:tab w:val="left" w:pos="1350"/>
              </w:tabs>
              <w:spacing w:before="15" w:after="15"/>
              <w:jc w:val="both"/>
              <w:rPr>
                <w:noProof/>
                <w:sz w:val="16"/>
                <w:szCs w:val="16"/>
              </w:rPr>
            </w:pPr>
            <w:r>
              <w:rPr>
                <w:noProof/>
                <w:sz w:val="16"/>
              </w:rPr>
              <w:t>Миграция и убежище</w:t>
            </w:r>
          </w:p>
        </w:tc>
        <w:tc>
          <w:tcPr>
            <w:tcW w:w="1559" w:type="dxa"/>
          </w:tcPr>
          <w:p>
            <w:pPr>
              <w:widowControl w:val="0"/>
              <w:spacing w:before="15" w:after="15"/>
              <w:jc w:val="right"/>
              <w:rPr>
                <w:noProof/>
                <w:sz w:val="20"/>
                <w:szCs w:val="20"/>
              </w:rPr>
            </w:pPr>
            <w:r>
              <w:rPr>
                <w:noProof/>
                <w:sz w:val="20"/>
              </w:rPr>
              <w:t>400 000 000</w:t>
            </w:r>
          </w:p>
        </w:tc>
        <w:tc>
          <w:tcPr>
            <w:tcW w:w="1701" w:type="dxa"/>
          </w:tcPr>
          <w:p>
            <w:pPr>
              <w:widowControl w:val="0"/>
              <w:spacing w:before="15" w:after="15"/>
              <w:jc w:val="right"/>
              <w:rPr>
                <w:noProof/>
                <w:sz w:val="20"/>
                <w:szCs w:val="20"/>
                <w:highlight w:val="yellow"/>
              </w:rPr>
            </w:pPr>
            <w:r>
              <w:rPr>
                <w:noProof/>
                <w:sz w:val="20"/>
              </w:rPr>
              <w:t>120 000 000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1276" w:type="dxa"/>
            <w:gridSpan w:val="2"/>
          </w:tcPr>
          <w:p>
            <w:pPr>
              <w:widowControl w:val="0"/>
              <w:spacing w:before="15" w:after="15"/>
              <w:ind w:right="-113"/>
              <w:jc w:val="both"/>
              <w:rPr>
                <w:noProof/>
                <w:sz w:val="20"/>
                <w:szCs w:val="20"/>
              </w:rPr>
            </w:pPr>
            <w:r>
              <w:rPr>
                <w:noProof/>
                <w:sz w:val="20"/>
              </w:rPr>
              <w:t>21 02 02</w:t>
            </w:r>
          </w:p>
        </w:tc>
        <w:tc>
          <w:tcPr>
            <w:tcW w:w="5387" w:type="dxa"/>
          </w:tcPr>
          <w:p>
            <w:pPr>
              <w:widowControl w:val="0"/>
              <w:tabs>
                <w:tab w:val="left" w:pos="1350"/>
              </w:tabs>
              <w:spacing w:before="15" w:after="15"/>
              <w:jc w:val="both"/>
              <w:rPr>
                <w:noProof/>
                <w:sz w:val="16"/>
                <w:szCs w:val="16"/>
              </w:rPr>
            </w:pPr>
            <w:r>
              <w:rPr>
                <w:noProof/>
                <w:sz w:val="16"/>
              </w:rPr>
              <w:t>Сътрудничество с Азия</w:t>
            </w:r>
          </w:p>
        </w:tc>
        <w:tc>
          <w:tcPr>
            <w:tcW w:w="1559" w:type="dxa"/>
          </w:tcPr>
          <w:p>
            <w:pPr>
              <w:widowControl w:val="0"/>
              <w:spacing w:before="15" w:after="15"/>
              <w:jc w:val="right"/>
              <w:rPr>
                <w:noProof/>
                <w:sz w:val="20"/>
                <w:szCs w:val="20"/>
              </w:rPr>
            </w:pPr>
            <w:r>
              <w:rPr>
                <w:noProof/>
                <w:sz w:val="20"/>
              </w:rPr>
              <w:t>100 000 000</w:t>
            </w:r>
          </w:p>
        </w:tc>
        <w:tc>
          <w:tcPr>
            <w:tcW w:w="1701" w:type="dxa"/>
          </w:tcPr>
          <w:p>
            <w:pPr>
              <w:widowControl w:val="0"/>
              <w:spacing w:before="15" w:after="15"/>
              <w:jc w:val="right"/>
              <w:rPr>
                <w:noProof/>
                <w:sz w:val="20"/>
                <w:szCs w:val="20"/>
              </w:rPr>
            </w:pPr>
            <w:r>
              <w:rPr>
                <w:noProof/>
                <w:sz w:val="20"/>
              </w:rPr>
              <w:t>30 000 000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8" w:type="dxa"/>
        </w:trPr>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559" w:type="dxa"/>
            <w:shd w:val="clear" w:color="auto" w:fill="D9D9D9"/>
          </w:tcPr>
          <w:p>
            <w:pPr>
              <w:widowControl w:val="0"/>
              <w:spacing w:before="15" w:after="15"/>
              <w:jc w:val="right"/>
              <w:rPr>
                <w:b/>
                <w:noProof/>
                <w:sz w:val="20"/>
                <w:szCs w:val="20"/>
              </w:rPr>
            </w:pPr>
            <w:r>
              <w:rPr>
                <w:b/>
                <w:noProof/>
                <w:sz w:val="20"/>
              </w:rPr>
              <w:t>750 000 000</w:t>
            </w:r>
          </w:p>
        </w:tc>
        <w:tc>
          <w:tcPr>
            <w:tcW w:w="1701" w:type="dxa"/>
            <w:shd w:val="clear" w:color="auto" w:fill="D9D9D9"/>
          </w:tcPr>
          <w:p>
            <w:pPr>
              <w:widowControl w:val="0"/>
              <w:spacing w:before="15" w:after="15"/>
              <w:jc w:val="right"/>
              <w:rPr>
                <w:b/>
                <w:noProof/>
                <w:sz w:val="20"/>
                <w:szCs w:val="20"/>
              </w:rPr>
            </w:pPr>
            <w:r>
              <w:rPr>
                <w:b/>
                <w:noProof/>
                <w:sz w:val="20"/>
              </w:rPr>
              <w:t>210 000 000</w:t>
            </w:r>
          </w:p>
        </w:tc>
      </w:tr>
    </w:tbl>
    <w:p>
      <w:pPr>
        <w:pStyle w:val="ManualHeading2"/>
        <w:numPr>
          <w:ilvl w:val="0"/>
          <w:numId w:val="0"/>
        </w:numPr>
        <w:tabs>
          <w:tab w:val="left" w:pos="851"/>
        </w:tabs>
        <w:ind w:left="851" w:hanging="851"/>
        <w:rPr>
          <w:rFonts w:eastAsia="Calibri"/>
        </w:rPr>
      </w:pPr>
      <w:bookmarkStart w:id="125" w:name="_Toc465250569"/>
      <w:bookmarkStart w:id="126" w:name="_Toc464138549"/>
      <w:r>
        <w:t xml:space="preserve">4.2 </w:t>
      </w:r>
      <w:r>
        <w:tab/>
        <w:t>Захранване на новия гаранционен фонд на Европейския фонд за устойчиво развитие (ЕФУР)</w:t>
      </w:r>
      <w:bookmarkEnd w:id="125"/>
      <w:r>
        <w:t xml:space="preserve"> </w:t>
      </w:r>
      <w:bookmarkEnd w:id="126"/>
    </w:p>
    <w:p>
      <w:pPr>
        <w:spacing w:before="120" w:after="120"/>
        <w:rPr>
          <w:noProof/>
        </w:rPr>
      </w:pPr>
      <w:r>
        <w:rPr>
          <w:noProof/>
        </w:rPr>
        <w:t>На 14 септември 2016 г. Комисията представи предложение за Регламент на Европейския парламент и на Съвета относно Европейския фонд за устойчиво развитие (ЕФУР) и за създаване на гаранция от ЕФУР и на гаранционен фонд на ЕФУР</w:t>
      </w:r>
      <w:r>
        <w:rPr>
          <w:noProof/>
          <w:vertAlign w:val="superscript"/>
        </w:rPr>
        <w:footnoteReference w:id="19"/>
      </w:r>
      <w:r>
        <w:rPr>
          <w:noProof/>
        </w:rPr>
        <w:t>. ЕФУР е част от Плана за външни инвестиции (ПВИ) — дългосрочната стратегия за преодоляване на първопричините за миграцията, както е посочено в съобщенията на Комисията от 7 юни 2016 г. и от 14 септември 2016 г.</w:t>
      </w:r>
      <w:r>
        <w:rPr>
          <w:noProof/>
          <w:vertAlign w:val="superscript"/>
        </w:rPr>
        <w:footnoteReference w:id="20"/>
      </w:r>
      <w:r>
        <w:rPr>
          <w:noProof/>
        </w:rPr>
        <w:t xml:space="preserve"> Комисията предлага да се захрани гаранционния фонд на ЕФУР със 750 млн. евро за периода 2017—2020 г., от които 400 млн. евро от Европейския фонд за развитие (ЕФР) за четирите години, 100 млн. евро от ЕИС за периода 2017—2020 г. и 250 млн. евро чрез мобилизиране на маржа за непредвидени обстоятелства през 2017 г.</w:t>
      </w:r>
    </w:p>
    <w:p>
      <w:pPr>
        <w:spacing w:before="120" w:after="120"/>
        <w:rPr>
          <w:noProof/>
        </w:rPr>
      </w:pPr>
      <w:r>
        <w:rPr>
          <w:noProof/>
        </w:rPr>
        <w:t>С настоящото писмо за внасяне на корекции се предлагат следните промени в проектобюджета за 2017 г., а именно:</w:t>
      </w:r>
    </w:p>
    <w:p>
      <w:pPr>
        <w:numPr>
          <w:ilvl w:val="0"/>
          <w:numId w:val="17"/>
        </w:numPr>
        <w:spacing w:before="120" w:after="120"/>
        <w:ind w:left="426" w:hanging="426"/>
        <w:jc w:val="both"/>
        <w:rPr>
          <w:noProof/>
          <w:szCs w:val="20"/>
        </w:rPr>
      </w:pPr>
      <w:r>
        <w:rPr>
          <w:noProof/>
        </w:rPr>
        <w:t>необходимите промени в бюджетната номенклатура чрез създаването на два нови бюджетни реда, за да се захрани гаранционния фонд на ЕФУР и да се осигури гаранцията със символичен запис (p.m.) от бюджета на ЕС, с оглед обезпечаване на бъдещи нужди,</w:t>
      </w:r>
    </w:p>
    <w:p>
      <w:pPr>
        <w:numPr>
          <w:ilvl w:val="0"/>
          <w:numId w:val="17"/>
        </w:numPr>
        <w:spacing w:before="120" w:after="120"/>
        <w:ind w:left="360"/>
        <w:jc w:val="both"/>
        <w:rPr>
          <w:noProof/>
          <w:szCs w:val="20"/>
        </w:rPr>
      </w:pPr>
      <w:r>
        <w:rPr>
          <w:noProof/>
        </w:rPr>
        <w:t>запис в размер на 275 млн. евро в новия ред за захранване на гаранционния фонд на ЕФУР, от които 250 млн. евро да бъдат взети от маржа за непредвидени обстоятелства и 25 млн. евро от ЕИС (1/3 от бюджетен ред „Източно съседство“ и 2/3 от бюджетен ред „Южно съседство“, както е видно от таблицата по-долу).</w:t>
      </w:r>
    </w:p>
    <w:tbl>
      <w:tblPr>
        <w:tblW w:w="9952" w:type="dxa"/>
        <w:jc w:val="center"/>
        <w:tblLayout w:type="fixed"/>
        <w:tblCellMar>
          <w:left w:w="40" w:type="dxa"/>
          <w:right w:w="40" w:type="dxa"/>
        </w:tblCellMar>
        <w:tblLook w:val="0000" w:firstRow="0" w:lastRow="0" w:firstColumn="0" w:lastColumn="0" w:noHBand="0" w:noVBand="0"/>
      </w:tblPr>
      <w:tblGrid>
        <w:gridCol w:w="9"/>
        <w:gridCol w:w="1431"/>
        <w:gridCol w:w="5267"/>
        <w:gridCol w:w="1515"/>
        <w:gridCol w:w="1701"/>
        <w:gridCol w:w="29"/>
      </w:tblGrid>
      <w:tr>
        <w:trPr>
          <w:gridBefore w:val="1"/>
          <w:wBefore w:w="9" w:type="dxa"/>
          <w:trHeight w:val="164"/>
          <w:tblHeader/>
          <w:jc w:val="center"/>
        </w:trPr>
        <w:tc>
          <w:tcPr>
            <w:tcW w:w="9943" w:type="dxa"/>
            <w:gridSpan w:val="5"/>
            <w:shd w:val="clear" w:color="auto" w:fill="FFFFFF"/>
            <w:vAlign w:val="center"/>
          </w:tcPr>
          <w:p>
            <w:pPr>
              <w:jc w:val="right"/>
              <w:rPr>
                <w:noProof/>
                <w:sz w:val="16"/>
                <w:szCs w:val="16"/>
              </w:rPr>
            </w:pPr>
            <w:r>
              <w:rPr>
                <w:i/>
                <w:noProof/>
                <w:sz w:val="16"/>
              </w:rPr>
              <w:t>(в евро)</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shd w:val="clear" w:color="auto" w:fill="D9D9D9" w:themeFill="background1" w:themeFillShade="D9"/>
            <w:vAlign w:val="center"/>
          </w:tcPr>
          <w:p>
            <w:pPr>
              <w:widowControl w:val="0"/>
              <w:spacing w:before="15" w:after="15"/>
              <w:ind w:right="-113"/>
              <w:jc w:val="center"/>
              <w:rPr>
                <w:noProof/>
                <w:sz w:val="20"/>
              </w:rPr>
            </w:pPr>
            <w:r>
              <w:rPr>
                <w:b/>
                <w:noProof/>
                <w:sz w:val="20"/>
              </w:rPr>
              <w:t>Бюджетен ред</w:t>
            </w:r>
          </w:p>
        </w:tc>
        <w:tc>
          <w:tcPr>
            <w:tcW w:w="5267" w:type="dxa"/>
            <w:shd w:val="clear" w:color="auto" w:fill="D9D9D9" w:themeFill="background1" w:themeFillShade="D9"/>
            <w:vAlign w:val="center"/>
          </w:tcPr>
          <w:p>
            <w:pPr>
              <w:widowControl w:val="0"/>
              <w:spacing w:before="15" w:after="15"/>
              <w:ind w:right="-113"/>
              <w:jc w:val="center"/>
              <w:rPr>
                <w:noProof/>
                <w:sz w:val="20"/>
              </w:rPr>
            </w:pPr>
            <w:r>
              <w:rPr>
                <w:b/>
                <w:noProof/>
                <w:sz w:val="20"/>
              </w:rPr>
              <w:t>Наименование</w:t>
            </w:r>
          </w:p>
        </w:tc>
        <w:tc>
          <w:tcPr>
            <w:tcW w:w="1515" w:type="dxa"/>
            <w:shd w:val="clear" w:color="auto" w:fill="D9D9D9" w:themeFill="background1" w:themeFillShade="D9"/>
            <w:vAlign w:val="center"/>
          </w:tcPr>
          <w:p>
            <w:pPr>
              <w:widowControl w:val="0"/>
              <w:spacing w:before="15" w:after="15"/>
              <w:jc w:val="center"/>
              <w:rPr>
                <w:noProof/>
                <w:sz w:val="20"/>
              </w:rPr>
            </w:pPr>
            <w:r>
              <w:rPr>
                <w:b/>
                <w:noProof/>
                <w:sz w:val="20"/>
              </w:rPr>
              <w:t>Бюджетни кредити за поети задължения</w:t>
            </w:r>
          </w:p>
        </w:tc>
        <w:tc>
          <w:tcPr>
            <w:tcW w:w="1701" w:type="dxa"/>
            <w:shd w:val="clear" w:color="auto" w:fill="D9D9D9" w:themeFill="background1" w:themeFillShade="D9"/>
            <w:vAlign w:val="center"/>
          </w:tcPr>
          <w:p>
            <w:pPr>
              <w:widowControl w:val="0"/>
              <w:spacing w:before="15" w:after="15"/>
              <w:jc w:val="center"/>
              <w:rPr>
                <w:noProof/>
                <w:sz w:val="20"/>
              </w:rPr>
            </w:pPr>
            <w:r>
              <w:rPr>
                <w:b/>
                <w:noProof/>
                <w:sz w:val="20"/>
              </w:rPr>
              <w:t>Бюджетни кредити за плащания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Pr>
          <w:p>
            <w:pPr>
              <w:widowControl w:val="0"/>
              <w:spacing w:before="15" w:after="15"/>
              <w:ind w:right="-113"/>
              <w:jc w:val="both"/>
              <w:rPr>
                <w:noProof/>
                <w:sz w:val="20"/>
                <w:szCs w:val="20"/>
              </w:rPr>
            </w:pPr>
            <w:r>
              <w:rPr>
                <w:noProof/>
                <w:sz w:val="20"/>
              </w:rPr>
              <w:t>01 03 07</w:t>
            </w:r>
          </w:p>
        </w:tc>
        <w:tc>
          <w:tcPr>
            <w:tcW w:w="5267" w:type="dxa"/>
          </w:tcPr>
          <w:p>
            <w:pPr>
              <w:widowControl w:val="0"/>
              <w:spacing w:before="15" w:after="15"/>
              <w:jc w:val="both"/>
              <w:rPr>
                <w:noProof/>
                <w:sz w:val="20"/>
                <w:szCs w:val="20"/>
              </w:rPr>
            </w:pPr>
            <w:r>
              <w:rPr>
                <w:noProof/>
                <w:sz w:val="20"/>
              </w:rPr>
              <w:t>Гаранция от Европейския съюз за Европейския фонд за устойчиво развитие (ЕФУР)</w:t>
            </w:r>
          </w:p>
        </w:tc>
        <w:tc>
          <w:tcPr>
            <w:tcW w:w="1515" w:type="dxa"/>
          </w:tcPr>
          <w:p>
            <w:pPr>
              <w:widowControl w:val="0"/>
              <w:spacing w:before="15" w:after="15"/>
              <w:jc w:val="right"/>
              <w:rPr>
                <w:noProof/>
                <w:sz w:val="20"/>
                <w:szCs w:val="20"/>
              </w:rPr>
            </w:pPr>
            <w:r>
              <w:rPr>
                <w:noProof/>
                <w:sz w:val="20"/>
              </w:rPr>
              <w:t>p.m.</w:t>
            </w:r>
          </w:p>
        </w:tc>
        <w:tc>
          <w:tcPr>
            <w:tcW w:w="1701" w:type="dxa"/>
          </w:tcPr>
          <w:p>
            <w:pPr>
              <w:widowControl w:val="0"/>
              <w:spacing w:before="15" w:after="15"/>
              <w:jc w:val="right"/>
              <w:rPr>
                <w:noProof/>
                <w:sz w:val="20"/>
                <w:szCs w:val="20"/>
              </w:rPr>
            </w:pPr>
            <w:r>
              <w:rPr>
                <w:noProof/>
                <w:sz w:val="20"/>
              </w:rPr>
              <w:t>p.m.</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Pr>
          <w:p>
            <w:pPr>
              <w:widowControl w:val="0"/>
              <w:spacing w:before="15" w:after="15"/>
              <w:ind w:right="-113"/>
              <w:jc w:val="both"/>
              <w:rPr>
                <w:noProof/>
                <w:sz w:val="20"/>
                <w:szCs w:val="20"/>
              </w:rPr>
            </w:pPr>
            <w:r>
              <w:rPr>
                <w:noProof/>
                <w:sz w:val="20"/>
              </w:rPr>
              <w:t>01 03 08</w:t>
            </w:r>
          </w:p>
        </w:tc>
        <w:tc>
          <w:tcPr>
            <w:tcW w:w="5267" w:type="dxa"/>
          </w:tcPr>
          <w:p>
            <w:pPr>
              <w:widowControl w:val="0"/>
              <w:spacing w:before="15" w:after="15"/>
              <w:jc w:val="both"/>
              <w:rPr>
                <w:noProof/>
                <w:sz w:val="20"/>
                <w:szCs w:val="20"/>
              </w:rPr>
            </w:pPr>
            <w:r>
              <w:rPr>
                <w:noProof/>
                <w:sz w:val="20"/>
              </w:rPr>
              <w:t>Захранване на гаранционния фонд на ЕФУР</w:t>
            </w:r>
          </w:p>
        </w:tc>
        <w:tc>
          <w:tcPr>
            <w:tcW w:w="1515" w:type="dxa"/>
          </w:tcPr>
          <w:p>
            <w:pPr>
              <w:widowControl w:val="0"/>
              <w:spacing w:before="15" w:after="15"/>
              <w:jc w:val="right"/>
              <w:rPr>
                <w:noProof/>
                <w:sz w:val="20"/>
                <w:szCs w:val="20"/>
              </w:rPr>
            </w:pPr>
            <w:r>
              <w:rPr>
                <w:noProof/>
                <w:sz w:val="20"/>
              </w:rPr>
              <w:t>275 000 000</w:t>
            </w:r>
          </w:p>
        </w:tc>
        <w:tc>
          <w:tcPr>
            <w:tcW w:w="1701" w:type="dxa"/>
          </w:tcPr>
          <w:p>
            <w:pPr>
              <w:widowControl w:val="0"/>
              <w:spacing w:before="15" w:after="15"/>
              <w:jc w:val="right"/>
              <w:rPr>
                <w:noProof/>
                <w:sz w:val="20"/>
                <w:szCs w:val="20"/>
              </w:rPr>
            </w:pPr>
            <w:r>
              <w:rPr>
                <w:noProof/>
                <w:sz w:val="20"/>
              </w:rPr>
              <w:t>275 000 000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Pr>
          <w:p>
            <w:pPr>
              <w:widowControl w:val="0"/>
              <w:spacing w:before="15" w:after="15"/>
              <w:ind w:right="-113"/>
              <w:jc w:val="both"/>
              <w:rPr>
                <w:noProof/>
                <w:sz w:val="20"/>
                <w:szCs w:val="20"/>
              </w:rPr>
            </w:pPr>
            <w:r>
              <w:rPr>
                <w:noProof/>
                <w:sz w:val="20"/>
              </w:rPr>
              <w:t>22 04 02 01</w:t>
            </w:r>
          </w:p>
        </w:tc>
        <w:tc>
          <w:tcPr>
            <w:tcW w:w="5267" w:type="dxa"/>
          </w:tcPr>
          <w:p>
            <w:pPr>
              <w:widowControl w:val="0"/>
              <w:spacing w:before="15" w:after="15"/>
              <w:jc w:val="both"/>
              <w:rPr>
                <w:noProof/>
                <w:sz w:val="20"/>
                <w:szCs w:val="20"/>
              </w:rPr>
            </w:pPr>
            <w:r>
              <w:rPr>
                <w:noProof/>
                <w:sz w:val="20"/>
              </w:rPr>
              <w:t xml:space="preserve">Средиземноморски страни </w:t>
            </w:r>
            <w:r>
              <w:rPr>
                <w:noProof/>
                <w:sz w:val="20"/>
                <w:szCs w:val="20"/>
              </w:rPr>
              <w:sym w:font="Symbol" w:char="F0BE"/>
            </w:r>
            <w:r>
              <w:rPr>
                <w:noProof/>
                <w:sz w:val="20"/>
              </w:rPr>
              <w:t xml:space="preserve"> Намаляване на бедността и устойчиво развитие</w:t>
            </w:r>
          </w:p>
        </w:tc>
        <w:tc>
          <w:tcPr>
            <w:tcW w:w="1515" w:type="dxa"/>
          </w:tcPr>
          <w:p>
            <w:pPr>
              <w:widowControl w:val="0"/>
              <w:spacing w:before="15" w:after="15"/>
              <w:jc w:val="right"/>
              <w:rPr>
                <w:noProof/>
                <w:sz w:val="20"/>
                <w:szCs w:val="20"/>
              </w:rPr>
            </w:pPr>
            <w:r>
              <w:rPr>
                <w:noProof/>
                <w:sz w:val="20"/>
              </w:rPr>
              <w:t>- 16 700 000</w:t>
            </w:r>
          </w:p>
        </w:tc>
        <w:tc>
          <w:tcPr>
            <w:tcW w:w="1701" w:type="dxa"/>
          </w:tcPr>
          <w:p>
            <w:pPr>
              <w:widowControl w:val="0"/>
              <w:spacing w:before="15" w:after="15"/>
              <w:jc w:val="right"/>
              <w:rPr>
                <w:noProof/>
                <w:sz w:val="20"/>
                <w:szCs w:val="20"/>
              </w:rPr>
            </w:pPr>
            <w:r>
              <w:rPr>
                <w:noProof/>
                <w:sz w:val="20"/>
              </w:rPr>
              <w:t>- 16 700 000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1440" w:type="dxa"/>
            <w:gridSpan w:val="2"/>
            <w:tcBorders>
              <w:bottom w:val="single" w:sz="4" w:space="0" w:color="auto"/>
            </w:tcBorders>
          </w:tcPr>
          <w:p>
            <w:pPr>
              <w:widowControl w:val="0"/>
              <w:spacing w:before="15" w:after="15"/>
              <w:ind w:right="-113"/>
              <w:jc w:val="both"/>
              <w:rPr>
                <w:noProof/>
                <w:sz w:val="20"/>
                <w:szCs w:val="20"/>
              </w:rPr>
            </w:pPr>
            <w:r>
              <w:rPr>
                <w:noProof/>
                <w:sz w:val="20"/>
              </w:rPr>
              <w:t>22 04 02 02</w:t>
            </w:r>
          </w:p>
        </w:tc>
        <w:tc>
          <w:tcPr>
            <w:tcW w:w="5267" w:type="dxa"/>
            <w:tcBorders>
              <w:bottom w:val="single" w:sz="4" w:space="0" w:color="auto"/>
            </w:tcBorders>
          </w:tcPr>
          <w:p>
            <w:pPr>
              <w:widowControl w:val="0"/>
              <w:spacing w:before="15" w:after="15"/>
              <w:jc w:val="both"/>
              <w:rPr>
                <w:noProof/>
                <w:sz w:val="20"/>
                <w:szCs w:val="20"/>
              </w:rPr>
            </w:pPr>
            <w:r>
              <w:rPr>
                <w:noProof/>
                <w:sz w:val="20"/>
              </w:rPr>
              <w:t xml:space="preserve">Източно партньорство </w:t>
            </w:r>
            <w:r>
              <w:rPr>
                <w:noProof/>
                <w:sz w:val="20"/>
                <w:szCs w:val="20"/>
              </w:rPr>
              <w:sym w:font="Symbol" w:char="F0BE"/>
            </w:r>
            <w:r>
              <w:rPr>
                <w:noProof/>
                <w:sz w:val="20"/>
              </w:rPr>
              <w:t xml:space="preserve"> Намаляване на бедността и устойчиво развитие</w:t>
            </w:r>
          </w:p>
        </w:tc>
        <w:tc>
          <w:tcPr>
            <w:tcW w:w="1515" w:type="dxa"/>
            <w:tcBorders>
              <w:bottom w:val="single" w:sz="4" w:space="0" w:color="auto"/>
            </w:tcBorders>
          </w:tcPr>
          <w:p>
            <w:pPr>
              <w:widowControl w:val="0"/>
              <w:spacing w:before="15" w:after="15"/>
              <w:jc w:val="right"/>
              <w:rPr>
                <w:noProof/>
                <w:sz w:val="20"/>
                <w:szCs w:val="20"/>
              </w:rPr>
            </w:pPr>
            <w:r>
              <w:rPr>
                <w:noProof/>
                <w:sz w:val="20"/>
              </w:rPr>
              <w:t>- 8 300 000</w:t>
            </w:r>
          </w:p>
        </w:tc>
        <w:tc>
          <w:tcPr>
            <w:tcW w:w="1701" w:type="dxa"/>
            <w:tcBorders>
              <w:bottom w:val="single" w:sz="4" w:space="0" w:color="auto"/>
            </w:tcBorders>
          </w:tcPr>
          <w:p>
            <w:pPr>
              <w:widowControl w:val="0"/>
              <w:spacing w:before="15" w:after="15"/>
              <w:jc w:val="right"/>
              <w:rPr>
                <w:noProof/>
                <w:sz w:val="20"/>
                <w:szCs w:val="20"/>
              </w:rPr>
            </w:pPr>
            <w:r>
              <w:rPr>
                <w:noProof/>
                <w:sz w:val="20"/>
              </w:rPr>
              <w:t>- 8 300 000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9" w:type="dxa"/>
          <w:jc w:val="center"/>
        </w:trPr>
        <w:tc>
          <w:tcPr>
            <w:tcW w:w="6707" w:type="dxa"/>
            <w:gridSpan w:val="3"/>
            <w:shd w:val="clear" w:color="auto" w:fill="D9D9D9" w:themeFill="background1" w:themeFillShade="D9"/>
          </w:tcPr>
          <w:p>
            <w:pPr>
              <w:widowControl w:val="0"/>
              <w:tabs>
                <w:tab w:val="left" w:pos="975"/>
              </w:tabs>
              <w:spacing w:before="15" w:after="15"/>
              <w:jc w:val="both"/>
              <w:rPr>
                <w:b/>
                <w:noProof/>
                <w:sz w:val="20"/>
                <w:szCs w:val="20"/>
              </w:rPr>
            </w:pPr>
            <w:r>
              <w:rPr>
                <w:b/>
                <w:noProof/>
                <w:sz w:val="20"/>
              </w:rPr>
              <w:t>Общо</w:t>
            </w:r>
            <w:r>
              <w:rPr>
                <w:noProof/>
              </w:rPr>
              <w:tab/>
            </w:r>
          </w:p>
        </w:tc>
        <w:tc>
          <w:tcPr>
            <w:tcW w:w="1515" w:type="dxa"/>
            <w:shd w:val="clear" w:color="auto" w:fill="D9D9D9" w:themeFill="background1" w:themeFillShade="D9"/>
          </w:tcPr>
          <w:p>
            <w:pPr>
              <w:widowControl w:val="0"/>
              <w:spacing w:before="15" w:after="15"/>
              <w:jc w:val="right"/>
              <w:rPr>
                <w:b/>
                <w:noProof/>
                <w:sz w:val="20"/>
                <w:szCs w:val="20"/>
              </w:rPr>
            </w:pPr>
            <w:r>
              <w:rPr>
                <w:b/>
                <w:noProof/>
                <w:sz w:val="20"/>
              </w:rPr>
              <w:t>250 000 000</w:t>
            </w:r>
          </w:p>
        </w:tc>
        <w:tc>
          <w:tcPr>
            <w:tcW w:w="1701" w:type="dxa"/>
            <w:shd w:val="clear" w:color="auto" w:fill="D9D9D9" w:themeFill="background1" w:themeFillShade="D9"/>
          </w:tcPr>
          <w:p>
            <w:pPr>
              <w:widowControl w:val="0"/>
              <w:spacing w:before="15" w:after="15"/>
              <w:jc w:val="right"/>
              <w:rPr>
                <w:b/>
                <w:noProof/>
                <w:sz w:val="20"/>
                <w:szCs w:val="20"/>
              </w:rPr>
            </w:pPr>
            <w:r>
              <w:rPr>
                <w:b/>
                <w:noProof/>
                <w:sz w:val="20"/>
              </w:rPr>
              <w:t>250 000 000</w:t>
            </w:r>
          </w:p>
        </w:tc>
      </w:tr>
    </w:tbl>
    <w:p>
      <w:pPr>
        <w:pStyle w:val="ManualHeading2"/>
        <w:numPr>
          <w:ilvl w:val="0"/>
          <w:numId w:val="0"/>
        </w:numPr>
        <w:tabs>
          <w:tab w:val="left" w:pos="851"/>
        </w:tabs>
        <w:ind w:left="851" w:hanging="851"/>
      </w:pPr>
      <w:bookmarkStart w:id="127" w:name="_Toc464138550"/>
      <w:bookmarkStart w:id="128" w:name="_Toc465250570"/>
      <w:r>
        <w:t xml:space="preserve">4.3 </w:t>
      </w:r>
      <w:r>
        <w:tab/>
        <w:t>Мобилизиране на маржа за непредвидени обстоятелства по функция 4</w:t>
      </w:r>
      <w:bookmarkEnd w:id="127"/>
      <w:bookmarkEnd w:id="128"/>
    </w:p>
    <w:p>
      <w:pPr>
        <w:spacing w:before="120" w:after="120"/>
        <w:jc w:val="both"/>
        <w:rPr>
          <w:noProof/>
          <w:szCs w:val="22"/>
        </w:rPr>
      </w:pPr>
      <w:r>
        <w:rPr>
          <w:noProof/>
        </w:rPr>
        <w:t>С ПБ за 2017 г. таванът за разходи за поети задължения по функция 4</w:t>
      </w:r>
      <w:r>
        <w:rPr>
          <w:i/>
          <w:noProof/>
        </w:rPr>
        <w:t xml:space="preserve"> (Глобална Европа)</w:t>
      </w:r>
      <w:r>
        <w:rPr>
          <w:noProof/>
        </w:rPr>
        <w:t xml:space="preserve"> е изчерпан и се предлага пълно мобилизиране на Инструмента за гъвкавост (530 млн. евро) по функция 3 </w:t>
      </w:r>
      <w:r>
        <w:rPr>
          <w:i/>
          <w:noProof/>
        </w:rPr>
        <w:t>(Сигурност и гражданство)</w:t>
      </w:r>
      <w:r>
        <w:rPr>
          <w:noProof/>
        </w:rPr>
        <w:t>. Поради това мобилизирането на маржа за непредвидени обстоятелства през 2017 г. е последният наличен инструмент за справяне с допълнителните нужди, описани по-горе. Като се има предвид малкият марж от 13,8 млн. евро, който се създава вследствие на предложеното прехвърляне на финансирането на няколко специални представители на ЕС (СПЕС) от функция 4 към функция 3, Комисията предлага да се мобилизира маржът за непредвидени обстоятелства за сума в размер на 986,2 млн. евро, които да бъдат приспаднати през периода 2017—2019 г. от маржовете по функция 2 през 2017 г. и по функция 5 през периода 2018—2019 г.</w:t>
      </w:r>
      <w:r>
        <w:rPr>
          <w:noProof/>
          <w:vertAlign w:val="superscript"/>
        </w:rPr>
        <w:footnoteReference w:id="21"/>
      </w:r>
    </w:p>
    <w:p>
      <w:pPr>
        <w:pStyle w:val="ManualHeading2"/>
        <w:numPr>
          <w:ilvl w:val="0"/>
          <w:numId w:val="0"/>
        </w:numPr>
        <w:tabs>
          <w:tab w:val="left" w:pos="851"/>
        </w:tabs>
      </w:pPr>
      <w:bookmarkStart w:id="129" w:name="_Toc462933865"/>
      <w:bookmarkStart w:id="130" w:name="_Toc462935229"/>
      <w:bookmarkStart w:id="131" w:name="_Toc462935331"/>
      <w:bookmarkStart w:id="132" w:name="_Toc462935379"/>
      <w:bookmarkStart w:id="133" w:name="_Toc462935536"/>
      <w:bookmarkStart w:id="134" w:name="_Toc463004756"/>
      <w:bookmarkStart w:id="135" w:name="_Toc464138551"/>
      <w:bookmarkStart w:id="136" w:name="_Toc465250571"/>
      <w:bookmarkEnd w:id="129"/>
      <w:bookmarkEnd w:id="130"/>
      <w:bookmarkEnd w:id="131"/>
      <w:bookmarkEnd w:id="132"/>
      <w:bookmarkEnd w:id="133"/>
      <w:bookmarkEnd w:id="134"/>
      <w:r>
        <w:t xml:space="preserve">4.4 </w:t>
      </w:r>
      <w:r>
        <w:tab/>
        <w:t>Увеличаване на щатното разписание на Европол</w:t>
      </w:r>
      <w:bookmarkEnd w:id="135"/>
      <w:bookmarkEnd w:id="136"/>
    </w:p>
    <w:p>
      <w:pPr>
        <w:spacing w:before="120" w:after="120"/>
        <w:jc w:val="both"/>
        <w:rPr>
          <w:noProof/>
        </w:rPr>
      </w:pPr>
      <w:r>
        <w:rPr>
          <w:noProof/>
        </w:rPr>
        <w:t>По линия на Европейската програма за сигурност Европейският център за борба с тероризма (ЕЦБТ) в Европол изпълнява ключова роля като централно звено в борбата с тероризма в ЕС, като допринася за осигуряването на координирана реакция по настоящи и очаквани терористични заплахи и нападения. Центърът подпомага държавите членки чрез предоставянето оперативна и аналитична подкрепа за разследвания на терористични действия, както и сътрудничество с международни партньори.</w:t>
      </w:r>
    </w:p>
    <w:p>
      <w:pPr>
        <w:spacing w:before="120" w:after="120"/>
        <w:jc w:val="both"/>
        <w:rPr>
          <w:noProof/>
        </w:rPr>
      </w:pPr>
      <w:r>
        <w:rPr>
          <w:noProof/>
        </w:rPr>
        <w:t>След скорошните терористични нападения в Европа нивото на информация, предоставяна на Европол, и исканията за подкрепа от държавите членки се увеличиха рязко, което създава много допълнителна работа в агенцията. По тази причина в ПБ за 2017 г. вече са включени 25 допълнителни щатни бройки в щатното разписание, 5 договорно наети служители и 5 командировани национални експерти.</w:t>
      </w:r>
    </w:p>
    <w:p>
      <w:pPr>
        <w:spacing w:before="120" w:after="120"/>
        <w:jc w:val="both"/>
        <w:rPr>
          <w:noProof/>
        </w:rPr>
      </w:pPr>
      <w:r>
        <w:rPr>
          <w:noProof/>
        </w:rPr>
        <w:t xml:space="preserve">Въз основа на оценка на нуждите, извършена с оглед на Съобщението на Комисията </w:t>
      </w:r>
      <w:r>
        <w:rPr>
          <w:i/>
          <w:noProof/>
        </w:rPr>
        <w:t>„Повишаване на сигурността в свят на мобилност“</w:t>
      </w:r>
      <w:r>
        <w:rPr>
          <w:noProof/>
          <w:vertAlign w:val="superscript"/>
        </w:rPr>
        <w:footnoteReference w:id="22"/>
      </w:r>
      <w:r>
        <w:rPr>
          <w:noProof/>
        </w:rPr>
        <w:t>, Комисията иска допълнително увеличаване на щатното разписание на ЕЦБТ с 20 щатни бройки. Допълнителният персонал е необходим за засилване на оперативната подкрепа, по-специално за осигуряването на 24-часова работа през всички дни от седмицата и възможности за разполагане на място.</w:t>
      </w:r>
    </w:p>
    <w:p>
      <w:pPr>
        <w:spacing w:before="120" w:after="120"/>
        <w:jc w:val="both"/>
        <w:rPr>
          <w:noProof/>
        </w:rPr>
      </w:pPr>
      <w:r>
        <w:rPr>
          <w:noProof/>
        </w:rPr>
        <w:t>Съответните допълнителни бюджетни кредити за възнагражденията на новия персонал (1 340 000 EUR) са изчислени въз основа на средно присъствие от шест месеца през 2017 г. Предлага се финансирането да бъде предоставено чрез повторно определяне на приоритетните действия по Фонд „Убежище, миграция и интеграция“ (ФУМИ), чието осъществяване Комисията беше планирала при пряко управление през 2017 г. Комисията ще следи нуждите от финансиране за тези действия през цялата година и, ако е нежно, ще предложи коригиращи мерки.</w:t>
      </w:r>
    </w:p>
    <w:tbl>
      <w:tblPr>
        <w:tblW w:w="9960" w:type="dxa"/>
        <w:jc w:val="center"/>
        <w:tblLayout w:type="fixed"/>
        <w:tblCellMar>
          <w:left w:w="40" w:type="dxa"/>
          <w:right w:w="40" w:type="dxa"/>
        </w:tblCellMar>
        <w:tblLook w:val="0000" w:firstRow="0" w:lastRow="0" w:firstColumn="0" w:lastColumn="0" w:noHBand="0" w:noVBand="0"/>
      </w:tblPr>
      <w:tblGrid>
        <w:gridCol w:w="9"/>
        <w:gridCol w:w="1191"/>
        <w:gridCol w:w="5463"/>
        <w:gridCol w:w="1617"/>
        <w:gridCol w:w="1672"/>
        <w:gridCol w:w="8"/>
      </w:tblGrid>
      <w:tr>
        <w:trPr>
          <w:gridBefore w:val="1"/>
          <w:gridAfter w:val="1"/>
          <w:wBefore w:w="9" w:type="dxa"/>
          <w:wAfter w:w="8" w:type="dxa"/>
          <w:trHeight w:val="164"/>
          <w:tblHeader/>
          <w:jc w:val="center"/>
        </w:trPr>
        <w:tc>
          <w:tcPr>
            <w:tcW w:w="9943" w:type="dxa"/>
            <w:gridSpan w:val="4"/>
            <w:shd w:val="clear" w:color="auto" w:fill="FFFFFF"/>
            <w:vAlign w:val="center"/>
          </w:tcPr>
          <w:p>
            <w:pPr>
              <w:jc w:val="right"/>
              <w:rPr>
                <w:noProof/>
                <w:sz w:val="16"/>
                <w:szCs w:val="16"/>
              </w:rPr>
            </w:pPr>
            <w:r>
              <w:rPr>
                <w:i/>
                <w:noProof/>
                <w:sz w:val="16"/>
              </w:rPr>
              <w:t>(в евро)</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rPr>
            </w:pPr>
            <w:r>
              <w:rPr>
                <w:b/>
                <w:noProof/>
                <w:sz w:val="20"/>
              </w:rPr>
              <w:t>Бюджетен ред</w:t>
            </w:r>
          </w:p>
        </w:tc>
        <w:tc>
          <w:tcPr>
            <w:tcW w:w="5463" w:type="dxa"/>
            <w:shd w:val="clear" w:color="auto" w:fill="D9D9D9"/>
            <w:vAlign w:val="center"/>
          </w:tcPr>
          <w:p>
            <w:pPr>
              <w:widowControl w:val="0"/>
              <w:spacing w:before="15" w:after="15" w:line="276" w:lineRule="auto"/>
              <w:jc w:val="center"/>
              <w:rPr>
                <w:b/>
                <w:noProof/>
                <w:sz w:val="20"/>
                <w:szCs w:val="20"/>
              </w:rPr>
            </w:pPr>
            <w:r>
              <w:rPr>
                <w:b/>
                <w:noProof/>
                <w:sz w:val="20"/>
              </w:rPr>
              <w:t>Наименование</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rPr>
              <w:t>Бюджетни кредити за поети задължения</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rPr>
              <w:t>Бюджетни кредити за плащания</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rPr>
            </w:pPr>
            <w:r>
              <w:rPr>
                <w:noProof/>
                <w:sz w:val="20"/>
              </w:rPr>
              <w:t>18 03 01 01</w:t>
            </w:r>
          </w:p>
        </w:tc>
        <w:tc>
          <w:tcPr>
            <w:tcW w:w="5463" w:type="dxa"/>
          </w:tcPr>
          <w:p>
            <w:pPr>
              <w:widowControl w:val="0"/>
              <w:tabs>
                <w:tab w:val="left" w:pos="1350"/>
              </w:tabs>
              <w:spacing w:before="15" w:after="15" w:line="276" w:lineRule="auto"/>
              <w:jc w:val="both"/>
              <w:rPr>
                <w:noProof/>
                <w:sz w:val="20"/>
                <w:szCs w:val="20"/>
              </w:rPr>
            </w:pPr>
            <w:r>
              <w:rPr>
                <w:noProof/>
                <w:sz w:val="20"/>
              </w:rPr>
              <w:t>Укрепване и развиване на Общата европейска система за убежище и увеличаване на солидарността и споделянето на отговорност между държавите членки</w:t>
            </w:r>
          </w:p>
        </w:tc>
        <w:tc>
          <w:tcPr>
            <w:tcW w:w="1617" w:type="dxa"/>
          </w:tcPr>
          <w:p>
            <w:pPr>
              <w:widowControl w:val="0"/>
              <w:spacing w:before="15" w:after="15" w:line="276" w:lineRule="auto"/>
              <w:jc w:val="right"/>
              <w:rPr>
                <w:noProof/>
                <w:sz w:val="20"/>
                <w:szCs w:val="20"/>
              </w:rPr>
            </w:pPr>
            <w:r>
              <w:rPr>
                <w:noProof/>
                <w:sz w:val="20"/>
              </w:rPr>
              <w:t>-1 340 000</w:t>
            </w:r>
          </w:p>
        </w:tc>
        <w:tc>
          <w:tcPr>
            <w:tcW w:w="1680" w:type="dxa"/>
            <w:gridSpan w:val="2"/>
          </w:tcPr>
          <w:p>
            <w:pPr>
              <w:widowControl w:val="0"/>
              <w:spacing w:before="15" w:after="15" w:line="276" w:lineRule="auto"/>
              <w:jc w:val="right"/>
              <w:rPr>
                <w:noProof/>
                <w:sz w:val="20"/>
                <w:szCs w:val="20"/>
              </w:rPr>
            </w:pPr>
            <w:r>
              <w:rPr>
                <w:noProof/>
                <w:sz w:val="20"/>
              </w:rPr>
              <w:t>-1 340 000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rPr>
            </w:pPr>
            <w:r>
              <w:rPr>
                <w:noProof/>
                <w:sz w:val="20"/>
              </w:rPr>
              <w:t>18 02 04</w:t>
            </w:r>
          </w:p>
        </w:tc>
        <w:tc>
          <w:tcPr>
            <w:tcW w:w="5463" w:type="dxa"/>
          </w:tcPr>
          <w:p>
            <w:pPr>
              <w:widowControl w:val="0"/>
              <w:tabs>
                <w:tab w:val="left" w:pos="1350"/>
              </w:tabs>
              <w:spacing w:before="15" w:after="15" w:line="276" w:lineRule="auto"/>
              <w:jc w:val="both"/>
              <w:rPr>
                <w:noProof/>
                <w:sz w:val="20"/>
                <w:szCs w:val="20"/>
              </w:rPr>
            </w:pPr>
            <w:r>
              <w:rPr>
                <w:noProof/>
                <w:sz w:val="20"/>
              </w:rPr>
              <w:t>Европейска полицейска служба (Европол)</w:t>
            </w:r>
          </w:p>
        </w:tc>
        <w:tc>
          <w:tcPr>
            <w:tcW w:w="1617" w:type="dxa"/>
          </w:tcPr>
          <w:p>
            <w:pPr>
              <w:widowControl w:val="0"/>
              <w:spacing w:before="15" w:after="15" w:line="276" w:lineRule="auto"/>
              <w:jc w:val="right"/>
              <w:rPr>
                <w:noProof/>
                <w:sz w:val="20"/>
                <w:szCs w:val="20"/>
              </w:rPr>
            </w:pPr>
            <w:r>
              <w:rPr>
                <w:noProof/>
                <w:sz w:val="20"/>
              </w:rPr>
              <w:t>1 340 000</w:t>
            </w:r>
          </w:p>
        </w:tc>
        <w:tc>
          <w:tcPr>
            <w:tcW w:w="1680" w:type="dxa"/>
            <w:gridSpan w:val="2"/>
          </w:tcPr>
          <w:p>
            <w:pPr>
              <w:widowControl w:val="0"/>
              <w:spacing w:before="15" w:after="15" w:line="276" w:lineRule="auto"/>
              <w:jc w:val="right"/>
              <w:rPr>
                <w:noProof/>
                <w:sz w:val="20"/>
                <w:szCs w:val="20"/>
              </w:rPr>
            </w:pPr>
            <w:r>
              <w:rPr>
                <w:noProof/>
                <w:sz w:val="20"/>
              </w:rPr>
              <w:t>1 340 000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663" w:type="dxa"/>
            <w:gridSpan w:val="3"/>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617" w:type="dxa"/>
            <w:shd w:val="clear" w:color="auto" w:fill="D9D9D9"/>
          </w:tcPr>
          <w:p>
            <w:pPr>
              <w:widowControl w:val="0"/>
              <w:spacing w:before="15" w:after="15"/>
              <w:jc w:val="right"/>
              <w:rPr>
                <w:b/>
                <w:noProof/>
                <w:sz w:val="20"/>
                <w:szCs w:val="20"/>
              </w:rPr>
            </w:pPr>
            <w:r>
              <w:rPr>
                <w:b/>
                <w:noProof/>
                <w:sz w:val="20"/>
              </w:rPr>
              <w:t>0</w:t>
            </w:r>
          </w:p>
        </w:tc>
        <w:tc>
          <w:tcPr>
            <w:tcW w:w="1680" w:type="dxa"/>
            <w:gridSpan w:val="2"/>
            <w:shd w:val="clear" w:color="auto" w:fill="D9D9D9"/>
          </w:tcPr>
          <w:p>
            <w:pPr>
              <w:widowControl w:val="0"/>
              <w:spacing w:before="15" w:after="15"/>
              <w:jc w:val="right"/>
              <w:rPr>
                <w:b/>
                <w:noProof/>
                <w:sz w:val="20"/>
                <w:szCs w:val="20"/>
              </w:rPr>
            </w:pPr>
            <w:r>
              <w:rPr>
                <w:b/>
                <w:noProof/>
                <w:sz w:val="20"/>
              </w:rPr>
              <w:t>0</w:t>
            </w:r>
          </w:p>
        </w:tc>
      </w:tr>
    </w:tbl>
    <w:p>
      <w:pPr>
        <w:spacing w:before="120" w:after="120"/>
        <w:jc w:val="both"/>
        <w:rPr>
          <w:noProof/>
        </w:rPr>
      </w:pPr>
      <w:r>
        <w:rPr>
          <w:noProof/>
        </w:rPr>
        <w:t>Актуализираното щатно разписание е посочено в бюджетното приложение.</w:t>
      </w:r>
    </w:p>
    <w:p>
      <w:pPr>
        <w:pStyle w:val="ManualHeading1"/>
        <w:spacing w:before="240"/>
        <w:rPr>
          <w:noProof/>
        </w:rPr>
      </w:pPr>
      <w:bookmarkStart w:id="137" w:name="_Toc463974174"/>
      <w:bookmarkStart w:id="138" w:name="_Toc464028219"/>
      <w:bookmarkStart w:id="139" w:name="_Toc464028351"/>
      <w:bookmarkStart w:id="140" w:name="_Toc464138552"/>
      <w:bookmarkStart w:id="141" w:name="_Toc465250572"/>
      <w:bookmarkStart w:id="142" w:name="_Toc463264184"/>
      <w:bookmarkEnd w:id="137"/>
      <w:bookmarkEnd w:id="138"/>
      <w:bookmarkEnd w:id="139"/>
      <w:r>
        <w:rPr>
          <w:noProof/>
        </w:rPr>
        <w:t>5.</w:t>
      </w:r>
      <w:r>
        <w:rPr>
          <w:noProof/>
        </w:rPr>
        <w:tab/>
        <w:t>Други корекции</w:t>
      </w:r>
      <w:bookmarkEnd w:id="140"/>
      <w:bookmarkEnd w:id="141"/>
      <w:r>
        <w:rPr>
          <w:noProof/>
        </w:rPr>
        <w:t xml:space="preserve"> </w:t>
      </w:r>
    </w:p>
    <w:p>
      <w:pPr>
        <w:pStyle w:val="ManualHeading2"/>
        <w:numPr>
          <w:ilvl w:val="0"/>
          <w:numId w:val="0"/>
        </w:numPr>
        <w:tabs>
          <w:tab w:val="left" w:pos="851"/>
        </w:tabs>
      </w:pPr>
      <w:bookmarkStart w:id="143" w:name="_Toc464138553"/>
      <w:bookmarkStart w:id="144" w:name="_Toc465250573"/>
      <w:r>
        <w:t xml:space="preserve">5.1. </w:t>
      </w:r>
      <w:r>
        <w:tab/>
        <w:t>Корекции в щатните разписания на Frontex и EASO</w:t>
      </w:r>
      <w:bookmarkEnd w:id="143"/>
      <w:bookmarkEnd w:id="144"/>
    </w:p>
    <w:p>
      <w:pPr>
        <w:spacing w:before="120" w:after="120"/>
        <w:jc w:val="both"/>
        <w:rPr>
          <w:noProof/>
        </w:rPr>
      </w:pPr>
      <w:r>
        <w:rPr>
          <w:noProof/>
        </w:rPr>
        <w:t>В ПБ за 2017 г. е предвидено значително увеличение на щатните бройки в щатното разписание на Frontex (+130 щатни бройки, от които 50 се предлага да бъдат изтеглени в проекта за коригиращ бюджет № 4/2016</w:t>
      </w:r>
      <w:r>
        <w:rPr>
          <w:noProof/>
          <w:vertAlign w:val="superscript"/>
        </w:rPr>
        <w:footnoteReference w:id="23"/>
      </w:r>
      <w:r>
        <w:rPr>
          <w:noProof/>
          <w:vertAlign w:val="superscript"/>
        </w:rPr>
        <w:t>)</w:t>
      </w:r>
      <w:r>
        <w:rPr>
          <w:noProof/>
        </w:rPr>
        <w:t xml:space="preserve"> и на EASO (+64 щатни бройки), така че да се даде възможност на агенциите да изпълняват разширените си мандати като новата Европейска агенция за гранична и брегова охрана</w:t>
      </w:r>
      <w:r>
        <w:rPr>
          <w:noProof/>
          <w:vertAlign w:val="superscript"/>
        </w:rPr>
        <w:footnoteReference w:id="24"/>
      </w:r>
      <w:r>
        <w:rPr>
          <w:noProof/>
          <w:vertAlign w:val="superscript"/>
        </w:rPr>
        <w:t xml:space="preserve"> </w:t>
      </w:r>
      <w:r>
        <w:rPr>
          <w:noProof/>
        </w:rPr>
        <w:t>и Агенцията на ЕС в областта на убежището</w:t>
      </w:r>
      <w:r>
        <w:rPr>
          <w:noProof/>
          <w:vertAlign w:val="superscript"/>
        </w:rPr>
        <w:footnoteReference w:id="25"/>
      </w:r>
      <w:r>
        <w:rPr>
          <w:noProof/>
        </w:rPr>
        <w:t>.</w:t>
      </w:r>
    </w:p>
    <w:p>
      <w:pPr>
        <w:spacing w:before="120" w:after="120"/>
        <w:jc w:val="both"/>
        <w:rPr>
          <w:noProof/>
        </w:rPr>
      </w:pPr>
      <w:r>
        <w:rPr>
          <w:noProof/>
        </w:rPr>
        <w:t>До получаването на по-подробен анализ на длъжностните характеристики за необходимите щатни бройки, в проектобюджета допълнителните щатни бройки за двете агенции са поискани по входните степени на функционалните групи за администратори (AD 5) и асистенти (AST 3, за EASO също AST 1). Оценката на нуждите е потвърдила, че трябва да се акцентира върху наемането на опитен персонал за цялото щатно разписание, както и за създаването на нови звена в новите области на дейност в съответствие с разширените мандати, за което е необходимо да се наеме определен брой персонал на средно управленско ниво.</w:t>
      </w:r>
    </w:p>
    <w:p>
      <w:pPr>
        <w:spacing w:before="120" w:after="120"/>
        <w:jc w:val="both"/>
        <w:rPr>
          <w:noProof/>
        </w:rPr>
      </w:pPr>
      <w:r>
        <w:rPr>
          <w:noProof/>
        </w:rPr>
        <w:t>Тази промяна на степента на щатните бройки в щатните разписания както на Frontex, така и на EASO през 2017 г. може да се финансира от бюджетите на агенциите за годината, както се предлага в проектобюджета. Следователно не е необходимо увеличение на средствата от ЕС за агенциите.</w:t>
      </w:r>
    </w:p>
    <w:p>
      <w:pPr>
        <w:spacing w:before="120" w:after="120"/>
        <w:jc w:val="both"/>
        <w:rPr>
          <w:noProof/>
        </w:rPr>
      </w:pPr>
      <w:r>
        <w:rPr>
          <w:noProof/>
        </w:rPr>
        <w:t>Актуализираните щатни разписания са посочени в бюджетното приложение.</w:t>
      </w:r>
    </w:p>
    <w:p>
      <w:pPr>
        <w:pStyle w:val="ManualHeading2"/>
        <w:numPr>
          <w:ilvl w:val="0"/>
          <w:numId w:val="0"/>
        </w:numPr>
        <w:tabs>
          <w:tab w:val="left" w:pos="851"/>
        </w:tabs>
      </w:pPr>
      <w:bookmarkStart w:id="145" w:name="_Toc464138554"/>
      <w:bookmarkStart w:id="146" w:name="_Toc465250574"/>
      <w:r>
        <w:t xml:space="preserve">5.2. </w:t>
      </w:r>
      <w:r>
        <w:tab/>
        <w:t>Корекции в щатните разписания на EU-OSHA и EUROFOUND</w:t>
      </w:r>
      <w:bookmarkEnd w:id="145"/>
      <w:bookmarkEnd w:id="146"/>
    </w:p>
    <w:p>
      <w:pPr>
        <w:spacing w:before="120" w:after="120"/>
        <w:jc w:val="both"/>
        <w:rPr>
          <w:noProof/>
          <w:szCs w:val="20"/>
        </w:rPr>
      </w:pPr>
      <w:r>
        <w:rPr>
          <w:noProof/>
        </w:rPr>
        <w:t>Целта за намаляване на персонала на Европейската агенция за безопасност и здраве при работа (EU-OSHA) в Билбао означава да бъде съкратена една щатна бройка през 2017 г., т.е. от 41 щатни бройки, включени в бюджета за 2016 г., на 40 щатни бройки в проектобюжета за 2017 г., от които 23 щатни бройки бяха предложени във функционалната група за администратори и 17 щатни бройки — във функционалната група за асистенти. Като се има предвид обаче една понастоящем свободна позиция, сега агенцията е предложила да се съкрати една щатна бройка във функционалната група за асистенти и да се запази запази броят на щатните бройки във функционалната група за администратори на нивото от 2016 г. Това няма отражение върху разходите.</w:t>
      </w:r>
    </w:p>
    <w:p>
      <w:pPr>
        <w:spacing w:before="120" w:after="120"/>
        <w:jc w:val="both"/>
        <w:rPr>
          <w:noProof/>
          <w:szCs w:val="20"/>
        </w:rPr>
      </w:pPr>
      <w:r>
        <w:rPr>
          <w:noProof/>
        </w:rPr>
        <w:t>Целта за намаляване на персонала на Европейската фондация за подобряване на условията на живот и труд (EU-OSHA) в Дъблин означава да бъдат съкратени две щатни бройки през 2017 г., т.е. от 95 щатни бройки, включени в бюджета за 2016 г., на 93 щатни бройки в проектобюжета за 2017 г., от които 50 щатни бройки бяха предложени във функционалната група за администратори и 43 щатни бройки — във функционалната група за асистенти. Като се има предвид обаче планираната реинтеграция на един срочно нает служител във функционалната група за администратори, сега агенцията е поискала замяна на една постоянна щатна бройка за длъжностни лица с една временна щатна бройка за срочно наети служители във функционалната група за администратори. По този начин общият брой на щатните бройки във функционалната група за администратори се запазва на първоначално поисканото ниво за 2017 г. (50). Това няма отражение върху разходите.</w:t>
      </w:r>
    </w:p>
    <w:p>
      <w:pPr>
        <w:spacing w:before="120" w:after="120"/>
        <w:jc w:val="both"/>
        <w:rPr>
          <w:noProof/>
        </w:rPr>
      </w:pPr>
      <w:r>
        <w:rPr>
          <w:noProof/>
        </w:rPr>
        <w:t>Актуализираните щатни разписания са посочени в бюджетното приложение.</w:t>
      </w:r>
    </w:p>
    <w:p>
      <w:pPr>
        <w:pStyle w:val="ManualHeading2"/>
        <w:numPr>
          <w:ilvl w:val="0"/>
          <w:numId w:val="0"/>
        </w:numPr>
        <w:tabs>
          <w:tab w:val="left" w:pos="851"/>
        </w:tabs>
        <w:ind w:left="851" w:hanging="851"/>
      </w:pPr>
      <w:bookmarkStart w:id="147" w:name="_Toc463974178"/>
      <w:bookmarkStart w:id="148" w:name="_Toc464028223"/>
      <w:bookmarkStart w:id="149" w:name="_Toc464028355"/>
      <w:bookmarkStart w:id="150" w:name="_Toc464138555"/>
      <w:bookmarkStart w:id="151" w:name="_Toc465250575"/>
      <w:bookmarkEnd w:id="142"/>
      <w:bookmarkEnd w:id="147"/>
      <w:bookmarkEnd w:id="148"/>
      <w:bookmarkEnd w:id="149"/>
      <w:r>
        <w:t>5.3.</w:t>
      </w:r>
      <w:r>
        <w:tab/>
        <w:t>Прехвърляне на трима СПЕС, изпълняващи по две функции, от функция 4 (раздел III — Комисия) във функция 5 (раздел X — ЕСВД)</w:t>
      </w:r>
      <w:bookmarkEnd w:id="150"/>
      <w:bookmarkEnd w:id="151"/>
    </w:p>
    <w:p>
      <w:pPr>
        <w:spacing w:before="120" w:after="120"/>
        <w:jc w:val="both"/>
        <w:rPr>
          <w:noProof/>
        </w:rPr>
      </w:pPr>
      <w:r>
        <w:rPr>
          <w:noProof/>
        </w:rPr>
        <w:t>Понастоящем има трима специални представители на ЕС (СПЕС) — в Афганистан, Босна и Херцеговина и в Косово</w:t>
      </w:r>
      <w:r>
        <w:rPr>
          <w:noProof/>
          <w:vertAlign w:val="superscript"/>
        </w:rPr>
        <w:footnoteReference w:id="26"/>
      </w:r>
      <w:r>
        <w:rPr>
          <w:noProof/>
        </w:rPr>
        <w:t xml:space="preserve"> — които изпълняват по две функции като ръководители на делегациите на ЕС (за Косово — Службата на ЕС). Техните мандати, които понастоящем са до 28 февруари 2017 г., се определят от Съвета по предложение на върховния представител на Съюза по въпросите на външните работи и политиката на сигурност и разходите им се покриват по бюджетна глава „Обща външна политика и политика за сигурност“ (ОВППС), която е част от функция 4.</w:t>
      </w:r>
    </w:p>
    <w:p>
      <w:pPr>
        <w:spacing w:before="120" w:after="120"/>
        <w:jc w:val="both"/>
        <w:rPr>
          <w:noProof/>
        </w:rPr>
      </w:pPr>
      <w:r>
        <w:rPr>
          <w:noProof/>
        </w:rPr>
        <w:t>Преди създаването на Европейската служба за външна дейност (ЕСВД) основният аргумент да се изпълняват по две функции беше да се гарантира, че представителят на ЕС разполага с политически мандат и с необходимите експертни познания, за да изпълнява политически и дипломатически задачи, тъй като такива задачи не може да се възлагат направо на делегациите на Комисията.</w:t>
      </w:r>
    </w:p>
    <w:p>
      <w:pPr>
        <w:spacing w:before="120" w:after="120"/>
        <w:jc w:val="both"/>
        <w:rPr>
          <w:noProof/>
        </w:rPr>
      </w:pPr>
      <w:r>
        <w:rPr>
          <w:noProof/>
        </w:rPr>
        <w:t>В контекста на обстоятелствата след влизането в сила на Договора от Лисабон ръководителите на делегациите на ЕС по целия свят вече разполагат със сериозно засилен политически мандат да представляват ЕС по всички въпроси в трети държави.</w:t>
      </w:r>
    </w:p>
    <w:p>
      <w:pPr>
        <w:spacing w:before="120" w:after="120"/>
        <w:jc w:val="both"/>
        <w:rPr>
          <w:noProof/>
        </w:rPr>
      </w:pPr>
      <w:r>
        <w:rPr>
          <w:noProof/>
        </w:rPr>
        <w:t xml:space="preserve">В </w:t>
      </w:r>
      <w:r>
        <w:rPr>
          <w:i/>
          <w:noProof/>
        </w:rPr>
        <w:t>Заключенията относно прегледа на ЕСВД</w:t>
      </w:r>
      <w:r>
        <w:rPr>
          <w:i/>
          <w:noProof/>
          <w:vertAlign w:val="superscript"/>
        </w:rPr>
        <w:footnoteReference w:id="27"/>
      </w:r>
      <w:r>
        <w:rPr>
          <w:noProof/>
        </w:rPr>
        <w:t xml:space="preserve"> от 17 декември 2013 г., във връзка със СПЕС Съветът акцентира върху „необходимостта да се повиши общата ефективност и отчетност, както и да се гарантира координацията и съгласуваността с всички други действащи лица от ЕС, като се подчертае важността на тясното сътрудничество с ЕСВД“. В същото време в Решението</w:t>
      </w:r>
      <w:r>
        <w:rPr>
          <w:noProof/>
          <w:vertAlign w:val="superscript"/>
        </w:rPr>
        <w:footnoteReference w:id="28"/>
      </w:r>
      <w:r>
        <w:rPr>
          <w:noProof/>
        </w:rPr>
        <w:t xml:space="preserve"> относно освобождаването от отговорност във връзка с изпълнението на общия бюджет на Европейския съюз за финансовата 2014 година, раздел X ‒ Европейска служба за външна дейност, Европейският парламент призова за „мерки за по-добро интегриране на [седемте] специални представители на ЕС в административната структура и висшето ръководство на ЕСВД с цел увеличаване на взаимодействието и координацията, реализиране на полезни взаимодействия и гарантиране на ефективност на разходите“.</w:t>
      </w:r>
    </w:p>
    <w:p>
      <w:pPr>
        <w:spacing w:before="120" w:after="120"/>
        <w:jc w:val="both"/>
        <w:rPr>
          <w:noProof/>
        </w:rPr>
      </w:pPr>
      <w:r>
        <w:rPr>
          <w:noProof/>
        </w:rPr>
        <w:t>Настоящата административна организация на службите на СПЕС/делегациите на ЕС, изпълняващи по две функции, далеч не е идеална. Тя се финансира по две различни функции на бюджета на ЕС, което води до паралелни административни, финансови и логистични вериги. Въпреки че работят главно съвместно с колегите от делегациите на ЕС, членовете на службите на СПЕС не са официално и административно свързани с ЕСВД и съответната делегация на ЕС.</w:t>
      </w:r>
    </w:p>
    <w:p>
      <w:pPr>
        <w:spacing w:before="120" w:after="120"/>
        <w:jc w:val="both"/>
        <w:rPr>
          <w:noProof/>
        </w:rPr>
      </w:pPr>
      <w:r>
        <w:rPr>
          <w:noProof/>
        </w:rPr>
        <w:t>В рамките на настоящия мандат е разрешен персонал с численост 115 еквивалента на пълно работно време (ЕПРВ) в съответните служби със следната разбивка:</w:t>
      </w:r>
    </w:p>
    <w:p>
      <w:pPr>
        <w:rPr>
          <w:b/>
          <w:noProof/>
        </w:rPr>
      </w:pPr>
      <w:r>
        <w:rPr>
          <w:b/>
          <w:noProof/>
        </w:rPr>
        <w:br w:type="page"/>
      </w:r>
    </w:p>
    <w:p>
      <w:pPr>
        <w:tabs>
          <w:tab w:val="left" w:pos="612"/>
          <w:tab w:val="center" w:pos="4536"/>
        </w:tabs>
        <w:autoSpaceDE w:val="0"/>
        <w:autoSpaceDN w:val="0"/>
        <w:adjustRightInd w:val="0"/>
        <w:spacing w:before="100" w:beforeAutospacing="1" w:line="360" w:lineRule="auto"/>
        <w:jc w:val="center"/>
        <w:rPr>
          <w:rFonts w:eastAsia="TimesNewRoman"/>
          <w:b/>
          <w:noProof/>
        </w:rPr>
      </w:pPr>
      <w:r>
        <w:rPr>
          <w:b/>
          <w:noProof/>
        </w:rPr>
        <w:t>Настоящ мандат: разрешен брой ЕПРВ в 3-те служби на СПЕС, изпълняващи по две функции</w:t>
      </w:r>
    </w:p>
    <w:tbl>
      <w:tblPr>
        <w:tblW w:w="8104" w:type="dxa"/>
        <w:jc w:val="center"/>
        <w:tblLook w:val="00A0" w:firstRow="1" w:lastRow="0" w:firstColumn="1" w:lastColumn="0" w:noHBand="0" w:noVBand="0"/>
      </w:tblPr>
      <w:tblGrid>
        <w:gridCol w:w="1649"/>
        <w:gridCol w:w="1786"/>
        <w:gridCol w:w="1715"/>
        <w:gridCol w:w="1546"/>
        <w:gridCol w:w="1417"/>
      </w:tblGrid>
      <w:tr>
        <w:trPr>
          <w:trHeight w:val="255"/>
          <w:jc w:val="center"/>
        </w:trPr>
        <w:tc>
          <w:tcPr>
            <w:tcW w:w="164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Местоположение</w:t>
            </w:r>
          </w:p>
        </w:tc>
        <w:tc>
          <w:tcPr>
            <w:tcW w:w="178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Договорно нает международен персонал</w:t>
            </w:r>
          </w:p>
        </w:tc>
        <w:tc>
          <w:tcPr>
            <w:tcW w:w="171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center"/>
              <w:rPr>
                <w:b/>
                <w:noProof/>
                <w:sz w:val="20"/>
                <w:szCs w:val="20"/>
              </w:rPr>
            </w:pPr>
            <w:r>
              <w:rPr>
                <w:b/>
                <w:noProof/>
                <w:sz w:val="20"/>
              </w:rPr>
              <w:t>Командировани национални експерти</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Местни служители</w:t>
            </w:r>
          </w:p>
        </w:tc>
        <w:tc>
          <w:tcPr>
            <w:tcW w:w="1417"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Общо</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Афганистан</w:t>
            </w:r>
          </w:p>
        </w:tc>
        <w:tc>
          <w:tcPr>
            <w:tcW w:w="178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5</w:t>
            </w:r>
          </w:p>
        </w:tc>
        <w:tc>
          <w:tcPr>
            <w:tcW w:w="1715"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7</w:t>
            </w:r>
          </w:p>
        </w:tc>
        <w:tc>
          <w:tcPr>
            <w:tcW w:w="154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8</w:t>
            </w:r>
          </w:p>
        </w:tc>
        <w:tc>
          <w:tcPr>
            <w:tcW w:w="1417"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noProof/>
                <w:sz w:val="20"/>
                <w:szCs w:val="20"/>
              </w:rPr>
            </w:pPr>
            <w:r>
              <w:rPr>
                <w:noProof/>
                <w:sz w:val="20"/>
              </w:rPr>
              <w:t>20</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Косово</w:t>
            </w:r>
          </w:p>
        </w:tc>
        <w:tc>
          <w:tcPr>
            <w:tcW w:w="178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13</w:t>
            </w:r>
          </w:p>
        </w:tc>
        <w:tc>
          <w:tcPr>
            <w:tcW w:w="1715"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5</w:t>
            </w:r>
          </w:p>
        </w:tc>
        <w:tc>
          <w:tcPr>
            <w:tcW w:w="154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21</w:t>
            </w:r>
          </w:p>
        </w:tc>
        <w:tc>
          <w:tcPr>
            <w:tcW w:w="1417"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noProof/>
                <w:sz w:val="20"/>
                <w:szCs w:val="20"/>
              </w:rPr>
            </w:pPr>
            <w:r>
              <w:rPr>
                <w:noProof/>
                <w:sz w:val="20"/>
              </w:rPr>
              <w:t>39</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rPr>
                <w:noProof/>
                <w:sz w:val="20"/>
                <w:szCs w:val="20"/>
              </w:rPr>
            </w:pPr>
            <w:r>
              <w:rPr>
                <w:noProof/>
                <w:sz w:val="20"/>
              </w:rPr>
              <w:t>Босна и Херцеговина</w:t>
            </w:r>
          </w:p>
        </w:tc>
        <w:tc>
          <w:tcPr>
            <w:tcW w:w="178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4</w:t>
            </w:r>
          </w:p>
        </w:tc>
        <w:tc>
          <w:tcPr>
            <w:tcW w:w="1715"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15</w:t>
            </w:r>
          </w:p>
        </w:tc>
        <w:tc>
          <w:tcPr>
            <w:tcW w:w="1546"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37</w:t>
            </w:r>
          </w:p>
        </w:tc>
        <w:tc>
          <w:tcPr>
            <w:tcW w:w="1417"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noProof/>
                <w:sz w:val="20"/>
                <w:szCs w:val="20"/>
              </w:rPr>
            </w:pPr>
            <w:r>
              <w:rPr>
                <w:noProof/>
                <w:sz w:val="20"/>
              </w:rPr>
              <w:t>56</w:t>
            </w:r>
          </w:p>
        </w:tc>
      </w:tr>
      <w:tr>
        <w:trPr>
          <w:trHeight w:val="270"/>
          <w:jc w:val="center"/>
        </w:trPr>
        <w:tc>
          <w:tcPr>
            <w:tcW w:w="1640" w:type="dxa"/>
            <w:tcBorders>
              <w:top w:val="nil"/>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r>
              <w:rPr>
                <w:b/>
                <w:noProof/>
                <w:sz w:val="20"/>
              </w:rPr>
              <w:t>Общо</w:t>
            </w:r>
          </w:p>
        </w:tc>
        <w:tc>
          <w:tcPr>
            <w:tcW w:w="1786"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22</w:t>
            </w:r>
          </w:p>
        </w:tc>
        <w:tc>
          <w:tcPr>
            <w:tcW w:w="1715"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27</w:t>
            </w:r>
          </w:p>
        </w:tc>
        <w:tc>
          <w:tcPr>
            <w:tcW w:w="1546"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66</w:t>
            </w: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115</w:t>
            </w:r>
          </w:p>
        </w:tc>
      </w:tr>
    </w:tbl>
    <w:p>
      <w:pPr>
        <w:spacing w:before="120" w:after="120"/>
        <w:jc w:val="both"/>
        <w:rPr>
          <w:noProof/>
          <w:szCs w:val="20"/>
        </w:rPr>
      </w:pPr>
      <w:r>
        <w:rPr>
          <w:noProof/>
        </w:rPr>
        <w:t>Свързаните разходи, използвани от бюджетен ред ОВППС (19 03 01 07) в ПБ за 2017 г., се изчисляват на 13,8 млн. евро. Настоящият мандат на СПЕС беше договорен за 16 месеца и затова бюджетните кредити в таблицата по-долу са на годишна база.</w:t>
      </w:r>
    </w:p>
    <w:tbl>
      <w:tblPr>
        <w:tblW w:w="8110" w:type="dxa"/>
        <w:jc w:val="center"/>
        <w:tblLook w:val="00A0" w:firstRow="1" w:lastRow="0" w:firstColumn="1" w:lastColumn="0" w:noHBand="0" w:noVBand="0"/>
      </w:tblPr>
      <w:tblGrid>
        <w:gridCol w:w="2280"/>
        <w:gridCol w:w="1554"/>
        <w:gridCol w:w="1405"/>
        <w:gridCol w:w="1442"/>
        <w:gridCol w:w="1429"/>
      </w:tblGrid>
      <w:tr>
        <w:trPr>
          <w:trHeight w:val="300"/>
          <w:jc w:val="center"/>
        </w:trPr>
        <w:tc>
          <w:tcPr>
            <w:tcW w:w="2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Вид разход</w:t>
            </w:r>
          </w:p>
        </w:tc>
        <w:tc>
          <w:tcPr>
            <w:tcW w:w="1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Афганистан</w:t>
            </w: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Косово</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Босна и Херцеговина</w:t>
            </w:r>
          </w:p>
        </w:tc>
        <w:tc>
          <w:tcPr>
            <w:tcW w:w="1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Общо</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Персонал</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1 356 052</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1 803 931</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2 776 680</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5 936 663</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Командировки</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225 000</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85 311</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201 744</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512 055</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Текущи разходи</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4 020 156</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425 366</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2 583 900</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7 029 422</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Капиталови разходи</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22 500</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10 238</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34 572</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67 310</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Представителство</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16 800</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8 400</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12 000</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37 200</w:t>
            </w:r>
          </w:p>
        </w:tc>
      </w:tr>
      <w:tr>
        <w:trPr>
          <w:trHeight w:val="300"/>
          <w:jc w:val="center"/>
        </w:trPr>
        <w:tc>
          <w:tcPr>
            <w:tcW w:w="2280" w:type="dxa"/>
            <w:tcBorders>
              <w:top w:val="nil"/>
              <w:left w:val="single" w:sz="4" w:space="0" w:color="auto"/>
              <w:bottom w:val="single" w:sz="4" w:space="0" w:color="auto"/>
              <w:right w:val="single" w:sz="4" w:space="0" w:color="auto"/>
            </w:tcBorders>
            <w:noWrap/>
            <w:vAlign w:val="center"/>
          </w:tcPr>
          <w:p>
            <w:pPr>
              <w:widowControl w:val="0"/>
              <w:spacing w:before="15" w:after="15" w:line="276" w:lineRule="auto"/>
              <w:ind w:right="-113"/>
              <w:jc w:val="both"/>
              <w:rPr>
                <w:noProof/>
                <w:sz w:val="20"/>
                <w:szCs w:val="20"/>
              </w:rPr>
            </w:pPr>
            <w:r>
              <w:rPr>
                <w:noProof/>
                <w:sz w:val="20"/>
              </w:rPr>
              <w:t>Други</w:t>
            </w:r>
          </w:p>
        </w:tc>
        <w:tc>
          <w:tcPr>
            <w:tcW w:w="1554"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78 242</w:t>
            </w:r>
          </w:p>
        </w:tc>
        <w:tc>
          <w:tcPr>
            <w:tcW w:w="1405"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18 004</w:t>
            </w:r>
          </w:p>
        </w:tc>
        <w:tc>
          <w:tcPr>
            <w:tcW w:w="1442" w:type="dxa"/>
            <w:tcBorders>
              <w:top w:val="nil"/>
              <w:left w:val="nil"/>
              <w:bottom w:val="single" w:sz="4" w:space="0" w:color="auto"/>
              <w:right w:val="single" w:sz="4" w:space="0" w:color="auto"/>
            </w:tcBorders>
            <w:noWrap/>
            <w:vAlign w:val="center"/>
          </w:tcPr>
          <w:p>
            <w:pPr>
              <w:widowControl w:val="0"/>
              <w:spacing w:before="15" w:after="15" w:line="276" w:lineRule="auto"/>
              <w:jc w:val="right"/>
              <w:rPr>
                <w:noProof/>
                <w:sz w:val="20"/>
                <w:szCs w:val="20"/>
              </w:rPr>
            </w:pPr>
            <w:r>
              <w:rPr>
                <w:noProof/>
                <w:sz w:val="20"/>
              </w:rPr>
              <w:t>91 104</w:t>
            </w:r>
          </w:p>
        </w:tc>
        <w:tc>
          <w:tcPr>
            <w:tcW w:w="1429" w:type="dxa"/>
            <w:tcBorders>
              <w:top w:val="nil"/>
              <w:left w:val="nil"/>
              <w:bottom w:val="single" w:sz="4" w:space="0" w:color="auto"/>
              <w:right w:val="single" w:sz="4" w:space="0" w:color="auto"/>
            </w:tcBorders>
            <w:noWrap/>
            <w:vAlign w:val="center"/>
          </w:tcPr>
          <w:p>
            <w:pPr>
              <w:widowControl w:val="0"/>
              <w:spacing w:before="15" w:after="15" w:line="276" w:lineRule="auto"/>
              <w:jc w:val="right"/>
              <w:rPr>
                <w:b/>
                <w:noProof/>
                <w:sz w:val="20"/>
                <w:szCs w:val="20"/>
              </w:rPr>
            </w:pPr>
            <w:r>
              <w:rPr>
                <w:b/>
                <w:noProof/>
                <w:sz w:val="20"/>
              </w:rPr>
              <w:t>187 350</w:t>
            </w:r>
          </w:p>
        </w:tc>
      </w:tr>
      <w:tr>
        <w:trPr>
          <w:trHeight w:val="300"/>
          <w:jc w:val="center"/>
        </w:trPr>
        <w:tc>
          <w:tcPr>
            <w:tcW w:w="228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both"/>
              <w:rPr>
                <w:b/>
                <w:noProof/>
                <w:sz w:val="20"/>
                <w:szCs w:val="20"/>
              </w:rPr>
            </w:pPr>
            <w:r>
              <w:rPr>
                <w:b/>
                <w:noProof/>
                <w:sz w:val="20"/>
              </w:rPr>
              <w:t>Общо</w:t>
            </w:r>
          </w:p>
        </w:tc>
        <w:tc>
          <w:tcPr>
            <w:tcW w:w="1554"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rPr>
            </w:pPr>
            <w:r>
              <w:rPr>
                <w:b/>
                <w:noProof/>
                <w:sz w:val="20"/>
              </w:rPr>
              <w:t>5 718 750</w:t>
            </w:r>
          </w:p>
        </w:tc>
        <w:tc>
          <w:tcPr>
            <w:tcW w:w="1405"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rPr>
            </w:pPr>
            <w:r>
              <w:rPr>
                <w:b/>
                <w:noProof/>
                <w:sz w:val="20"/>
              </w:rPr>
              <w:t>2 351 250</w:t>
            </w:r>
          </w:p>
        </w:tc>
        <w:tc>
          <w:tcPr>
            <w:tcW w:w="1442"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rPr>
            </w:pPr>
            <w:r>
              <w:rPr>
                <w:b/>
                <w:noProof/>
                <w:sz w:val="20"/>
              </w:rPr>
              <w:t>5 700 000</w:t>
            </w:r>
          </w:p>
        </w:tc>
        <w:tc>
          <w:tcPr>
            <w:tcW w:w="1429" w:type="dxa"/>
            <w:tcBorders>
              <w:top w:val="nil"/>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right"/>
              <w:rPr>
                <w:b/>
                <w:noProof/>
                <w:sz w:val="20"/>
                <w:szCs w:val="20"/>
              </w:rPr>
            </w:pPr>
            <w:r>
              <w:rPr>
                <w:b/>
                <w:noProof/>
                <w:sz w:val="20"/>
              </w:rPr>
              <w:t>13 770 000</w:t>
            </w:r>
          </w:p>
        </w:tc>
      </w:tr>
    </w:tbl>
    <w:p>
      <w:pPr>
        <w:spacing w:before="120" w:after="120"/>
        <w:jc w:val="both"/>
        <w:rPr>
          <w:noProof/>
          <w:szCs w:val="20"/>
        </w:rPr>
      </w:pPr>
      <w:r>
        <w:rPr>
          <w:noProof/>
        </w:rPr>
        <w:t>Върховният представител, със съгласието на Комисията, предлага да се прехвърлят текущите задачи на тези служби на СПЕС към съответната делегация/служба на ЕС, чрез което ще се опростят и рационализират административните, финансовите и логистичните вериги на делегациите на ЕС.</w:t>
      </w:r>
    </w:p>
    <w:p>
      <w:pPr>
        <w:spacing w:before="120" w:after="120"/>
        <w:jc w:val="both"/>
        <w:rPr>
          <w:noProof/>
          <w:szCs w:val="20"/>
        </w:rPr>
      </w:pPr>
      <w:r>
        <w:rPr>
          <w:noProof/>
        </w:rPr>
        <w:t xml:space="preserve">Съответният персонал (договорно наети служители, командировани национални експерти и местен персонал) може да бъде прехвърлен от настоящия режим на заетост към ОВППС към ЕСВД. Интегрирането и постигнатото чрез него рационализиране на процедурите може да осигури синергии и да позволи да се направят съкращения с около 15 % от броя на въпросните ЕПРВ (със съответните икономии от заплати и офисни разходи). Броят на ЕПРВ, които следва да бъдат добавени към персонала на ЕСВД би бил намален до общо 97 (спрямо настоящите 115), разпределени, както следва: </w:t>
      </w:r>
    </w:p>
    <w:tbl>
      <w:tblPr>
        <w:tblW w:w="7927" w:type="dxa"/>
        <w:jc w:val="center"/>
        <w:tblLook w:val="00A0" w:firstRow="1" w:lastRow="0" w:firstColumn="1" w:lastColumn="0" w:noHBand="0" w:noVBand="0"/>
      </w:tblPr>
      <w:tblGrid>
        <w:gridCol w:w="1649"/>
        <w:gridCol w:w="1644"/>
        <w:gridCol w:w="1857"/>
        <w:gridCol w:w="1451"/>
        <w:gridCol w:w="1335"/>
      </w:tblGrid>
      <w:tr>
        <w:trPr>
          <w:trHeight w:val="255"/>
          <w:jc w:val="center"/>
        </w:trPr>
        <w:tc>
          <w:tcPr>
            <w:tcW w:w="164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Местоположение</w:t>
            </w:r>
          </w:p>
        </w:tc>
        <w:tc>
          <w:tcPr>
            <w:tcW w:w="164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Договорно наети служители</w:t>
            </w:r>
          </w:p>
        </w:tc>
        <w:tc>
          <w:tcPr>
            <w:tcW w:w="185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jc w:val="center"/>
              <w:rPr>
                <w:b/>
                <w:noProof/>
                <w:sz w:val="20"/>
                <w:szCs w:val="20"/>
              </w:rPr>
            </w:pPr>
            <w:r>
              <w:rPr>
                <w:b/>
                <w:noProof/>
                <w:sz w:val="20"/>
              </w:rPr>
              <w:t>Командировани национални експерти</w:t>
            </w:r>
          </w:p>
        </w:tc>
        <w:tc>
          <w:tcPr>
            <w:tcW w:w="14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Местни служители</w:t>
            </w:r>
          </w:p>
        </w:tc>
        <w:tc>
          <w:tcPr>
            <w:tcW w:w="1335"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Общо</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Афганистан</w:t>
            </w:r>
          </w:p>
        </w:tc>
        <w:tc>
          <w:tcPr>
            <w:tcW w:w="1644"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4</w:t>
            </w:r>
          </w:p>
        </w:tc>
        <w:tc>
          <w:tcPr>
            <w:tcW w:w="1857"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6</w:t>
            </w:r>
          </w:p>
        </w:tc>
        <w:tc>
          <w:tcPr>
            <w:tcW w:w="1451"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7</w:t>
            </w:r>
          </w:p>
        </w:tc>
        <w:tc>
          <w:tcPr>
            <w:tcW w:w="1335"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b/>
                <w:noProof/>
                <w:sz w:val="20"/>
                <w:szCs w:val="20"/>
              </w:rPr>
            </w:pPr>
            <w:r>
              <w:rPr>
                <w:b/>
                <w:noProof/>
                <w:sz w:val="20"/>
              </w:rPr>
              <w:t>17</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Косово</w:t>
            </w:r>
          </w:p>
        </w:tc>
        <w:tc>
          <w:tcPr>
            <w:tcW w:w="1644"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9</w:t>
            </w:r>
          </w:p>
        </w:tc>
        <w:tc>
          <w:tcPr>
            <w:tcW w:w="1857"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6</w:t>
            </w:r>
          </w:p>
        </w:tc>
        <w:tc>
          <w:tcPr>
            <w:tcW w:w="1451"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18</w:t>
            </w:r>
          </w:p>
        </w:tc>
        <w:tc>
          <w:tcPr>
            <w:tcW w:w="1335"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b/>
                <w:noProof/>
                <w:sz w:val="20"/>
                <w:szCs w:val="20"/>
              </w:rPr>
            </w:pPr>
            <w:r>
              <w:rPr>
                <w:b/>
                <w:noProof/>
                <w:sz w:val="20"/>
              </w:rPr>
              <w:t>33</w:t>
            </w:r>
          </w:p>
        </w:tc>
      </w:tr>
      <w:tr>
        <w:trPr>
          <w:trHeight w:val="255"/>
          <w:jc w:val="center"/>
        </w:trPr>
        <w:tc>
          <w:tcPr>
            <w:tcW w:w="1640" w:type="dxa"/>
            <w:tcBorders>
              <w:top w:val="nil"/>
              <w:left w:val="single" w:sz="8" w:space="0" w:color="auto"/>
              <w:bottom w:val="single" w:sz="4" w:space="0" w:color="auto"/>
              <w:right w:val="single" w:sz="4" w:space="0" w:color="auto"/>
            </w:tcBorders>
            <w:noWrap/>
            <w:vAlign w:val="bottom"/>
          </w:tcPr>
          <w:p>
            <w:pPr>
              <w:widowControl w:val="0"/>
              <w:spacing w:before="15" w:after="15" w:line="276" w:lineRule="auto"/>
              <w:ind w:right="-113"/>
              <w:rPr>
                <w:noProof/>
                <w:sz w:val="20"/>
                <w:szCs w:val="20"/>
              </w:rPr>
            </w:pPr>
            <w:r>
              <w:rPr>
                <w:noProof/>
                <w:sz w:val="20"/>
              </w:rPr>
              <w:t>Босна и Херцеговина</w:t>
            </w:r>
          </w:p>
        </w:tc>
        <w:tc>
          <w:tcPr>
            <w:tcW w:w="1644"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3</w:t>
            </w:r>
          </w:p>
        </w:tc>
        <w:tc>
          <w:tcPr>
            <w:tcW w:w="1857"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13</w:t>
            </w:r>
          </w:p>
        </w:tc>
        <w:tc>
          <w:tcPr>
            <w:tcW w:w="1451" w:type="dxa"/>
            <w:tcBorders>
              <w:top w:val="nil"/>
              <w:left w:val="nil"/>
              <w:bottom w:val="single" w:sz="4" w:space="0" w:color="auto"/>
              <w:right w:val="single" w:sz="4" w:space="0" w:color="auto"/>
            </w:tcBorders>
            <w:noWrap/>
            <w:vAlign w:val="bottom"/>
          </w:tcPr>
          <w:p>
            <w:pPr>
              <w:widowControl w:val="0"/>
              <w:spacing w:before="15" w:after="15" w:line="276" w:lineRule="auto"/>
              <w:ind w:right="-113"/>
              <w:jc w:val="center"/>
              <w:rPr>
                <w:noProof/>
                <w:sz w:val="20"/>
                <w:szCs w:val="20"/>
              </w:rPr>
            </w:pPr>
            <w:r>
              <w:rPr>
                <w:noProof/>
                <w:sz w:val="20"/>
              </w:rPr>
              <w:t>31</w:t>
            </w:r>
          </w:p>
        </w:tc>
        <w:tc>
          <w:tcPr>
            <w:tcW w:w="1335" w:type="dxa"/>
            <w:tcBorders>
              <w:top w:val="nil"/>
              <w:left w:val="nil"/>
              <w:bottom w:val="single" w:sz="4" w:space="0" w:color="auto"/>
              <w:right w:val="single" w:sz="8" w:space="0" w:color="auto"/>
            </w:tcBorders>
            <w:noWrap/>
            <w:vAlign w:val="bottom"/>
          </w:tcPr>
          <w:p>
            <w:pPr>
              <w:widowControl w:val="0"/>
              <w:spacing w:before="15" w:after="15" w:line="276" w:lineRule="auto"/>
              <w:ind w:right="-113"/>
              <w:jc w:val="center"/>
              <w:rPr>
                <w:b/>
                <w:noProof/>
                <w:sz w:val="20"/>
                <w:szCs w:val="20"/>
              </w:rPr>
            </w:pPr>
            <w:r>
              <w:rPr>
                <w:b/>
                <w:noProof/>
                <w:sz w:val="20"/>
              </w:rPr>
              <w:t>47</w:t>
            </w:r>
          </w:p>
        </w:tc>
      </w:tr>
      <w:tr>
        <w:trPr>
          <w:trHeight w:val="270"/>
          <w:jc w:val="center"/>
        </w:trPr>
        <w:tc>
          <w:tcPr>
            <w:tcW w:w="1640" w:type="dxa"/>
            <w:tcBorders>
              <w:top w:val="nil"/>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r>
              <w:rPr>
                <w:b/>
                <w:noProof/>
                <w:sz w:val="20"/>
              </w:rPr>
              <w:t>Общо</w:t>
            </w:r>
          </w:p>
        </w:tc>
        <w:tc>
          <w:tcPr>
            <w:tcW w:w="1644"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16</w:t>
            </w:r>
          </w:p>
        </w:tc>
        <w:tc>
          <w:tcPr>
            <w:tcW w:w="1857"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25</w:t>
            </w:r>
          </w:p>
        </w:tc>
        <w:tc>
          <w:tcPr>
            <w:tcW w:w="1451" w:type="dxa"/>
            <w:tcBorders>
              <w:top w:val="nil"/>
              <w:left w:val="nil"/>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56</w:t>
            </w:r>
          </w:p>
        </w:tc>
        <w:tc>
          <w:tcPr>
            <w:tcW w:w="1335" w:type="dxa"/>
            <w:tcBorders>
              <w:top w:val="nil"/>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97</w:t>
            </w:r>
          </w:p>
        </w:tc>
      </w:tr>
    </w:tbl>
    <w:p>
      <w:pPr>
        <w:spacing w:before="120" w:after="120"/>
        <w:jc w:val="both"/>
        <w:rPr>
          <w:noProof/>
          <w:szCs w:val="20"/>
        </w:rPr>
      </w:pPr>
      <w:r>
        <w:rPr>
          <w:noProof/>
        </w:rPr>
        <w:t>Следва да се напомни, че режимите за персонала на СПЕС и ЕСВД са различни. Поради тази причина разходите за персонал трябва да бъдат преизчислени въз основа на средните стойности, използвани за съставянето на проектобюджета на ЕСВД за 2017 г. Тъй като прехвърлянето на СПЕС би било извършено в края на настоящия мандат (края на февруари 2017 г.), изчисленията се базират на 10-месечен период през 2017 г.</w:t>
      </w:r>
    </w:p>
    <w:p>
      <w:pPr>
        <w:tabs>
          <w:tab w:val="left" w:pos="612"/>
          <w:tab w:val="center" w:pos="4536"/>
        </w:tabs>
        <w:autoSpaceDE w:val="0"/>
        <w:autoSpaceDN w:val="0"/>
        <w:adjustRightInd w:val="0"/>
        <w:spacing w:before="100" w:beforeAutospacing="1" w:line="360" w:lineRule="auto"/>
        <w:jc w:val="center"/>
        <w:rPr>
          <w:rFonts w:eastAsia="TimesNewRoman"/>
          <w:b/>
          <w:noProof/>
        </w:rPr>
      </w:pPr>
      <w:r>
        <w:rPr>
          <w:b/>
          <w:noProof/>
        </w:rPr>
        <w:t>Брой на ЕПРВ и бюджетните кредити, които следва да бъдат прехвърлени към бюджета на ЕСВД</w:t>
      </w:r>
    </w:p>
    <w:tbl>
      <w:tblPr>
        <w:tblW w:w="9157" w:type="dxa"/>
        <w:jc w:val="center"/>
        <w:tblLook w:val="00E0" w:firstRow="1" w:lastRow="1" w:firstColumn="1" w:lastColumn="0" w:noHBand="0" w:noVBand="0"/>
      </w:tblPr>
      <w:tblGrid>
        <w:gridCol w:w="3487"/>
        <w:gridCol w:w="1532"/>
        <w:gridCol w:w="1799"/>
        <w:gridCol w:w="2339"/>
      </w:tblGrid>
      <w:tr>
        <w:trPr>
          <w:trHeight w:val="285"/>
          <w:jc w:val="center"/>
        </w:trPr>
        <w:tc>
          <w:tcPr>
            <w:tcW w:w="3487"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Категория персонал</w:t>
            </w:r>
          </w:p>
        </w:tc>
        <w:tc>
          <w:tcPr>
            <w:tcW w:w="1532"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pPr>
              <w:widowControl w:val="0"/>
              <w:spacing w:before="15" w:after="15" w:line="276" w:lineRule="auto"/>
              <w:ind w:right="-113"/>
              <w:jc w:val="center"/>
              <w:rPr>
                <w:b/>
                <w:noProof/>
                <w:sz w:val="20"/>
                <w:szCs w:val="20"/>
              </w:rPr>
            </w:pPr>
            <w:r>
              <w:rPr>
                <w:b/>
                <w:noProof/>
                <w:sz w:val="20"/>
              </w:rPr>
              <w:t>Брой ЕПРВ</w:t>
            </w:r>
          </w:p>
        </w:tc>
        <w:tc>
          <w:tcPr>
            <w:tcW w:w="1799" w:type="dxa"/>
            <w:tcBorders>
              <w:top w:val="single" w:sz="4" w:space="0" w:color="auto"/>
              <w:left w:val="nil"/>
              <w:bottom w:val="single" w:sz="4" w:space="0" w:color="auto"/>
              <w:right w:val="single" w:sz="8" w:space="0" w:color="auto"/>
            </w:tcBorders>
            <w:shd w:val="clear" w:color="auto" w:fill="D9D9D9" w:themeFill="background1" w:themeFillShade="D9"/>
            <w:vAlign w:val="center"/>
          </w:tcPr>
          <w:p>
            <w:pPr>
              <w:widowControl w:val="0"/>
              <w:spacing w:before="15" w:after="15" w:line="276" w:lineRule="auto"/>
              <w:ind w:right="-113"/>
              <w:jc w:val="center"/>
              <w:rPr>
                <w:b/>
                <w:noProof/>
                <w:sz w:val="20"/>
                <w:szCs w:val="20"/>
              </w:rPr>
            </w:pPr>
            <w:r>
              <w:rPr>
                <w:b/>
                <w:noProof/>
                <w:sz w:val="20"/>
              </w:rPr>
              <w:t>Преки разходи за заплати и възнаграждения*</w:t>
            </w:r>
          </w:p>
        </w:tc>
        <w:tc>
          <w:tcPr>
            <w:tcW w:w="2339" w:type="dxa"/>
            <w:tcBorders>
              <w:top w:val="single" w:sz="4" w:space="0" w:color="auto"/>
              <w:left w:val="nil"/>
              <w:bottom w:val="single" w:sz="4" w:space="0" w:color="auto"/>
              <w:right w:val="single" w:sz="8" w:space="0" w:color="auto"/>
            </w:tcBorders>
            <w:shd w:val="clear" w:color="auto" w:fill="D9D9D9" w:themeFill="background1" w:themeFillShade="D9"/>
            <w:vAlign w:val="center"/>
          </w:tcPr>
          <w:p>
            <w:pPr>
              <w:widowControl w:val="0"/>
              <w:spacing w:before="15" w:after="15" w:line="276" w:lineRule="auto"/>
              <w:ind w:right="-113"/>
              <w:jc w:val="center"/>
              <w:rPr>
                <w:b/>
                <w:noProof/>
                <w:sz w:val="20"/>
                <w:szCs w:val="20"/>
              </w:rPr>
            </w:pPr>
            <w:r>
              <w:rPr>
                <w:b/>
                <w:noProof/>
                <w:sz w:val="20"/>
              </w:rPr>
              <w:t xml:space="preserve">Други свързани разходи* </w:t>
            </w:r>
            <w:r>
              <w:rPr>
                <w:noProof/>
                <w:sz w:val="20"/>
              </w:rPr>
              <w:t>(наеми, сигурност, командировки, телекомуникационни услуги и т.н.)</w:t>
            </w:r>
          </w:p>
        </w:tc>
      </w:tr>
      <w:tr>
        <w:trPr>
          <w:trHeight w:val="285"/>
          <w:jc w:val="center"/>
        </w:trPr>
        <w:tc>
          <w:tcPr>
            <w:tcW w:w="3487" w:type="dxa"/>
            <w:tcBorders>
              <w:top w:val="single" w:sz="4" w:space="0" w:color="auto"/>
              <w:left w:val="single" w:sz="8" w:space="0" w:color="auto"/>
              <w:bottom w:val="nil"/>
              <w:right w:val="single" w:sz="4" w:space="0" w:color="auto"/>
            </w:tcBorders>
            <w:noWrap/>
            <w:vAlign w:val="bottom"/>
          </w:tcPr>
          <w:p>
            <w:pPr>
              <w:widowControl w:val="0"/>
              <w:spacing w:before="15" w:after="15" w:line="276" w:lineRule="auto"/>
              <w:ind w:right="-113"/>
              <w:jc w:val="both"/>
              <w:rPr>
                <w:noProof/>
                <w:sz w:val="20"/>
                <w:szCs w:val="20"/>
              </w:rPr>
            </w:pPr>
            <w:r>
              <w:rPr>
                <w:noProof/>
                <w:sz w:val="20"/>
              </w:rPr>
              <w:t>Договорно наети служители</w:t>
            </w:r>
          </w:p>
        </w:tc>
        <w:tc>
          <w:tcPr>
            <w:tcW w:w="1532" w:type="dxa"/>
            <w:tcBorders>
              <w:top w:val="single" w:sz="4" w:space="0" w:color="auto"/>
              <w:left w:val="nil"/>
              <w:bottom w:val="nil"/>
              <w:right w:val="single" w:sz="8" w:space="0" w:color="auto"/>
            </w:tcBorders>
            <w:noWrap/>
            <w:vAlign w:val="bottom"/>
          </w:tcPr>
          <w:p>
            <w:pPr>
              <w:widowControl w:val="0"/>
              <w:spacing w:before="15" w:after="15" w:line="276" w:lineRule="auto"/>
              <w:ind w:right="-113"/>
              <w:jc w:val="center"/>
              <w:rPr>
                <w:noProof/>
                <w:sz w:val="20"/>
                <w:szCs w:val="20"/>
              </w:rPr>
            </w:pPr>
            <w:r>
              <w:rPr>
                <w:noProof/>
                <w:sz w:val="20"/>
              </w:rPr>
              <w:t>16</w:t>
            </w:r>
          </w:p>
        </w:tc>
        <w:tc>
          <w:tcPr>
            <w:tcW w:w="1799" w:type="dxa"/>
            <w:tcBorders>
              <w:top w:val="single" w:sz="4" w:space="0" w:color="auto"/>
              <w:left w:val="nil"/>
              <w:bottom w:val="nil"/>
              <w:right w:val="single" w:sz="8" w:space="0" w:color="auto"/>
            </w:tcBorders>
          </w:tcPr>
          <w:p>
            <w:pPr>
              <w:widowControl w:val="0"/>
              <w:spacing w:before="15" w:after="15" w:line="276" w:lineRule="auto"/>
              <w:jc w:val="right"/>
              <w:rPr>
                <w:noProof/>
                <w:sz w:val="20"/>
                <w:szCs w:val="20"/>
              </w:rPr>
            </w:pPr>
            <w:r>
              <w:rPr>
                <w:noProof/>
                <w:sz w:val="20"/>
              </w:rPr>
              <w:t>1 685 000</w:t>
            </w:r>
          </w:p>
        </w:tc>
        <w:tc>
          <w:tcPr>
            <w:tcW w:w="2339" w:type="dxa"/>
            <w:tcBorders>
              <w:top w:val="single" w:sz="4" w:space="0" w:color="auto"/>
              <w:left w:val="nil"/>
              <w:bottom w:val="nil"/>
              <w:right w:val="single" w:sz="8" w:space="0" w:color="auto"/>
            </w:tcBorders>
          </w:tcPr>
          <w:p>
            <w:pPr>
              <w:widowControl w:val="0"/>
              <w:spacing w:before="15" w:after="15" w:line="276" w:lineRule="auto"/>
              <w:jc w:val="right"/>
              <w:rPr>
                <w:noProof/>
                <w:sz w:val="20"/>
                <w:szCs w:val="20"/>
              </w:rPr>
            </w:pPr>
          </w:p>
        </w:tc>
      </w:tr>
      <w:tr>
        <w:trPr>
          <w:trHeight w:val="285"/>
          <w:jc w:val="center"/>
        </w:trPr>
        <w:tc>
          <w:tcPr>
            <w:tcW w:w="3487" w:type="dxa"/>
            <w:tcBorders>
              <w:top w:val="nil"/>
              <w:left w:val="single" w:sz="8" w:space="0" w:color="auto"/>
              <w:bottom w:val="nil"/>
              <w:right w:val="single" w:sz="4" w:space="0" w:color="auto"/>
            </w:tcBorders>
            <w:noWrap/>
            <w:vAlign w:val="bottom"/>
          </w:tcPr>
          <w:p>
            <w:pPr>
              <w:widowControl w:val="0"/>
              <w:spacing w:before="15" w:after="15" w:line="276" w:lineRule="auto"/>
              <w:ind w:right="-113"/>
              <w:jc w:val="both"/>
              <w:rPr>
                <w:noProof/>
                <w:sz w:val="20"/>
                <w:szCs w:val="20"/>
              </w:rPr>
            </w:pPr>
            <w:r>
              <w:rPr>
                <w:noProof/>
                <w:sz w:val="20"/>
              </w:rPr>
              <w:t>Командировани национални експерти</w:t>
            </w:r>
          </w:p>
        </w:tc>
        <w:tc>
          <w:tcPr>
            <w:tcW w:w="1532" w:type="dxa"/>
            <w:tcBorders>
              <w:top w:val="nil"/>
              <w:left w:val="nil"/>
              <w:bottom w:val="nil"/>
              <w:right w:val="single" w:sz="8" w:space="0" w:color="auto"/>
            </w:tcBorders>
            <w:noWrap/>
            <w:vAlign w:val="bottom"/>
          </w:tcPr>
          <w:p>
            <w:pPr>
              <w:widowControl w:val="0"/>
              <w:spacing w:before="15" w:after="15" w:line="276" w:lineRule="auto"/>
              <w:ind w:right="-113"/>
              <w:jc w:val="center"/>
              <w:rPr>
                <w:noProof/>
                <w:sz w:val="20"/>
                <w:szCs w:val="20"/>
              </w:rPr>
            </w:pPr>
            <w:r>
              <w:rPr>
                <w:noProof/>
                <w:sz w:val="20"/>
              </w:rPr>
              <w:t>25</w:t>
            </w:r>
          </w:p>
        </w:tc>
        <w:tc>
          <w:tcPr>
            <w:tcW w:w="1799" w:type="dxa"/>
            <w:tcBorders>
              <w:top w:val="nil"/>
              <w:left w:val="nil"/>
              <w:bottom w:val="nil"/>
              <w:right w:val="single" w:sz="8" w:space="0" w:color="auto"/>
            </w:tcBorders>
          </w:tcPr>
          <w:p>
            <w:pPr>
              <w:widowControl w:val="0"/>
              <w:spacing w:before="15" w:after="15" w:line="276" w:lineRule="auto"/>
              <w:jc w:val="right"/>
              <w:rPr>
                <w:noProof/>
                <w:sz w:val="20"/>
                <w:szCs w:val="20"/>
              </w:rPr>
            </w:pPr>
            <w:r>
              <w:rPr>
                <w:noProof/>
                <w:sz w:val="20"/>
              </w:rPr>
              <w:t>1 540 000</w:t>
            </w:r>
          </w:p>
        </w:tc>
        <w:tc>
          <w:tcPr>
            <w:tcW w:w="2339" w:type="dxa"/>
            <w:tcBorders>
              <w:top w:val="nil"/>
              <w:left w:val="nil"/>
              <w:bottom w:val="nil"/>
              <w:right w:val="single" w:sz="8" w:space="0" w:color="auto"/>
            </w:tcBorders>
          </w:tcPr>
          <w:p>
            <w:pPr>
              <w:widowControl w:val="0"/>
              <w:spacing w:before="15" w:after="15" w:line="276" w:lineRule="auto"/>
              <w:jc w:val="right"/>
              <w:rPr>
                <w:noProof/>
                <w:sz w:val="20"/>
                <w:szCs w:val="20"/>
              </w:rPr>
            </w:pPr>
          </w:p>
        </w:tc>
      </w:tr>
      <w:tr>
        <w:trPr>
          <w:trHeight w:val="285"/>
          <w:jc w:val="center"/>
        </w:trPr>
        <w:tc>
          <w:tcPr>
            <w:tcW w:w="3487" w:type="dxa"/>
            <w:tcBorders>
              <w:top w:val="nil"/>
              <w:left w:val="single" w:sz="8" w:space="0" w:color="auto"/>
              <w:bottom w:val="single" w:sz="8" w:space="0" w:color="auto"/>
              <w:right w:val="single" w:sz="4" w:space="0" w:color="auto"/>
            </w:tcBorders>
            <w:noWrap/>
            <w:vAlign w:val="bottom"/>
          </w:tcPr>
          <w:p>
            <w:pPr>
              <w:widowControl w:val="0"/>
              <w:spacing w:before="15" w:after="15" w:line="276" w:lineRule="auto"/>
              <w:ind w:right="-113"/>
              <w:jc w:val="both"/>
              <w:rPr>
                <w:noProof/>
                <w:sz w:val="20"/>
                <w:szCs w:val="20"/>
              </w:rPr>
            </w:pPr>
            <w:r>
              <w:rPr>
                <w:noProof/>
                <w:sz w:val="20"/>
              </w:rPr>
              <w:t>Местни служители</w:t>
            </w:r>
          </w:p>
        </w:tc>
        <w:tc>
          <w:tcPr>
            <w:tcW w:w="1532" w:type="dxa"/>
            <w:tcBorders>
              <w:top w:val="nil"/>
              <w:left w:val="nil"/>
              <w:bottom w:val="single" w:sz="8" w:space="0" w:color="auto"/>
              <w:right w:val="single" w:sz="8" w:space="0" w:color="auto"/>
            </w:tcBorders>
            <w:noWrap/>
            <w:vAlign w:val="bottom"/>
          </w:tcPr>
          <w:p>
            <w:pPr>
              <w:widowControl w:val="0"/>
              <w:spacing w:before="15" w:after="15" w:line="276" w:lineRule="auto"/>
              <w:ind w:right="-113"/>
              <w:jc w:val="center"/>
              <w:rPr>
                <w:noProof/>
                <w:sz w:val="20"/>
                <w:szCs w:val="20"/>
              </w:rPr>
            </w:pPr>
            <w:r>
              <w:rPr>
                <w:noProof/>
                <w:sz w:val="20"/>
              </w:rPr>
              <w:t>56</w:t>
            </w:r>
          </w:p>
        </w:tc>
        <w:tc>
          <w:tcPr>
            <w:tcW w:w="1799" w:type="dxa"/>
            <w:tcBorders>
              <w:top w:val="nil"/>
              <w:left w:val="nil"/>
              <w:bottom w:val="single" w:sz="8" w:space="0" w:color="auto"/>
              <w:right w:val="single" w:sz="8" w:space="0" w:color="auto"/>
            </w:tcBorders>
          </w:tcPr>
          <w:p>
            <w:pPr>
              <w:widowControl w:val="0"/>
              <w:spacing w:before="15" w:after="15" w:line="276" w:lineRule="auto"/>
              <w:jc w:val="right"/>
              <w:rPr>
                <w:noProof/>
                <w:sz w:val="20"/>
                <w:szCs w:val="20"/>
              </w:rPr>
            </w:pPr>
            <w:r>
              <w:rPr>
                <w:noProof/>
                <w:sz w:val="20"/>
              </w:rPr>
              <w:t>1 960 000</w:t>
            </w:r>
          </w:p>
        </w:tc>
        <w:tc>
          <w:tcPr>
            <w:tcW w:w="2339" w:type="dxa"/>
            <w:tcBorders>
              <w:top w:val="nil"/>
              <w:left w:val="nil"/>
              <w:bottom w:val="single" w:sz="8" w:space="0" w:color="auto"/>
              <w:right w:val="single" w:sz="8" w:space="0" w:color="auto"/>
            </w:tcBorders>
          </w:tcPr>
          <w:p>
            <w:pPr>
              <w:widowControl w:val="0"/>
              <w:spacing w:before="15" w:after="15" w:line="276" w:lineRule="auto"/>
              <w:jc w:val="right"/>
              <w:rPr>
                <w:noProof/>
                <w:sz w:val="20"/>
                <w:szCs w:val="20"/>
              </w:rPr>
            </w:pPr>
          </w:p>
        </w:tc>
      </w:tr>
      <w:tr>
        <w:trPr>
          <w:trHeight w:val="285"/>
          <w:jc w:val="center"/>
        </w:trPr>
        <w:tc>
          <w:tcPr>
            <w:tcW w:w="348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r>
              <w:rPr>
                <w:b/>
                <w:noProof/>
                <w:sz w:val="20"/>
              </w:rPr>
              <w:t>Общо</w:t>
            </w:r>
          </w:p>
        </w:tc>
        <w:tc>
          <w:tcPr>
            <w:tcW w:w="1532"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szCs w:val="20"/>
              </w:rPr>
              <w:fldChar w:fldCharType="begin"/>
            </w:r>
            <w:r>
              <w:rPr>
                <w:b/>
                <w:noProof/>
                <w:sz w:val="20"/>
                <w:szCs w:val="20"/>
              </w:rPr>
              <w:instrText xml:space="preserve"> =SUM(ABOVE) </w:instrText>
            </w:r>
            <w:r>
              <w:rPr>
                <w:b/>
                <w:noProof/>
                <w:sz w:val="20"/>
                <w:szCs w:val="20"/>
              </w:rPr>
              <w:fldChar w:fldCharType="separate"/>
            </w:r>
            <w:r>
              <w:rPr>
                <w:b/>
                <w:noProof/>
                <w:sz w:val="20"/>
                <w:szCs w:val="20"/>
              </w:rPr>
              <w:t>97</w:t>
            </w:r>
            <w:r>
              <w:rPr>
                <w:b/>
                <w:noProof/>
                <w:sz w:val="20"/>
                <w:szCs w:val="20"/>
              </w:rPr>
              <w:fldChar w:fldCharType="end"/>
            </w:r>
          </w:p>
        </w:tc>
        <w:tc>
          <w:tcPr>
            <w:tcW w:w="1799" w:type="dxa"/>
            <w:tcBorders>
              <w:top w:val="single" w:sz="8" w:space="0" w:color="auto"/>
              <w:left w:val="nil"/>
              <w:bottom w:val="single" w:sz="8" w:space="0" w:color="auto"/>
              <w:right w:val="single" w:sz="8" w:space="0" w:color="auto"/>
            </w:tcBorders>
            <w:shd w:val="clear" w:color="auto" w:fill="D9D9D9" w:themeFill="background1" w:themeFillShade="D9"/>
          </w:tcPr>
          <w:p>
            <w:pPr>
              <w:widowControl w:val="0"/>
              <w:spacing w:before="15" w:after="15" w:line="276" w:lineRule="auto"/>
              <w:jc w:val="right"/>
              <w:rPr>
                <w:b/>
                <w:noProof/>
                <w:sz w:val="20"/>
                <w:szCs w:val="20"/>
              </w:rPr>
            </w:pPr>
            <w:r>
              <w:rPr>
                <w:b/>
                <w:noProof/>
                <w:sz w:val="20"/>
                <w:szCs w:val="20"/>
              </w:rPr>
              <w:fldChar w:fldCharType="begin"/>
            </w:r>
            <w:r>
              <w:rPr>
                <w:b/>
                <w:noProof/>
                <w:sz w:val="20"/>
                <w:szCs w:val="20"/>
              </w:rPr>
              <w:instrText xml:space="preserve"> =SUM(ABOVE) </w:instrText>
            </w:r>
            <w:r>
              <w:rPr>
                <w:b/>
                <w:noProof/>
                <w:sz w:val="20"/>
                <w:szCs w:val="20"/>
              </w:rPr>
              <w:fldChar w:fldCharType="separate"/>
            </w:r>
            <w:r>
              <w:rPr>
                <w:b/>
                <w:noProof/>
                <w:sz w:val="20"/>
                <w:szCs w:val="20"/>
              </w:rPr>
              <w:t>5 185 000</w:t>
            </w:r>
            <w:r>
              <w:rPr>
                <w:b/>
                <w:noProof/>
                <w:sz w:val="20"/>
                <w:szCs w:val="20"/>
              </w:rPr>
              <w:fldChar w:fldCharType="end"/>
            </w:r>
          </w:p>
        </w:tc>
        <w:tc>
          <w:tcPr>
            <w:tcW w:w="2339" w:type="dxa"/>
            <w:tcBorders>
              <w:top w:val="single" w:sz="8" w:space="0" w:color="auto"/>
              <w:left w:val="nil"/>
              <w:bottom w:val="single" w:sz="8" w:space="0" w:color="auto"/>
              <w:right w:val="single" w:sz="8" w:space="0" w:color="auto"/>
            </w:tcBorders>
            <w:shd w:val="clear" w:color="auto" w:fill="D9D9D9" w:themeFill="background1" w:themeFillShade="D9"/>
          </w:tcPr>
          <w:p>
            <w:pPr>
              <w:widowControl w:val="0"/>
              <w:spacing w:before="15" w:after="15" w:line="276" w:lineRule="auto"/>
              <w:jc w:val="right"/>
              <w:rPr>
                <w:b/>
                <w:noProof/>
                <w:sz w:val="20"/>
                <w:szCs w:val="20"/>
              </w:rPr>
            </w:pPr>
            <w:r>
              <w:rPr>
                <w:b/>
                <w:noProof/>
                <w:sz w:val="20"/>
              </w:rPr>
              <w:t>4 891 000</w:t>
            </w:r>
          </w:p>
        </w:tc>
      </w:tr>
      <w:tr>
        <w:trPr>
          <w:trHeight w:val="285"/>
          <w:jc w:val="center"/>
        </w:trPr>
        <w:tc>
          <w:tcPr>
            <w:tcW w:w="9157" w:type="dxa"/>
            <w:gridSpan w:val="4"/>
            <w:tcBorders>
              <w:top w:val="single" w:sz="8" w:space="0" w:color="auto"/>
            </w:tcBorders>
            <w:shd w:val="clear" w:color="auto" w:fill="FFFFFF" w:themeFill="background1"/>
            <w:noWrap/>
            <w:vAlign w:val="bottom"/>
          </w:tcPr>
          <w:p>
            <w:pPr>
              <w:widowControl w:val="0"/>
              <w:spacing w:before="15" w:after="15" w:line="276" w:lineRule="auto"/>
              <w:rPr>
                <w:b/>
                <w:noProof/>
                <w:sz w:val="20"/>
                <w:szCs w:val="20"/>
              </w:rPr>
            </w:pPr>
            <w:r>
              <w:rPr>
                <w:noProof/>
                <w:sz w:val="20"/>
              </w:rPr>
              <w:t>*10-месечна база</w:t>
            </w:r>
          </w:p>
        </w:tc>
      </w:tr>
    </w:tbl>
    <w:p>
      <w:pPr>
        <w:spacing w:before="120" w:after="120"/>
        <w:jc w:val="both"/>
        <w:rPr>
          <w:noProof/>
          <w:szCs w:val="20"/>
        </w:rPr>
      </w:pPr>
      <w:r>
        <w:rPr>
          <w:noProof/>
        </w:rPr>
        <w:t xml:space="preserve">Съответното намаление в ОВППС следва да обхваща 12-месечен период, тъй като годишните бюджети на СПЕС са отпуснати изцяло при всяко подновяване на мандата. Поради това с настоящото писмо за внасяне на корекции се предлага да се намали бюджетен ред ОВППС с 13,8 млн. евро и да се увеличи бюджета на ЕСВД с 10,1 млн. евро, вследствие на което нетното намаление на разходите през 2017 г. ще бъде 3,7 млн. евро. </w:t>
      </w:r>
    </w:p>
    <w:p>
      <w:pPr>
        <w:spacing w:before="120" w:after="120"/>
        <w:jc w:val="both"/>
        <w:rPr>
          <w:noProof/>
          <w:szCs w:val="20"/>
        </w:rPr>
      </w:pPr>
      <w:r>
        <w:rPr>
          <w:noProof/>
        </w:rPr>
        <w:t>При съпоставяне на годишна база, предложеното прехвърляне ще позволи да се реализират икономии в размер на 18 ЕПРВ и 1,7 млн. евро спрямо настоящото положение. Отражението върху функция 5 е показано в таблицата в раздел 5.2 по-долу.</w:t>
      </w:r>
    </w:p>
    <w:p>
      <w:pPr>
        <w:spacing w:before="120" w:after="120"/>
        <w:jc w:val="both"/>
        <w:rPr>
          <w:b/>
          <w:noProof/>
          <w:szCs w:val="20"/>
        </w:rPr>
      </w:pPr>
      <w:r>
        <w:rPr>
          <w:b/>
          <w:noProof/>
        </w:rPr>
        <w:t>Раздел III — Комисия (функция 4)</w:t>
      </w:r>
    </w:p>
    <w:tbl>
      <w:tblPr>
        <w:tblW w:w="9886" w:type="dxa"/>
        <w:tblInd w:w="108" w:type="dxa"/>
        <w:tblLayout w:type="fixed"/>
        <w:tblLook w:val="00E0" w:firstRow="1" w:lastRow="1" w:firstColumn="1" w:lastColumn="0" w:noHBand="0" w:noVBand="0"/>
      </w:tblPr>
      <w:tblGrid>
        <w:gridCol w:w="1507"/>
        <w:gridCol w:w="1396"/>
        <w:gridCol w:w="1397"/>
        <w:gridCol w:w="1396"/>
        <w:gridCol w:w="1397"/>
        <w:gridCol w:w="1396"/>
        <w:gridCol w:w="1397"/>
      </w:tblGrid>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jc w:val="center"/>
              <w:rPr>
                <w:b/>
                <w:noProof/>
                <w:sz w:val="20"/>
                <w:szCs w:val="20"/>
              </w:rPr>
            </w:pPr>
            <w:r>
              <w:rPr>
                <w:b/>
                <w:noProof/>
                <w:sz w:val="16"/>
              </w:rPr>
              <w:t>Проектобюджет за 2017 г.</w:t>
            </w:r>
          </w:p>
        </w:tc>
        <w:tc>
          <w:tcPr>
            <w:tcW w:w="279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rPr>
            </w:pPr>
            <w:r>
              <w:rPr>
                <w:b/>
                <w:noProof/>
                <w:sz w:val="16"/>
              </w:rPr>
              <w:t>Писмо за внасяне на корекции</w:t>
            </w:r>
            <w:r>
              <w:rPr>
                <w:b/>
                <w:noProof/>
                <w:sz w:val="16"/>
                <w:szCs w:val="16"/>
              </w:rPr>
              <w:br/>
            </w:r>
            <w:r>
              <w:rPr>
                <w:b/>
                <w:noProof/>
                <w:sz w:val="16"/>
              </w:rPr>
              <w:t xml:space="preserve"> № 1/2017</w:t>
            </w: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rPr>
            </w:pPr>
            <w:r>
              <w:rPr>
                <w:b/>
                <w:noProof/>
                <w:sz w:val="16"/>
              </w:rPr>
              <w:t xml:space="preserve">Проектобюджет за 2017 г. </w:t>
            </w:r>
            <w:r>
              <w:rPr>
                <w:b/>
                <w:noProof/>
                <w:sz w:val="16"/>
                <w:szCs w:val="16"/>
              </w:rPr>
              <w:br/>
            </w:r>
            <w:r>
              <w:rPr>
                <w:b/>
                <w:noProof/>
                <w:sz w:val="16"/>
              </w:rPr>
              <w:t>(вкл. ПВК № 1/2017)</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rPr>
            </w:pPr>
            <w:r>
              <w:rPr>
                <w:b/>
                <w:noProof/>
                <w:sz w:val="16"/>
              </w:rPr>
              <w:t>Бюджетен ред</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rPr>
            </w:pPr>
            <w:r>
              <w:rPr>
                <w:b/>
                <w:noProof/>
                <w:sz w:val="16"/>
              </w:rPr>
              <w:t xml:space="preserve">Поети задължения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rPr>
            </w:pPr>
            <w:r>
              <w:rPr>
                <w:b/>
                <w:noProof/>
                <w:sz w:val="16"/>
              </w:rPr>
              <w:t xml:space="preserve">Плащания </w:t>
            </w:r>
          </w:p>
        </w:tc>
        <w:tc>
          <w:tcPr>
            <w:tcW w:w="13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rPr>
            </w:pPr>
            <w:r>
              <w:rPr>
                <w:b/>
                <w:noProof/>
                <w:sz w:val="16"/>
              </w:rPr>
              <w:t xml:space="preserve">Поети задължения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rPr>
            </w:pPr>
            <w:r>
              <w:rPr>
                <w:b/>
                <w:noProof/>
                <w:sz w:val="16"/>
              </w:rPr>
              <w:t xml:space="preserve">Плащания </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rPr>
            </w:pPr>
            <w:r>
              <w:rPr>
                <w:b/>
                <w:noProof/>
                <w:sz w:val="16"/>
              </w:rPr>
              <w:t xml:space="preserve">Поети задължения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jc w:val="center"/>
              <w:rPr>
                <w:b/>
                <w:noProof/>
                <w:sz w:val="16"/>
                <w:szCs w:val="16"/>
              </w:rPr>
            </w:pPr>
            <w:r>
              <w:rPr>
                <w:b/>
                <w:noProof/>
                <w:sz w:val="16"/>
              </w:rPr>
              <w:t xml:space="preserve">Плащания </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b/>
                <w:noProof/>
                <w:sz w:val="20"/>
                <w:szCs w:val="20"/>
              </w:rPr>
            </w:pPr>
            <w:r>
              <w:rPr>
                <w:noProof/>
                <w:sz w:val="20"/>
              </w:rPr>
              <w:t>19 03 01 07</w:t>
            </w:r>
          </w:p>
        </w:tc>
        <w:tc>
          <w:tcPr>
            <w:tcW w:w="1396" w:type="dxa"/>
            <w:tcBorders>
              <w:top w:val="single" w:sz="8" w:space="0" w:color="auto"/>
              <w:left w:val="nil"/>
              <w:bottom w:val="single" w:sz="8" w:space="0" w:color="auto"/>
              <w:right w:val="single" w:sz="8" w:space="0" w:color="auto"/>
            </w:tcBorders>
            <w:shd w:val="clear" w:color="auto" w:fill="auto"/>
            <w:noWrap/>
            <w:vAlign w:val="bottom"/>
          </w:tcPr>
          <w:p>
            <w:pPr>
              <w:widowControl w:val="0"/>
              <w:spacing w:before="15" w:after="15" w:line="276" w:lineRule="auto"/>
              <w:ind w:right="-113"/>
              <w:jc w:val="center"/>
              <w:rPr>
                <w:b/>
                <w:noProof/>
                <w:sz w:val="20"/>
                <w:szCs w:val="20"/>
              </w:rPr>
            </w:pPr>
            <w:r>
              <w:rPr>
                <w:noProof/>
                <w:sz w:val="20"/>
              </w:rPr>
              <w:t>24 020 000</w:t>
            </w:r>
          </w:p>
        </w:tc>
        <w:tc>
          <w:tcPr>
            <w:tcW w:w="1397"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rPr>
            </w:pPr>
            <w:r>
              <w:rPr>
                <w:noProof/>
                <w:sz w:val="20"/>
              </w:rPr>
              <w:t>26 861 438</w:t>
            </w:r>
          </w:p>
        </w:tc>
        <w:tc>
          <w:tcPr>
            <w:tcW w:w="1396"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rPr>
            </w:pPr>
            <w:r>
              <w:rPr>
                <w:noProof/>
                <w:sz w:val="20"/>
              </w:rPr>
              <w:t>- 13 770 000</w:t>
            </w:r>
          </w:p>
        </w:tc>
        <w:tc>
          <w:tcPr>
            <w:tcW w:w="1397"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rPr>
            </w:pPr>
            <w:r>
              <w:rPr>
                <w:noProof/>
                <w:sz w:val="20"/>
              </w:rPr>
              <w:t>- 13 770 000</w:t>
            </w:r>
          </w:p>
        </w:tc>
        <w:tc>
          <w:tcPr>
            <w:tcW w:w="1396" w:type="dxa"/>
            <w:tcBorders>
              <w:top w:val="single" w:sz="8" w:space="0" w:color="auto"/>
              <w:left w:val="nil"/>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rPr>
            </w:pPr>
            <w:r>
              <w:rPr>
                <w:noProof/>
                <w:sz w:val="20"/>
              </w:rPr>
              <w:t>10 250 000</w:t>
            </w:r>
          </w:p>
        </w:tc>
        <w:tc>
          <w:tcPr>
            <w:tcW w:w="1397" w:type="dxa"/>
            <w:tcBorders>
              <w:top w:val="single" w:sz="8" w:space="0" w:color="auto"/>
              <w:left w:val="single" w:sz="8" w:space="0" w:color="auto"/>
              <w:bottom w:val="single" w:sz="8" w:space="0" w:color="auto"/>
              <w:right w:val="single" w:sz="8" w:space="0" w:color="auto"/>
            </w:tcBorders>
            <w:shd w:val="clear" w:color="auto" w:fill="auto"/>
            <w:vAlign w:val="bottom"/>
          </w:tcPr>
          <w:p>
            <w:pPr>
              <w:widowControl w:val="0"/>
              <w:spacing w:before="15" w:after="15" w:line="276" w:lineRule="auto"/>
              <w:jc w:val="right"/>
              <w:rPr>
                <w:b/>
                <w:noProof/>
                <w:sz w:val="20"/>
                <w:szCs w:val="20"/>
              </w:rPr>
            </w:pPr>
            <w:r>
              <w:rPr>
                <w:noProof/>
                <w:sz w:val="20"/>
              </w:rPr>
              <w:t>13 091 438</w:t>
            </w:r>
          </w:p>
        </w:tc>
      </w:tr>
    </w:tbl>
    <w:p>
      <w:pPr>
        <w:spacing w:before="360" w:after="120"/>
        <w:jc w:val="both"/>
        <w:rPr>
          <w:b/>
          <w:noProof/>
          <w:szCs w:val="20"/>
        </w:rPr>
      </w:pPr>
      <w:r>
        <w:rPr>
          <w:b/>
          <w:noProof/>
        </w:rPr>
        <w:t>Раздел X — ЕСВД (функция 5)</w:t>
      </w:r>
    </w:p>
    <w:tbl>
      <w:tblPr>
        <w:tblW w:w="9886" w:type="dxa"/>
        <w:tblInd w:w="108" w:type="dxa"/>
        <w:tblLayout w:type="fixed"/>
        <w:tblLook w:val="00E0" w:firstRow="1" w:lastRow="1" w:firstColumn="1" w:lastColumn="0" w:noHBand="0" w:noVBand="0"/>
      </w:tblPr>
      <w:tblGrid>
        <w:gridCol w:w="1507"/>
        <w:gridCol w:w="1396"/>
        <w:gridCol w:w="1397"/>
        <w:gridCol w:w="1396"/>
        <w:gridCol w:w="1397"/>
        <w:gridCol w:w="1396"/>
        <w:gridCol w:w="1397"/>
      </w:tblGrid>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jc w:val="center"/>
              <w:rPr>
                <w:b/>
                <w:noProof/>
                <w:sz w:val="20"/>
                <w:szCs w:val="20"/>
              </w:rPr>
            </w:pPr>
            <w:r>
              <w:rPr>
                <w:b/>
                <w:noProof/>
                <w:sz w:val="16"/>
              </w:rPr>
              <w:t>Проектобюджет за 2017 г.</w:t>
            </w:r>
          </w:p>
        </w:tc>
        <w:tc>
          <w:tcPr>
            <w:tcW w:w="279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rPr>
            </w:pPr>
            <w:r>
              <w:rPr>
                <w:b/>
                <w:noProof/>
                <w:sz w:val="16"/>
              </w:rPr>
              <w:t>Писмо за внасяне на корекции</w:t>
            </w:r>
            <w:r>
              <w:rPr>
                <w:b/>
                <w:noProof/>
                <w:sz w:val="16"/>
                <w:szCs w:val="16"/>
              </w:rPr>
              <w:br/>
            </w:r>
            <w:r>
              <w:rPr>
                <w:b/>
                <w:noProof/>
                <w:sz w:val="16"/>
              </w:rPr>
              <w:t xml:space="preserve"> № 1/2017</w:t>
            </w:r>
          </w:p>
        </w:tc>
        <w:tc>
          <w:tcPr>
            <w:tcW w:w="2793" w:type="dxa"/>
            <w:gridSpan w:val="2"/>
            <w:tcBorders>
              <w:top w:val="single" w:sz="8" w:space="0" w:color="auto"/>
              <w:left w:val="nil"/>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center"/>
              <w:rPr>
                <w:b/>
                <w:noProof/>
                <w:sz w:val="20"/>
                <w:szCs w:val="20"/>
              </w:rPr>
            </w:pPr>
            <w:r>
              <w:rPr>
                <w:b/>
                <w:noProof/>
                <w:sz w:val="16"/>
              </w:rPr>
              <w:t xml:space="preserve">Проектобюджет за 2017 г. </w:t>
            </w:r>
            <w:r>
              <w:rPr>
                <w:b/>
                <w:noProof/>
                <w:sz w:val="16"/>
                <w:szCs w:val="16"/>
              </w:rPr>
              <w:br/>
            </w:r>
            <w:r>
              <w:rPr>
                <w:b/>
                <w:noProof/>
                <w:sz w:val="16"/>
              </w:rPr>
              <w:t>(вкл. ПВК № 1/2017)</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rPr>
            </w:pPr>
            <w:r>
              <w:rPr>
                <w:b/>
                <w:noProof/>
                <w:sz w:val="16"/>
              </w:rPr>
              <w:t>Бюджетен ред</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pPr>
              <w:widowControl w:val="0"/>
              <w:spacing w:before="20" w:after="20" w:line="276" w:lineRule="auto"/>
              <w:ind w:right="-113"/>
              <w:jc w:val="center"/>
              <w:rPr>
                <w:b/>
                <w:noProof/>
                <w:sz w:val="16"/>
                <w:szCs w:val="16"/>
              </w:rPr>
            </w:pPr>
            <w:r>
              <w:rPr>
                <w:b/>
                <w:noProof/>
                <w:sz w:val="16"/>
              </w:rPr>
              <w:t xml:space="preserve">Поети задължения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rPr>
            </w:pPr>
            <w:r>
              <w:rPr>
                <w:b/>
                <w:noProof/>
                <w:sz w:val="16"/>
              </w:rPr>
              <w:t xml:space="preserve">Плащания </w:t>
            </w:r>
          </w:p>
        </w:tc>
        <w:tc>
          <w:tcPr>
            <w:tcW w:w="13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rPr>
            </w:pPr>
            <w:r>
              <w:rPr>
                <w:b/>
                <w:noProof/>
                <w:sz w:val="16"/>
              </w:rPr>
              <w:t xml:space="preserve">Поети задължения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rPr>
            </w:pPr>
            <w:r>
              <w:rPr>
                <w:b/>
                <w:noProof/>
                <w:sz w:val="16"/>
              </w:rPr>
              <w:t xml:space="preserve">Плащания </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rPr>
            </w:pPr>
            <w:r>
              <w:rPr>
                <w:b/>
                <w:noProof/>
                <w:sz w:val="16"/>
              </w:rPr>
              <w:t xml:space="preserve">Поети задължения </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pPr>
              <w:widowControl w:val="0"/>
              <w:spacing w:before="20" w:after="20" w:line="276" w:lineRule="auto"/>
              <w:ind w:right="-113"/>
              <w:jc w:val="center"/>
              <w:rPr>
                <w:b/>
                <w:noProof/>
                <w:sz w:val="16"/>
                <w:szCs w:val="16"/>
              </w:rPr>
            </w:pPr>
            <w:r>
              <w:rPr>
                <w:b/>
                <w:noProof/>
                <w:sz w:val="16"/>
              </w:rPr>
              <w:t xml:space="preserve">Плащания </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rPr>
            </w:pPr>
            <w:r>
              <w:rPr>
                <w:noProof/>
                <w:sz w:val="20"/>
              </w:rPr>
              <w:t>3 0 0 1</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rPr>
            </w:pPr>
            <w:r>
              <w:rPr>
                <w:noProof/>
                <w:sz w:val="20"/>
              </w:rPr>
              <w:t xml:space="preserve">68 300 000 </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68 300 000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3 645 000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3 645 000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71 945 000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71 945 000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rPr>
            </w:pPr>
            <w:r>
              <w:rPr>
                <w:noProof/>
                <w:sz w:val="20"/>
              </w:rPr>
              <w:t>3 0 0 2</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rPr>
            </w:pPr>
            <w:r>
              <w:rPr>
                <w:noProof/>
                <w:sz w:val="20"/>
              </w:rPr>
              <w:t>27 911 000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27 911 000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1 980 000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1 980 000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29 891 000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29 891 000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rPr>
            </w:pPr>
            <w:r>
              <w:rPr>
                <w:noProof/>
                <w:sz w:val="20"/>
              </w:rPr>
              <w:t>3 0 0 3</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rPr>
            </w:pPr>
            <w:r>
              <w:rPr>
                <w:noProof/>
                <w:sz w:val="20"/>
              </w:rPr>
              <w:t>168 109 000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168 109 000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3 636 000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3 636 000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171 745 000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171 745 000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tcPr>
          <w:p>
            <w:pPr>
              <w:widowControl w:val="0"/>
              <w:spacing w:before="15" w:after="15" w:line="276" w:lineRule="auto"/>
              <w:ind w:right="-113"/>
              <w:jc w:val="both"/>
              <w:rPr>
                <w:noProof/>
                <w:sz w:val="20"/>
                <w:szCs w:val="20"/>
              </w:rPr>
            </w:pPr>
            <w:r>
              <w:rPr>
                <w:noProof/>
                <w:sz w:val="20"/>
              </w:rPr>
              <w:t>3 0 0 4</w:t>
            </w:r>
          </w:p>
        </w:tc>
        <w:tc>
          <w:tcPr>
            <w:tcW w:w="1396" w:type="dxa"/>
            <w:tcBorders>
              <w:top w:val="single" w:sz="8" w:space="0" w:color="auto"/>
              <w:left w:val="nil"/>
              <w:bottom w:val="single" w:sz="8" w:space="0" w:color="auto"/>
              <w:right w:val="single" w:sz="8" w:space="0" w:color="auto"/>
            </w:tcBorders>
            <w:shd w:val="clear" w:color="auto" w:fill="auto"/>
            <w:noWrap/>
          </w:tcPr>
          <w:p>
            <w:pPr>
              <w:widowControl w:val="0"/>
              <w:spacing w:before="15" w:after="15" w:line="276" w:lineRule="auto"/>
              <w:jc w:val="right"/>
              <w:rPr>
                <w:noProof/>
                <w:sz w:val="20"/>
                <w:szCs w:val="20"/>
              </w:rPr>
            </w:pPr>
            <w:r>
              <w:rPr>
                <w:noProof/>
                <w:sz w:val="20"/>
              </w:rPr>
              <w:t>45 227 000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45 227 000</w:t>
            </w:r>
          </w:p>
        </w:tc>
        <w:tc>
          <w:tcPr>
            <w:tcW w:w="1396"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815 000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815 000</w:t>
            </w:r>
          </w:p>
        </w:tc>
        <w:tc>
          <w:tcPr>
            <w:tcW w:w="1396" w:type="dxa"/>
            <w:tcBorders>
              <w:top w:val="single" w:sz="8" w:space="0" w:color="auto"/>
              <w:left w:val="nil"/>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46 042 000</w:t>
            </w:r>
          </w:p>
        </w:tc>
        <w:tc>
          <w:tcPr>
            <w:tcW w:w="1397" w:type="dxa"/>
            <w:tcBorders>
              <w:top w:val="single" w:sz="8" w:space="0" w:color="auto"/>
              <w:left w:val="single" w:sz="8" w:space="0" w:color="auto"/>
              <w:bottom w:val="single" w:sz="8" w:space="0" w:color="auto"/>
              <w:right w:val="single" w:sz="8" w:space="0" w:color="auto"/>
            </w:tcBorders>
            <w:shd w:val="clear" w:color="auto" w:fill="auto"/>
          </w:tcPr>
          <w:p>
            <w:pPr>
              <w:widowControl w:val="0"/>
              <w:spacing w:before="15" w:after="15" w:line="276" w:lineRule="auto"/>
              <w:jc w:val="right"/>
              <w:rPr>
                <w:noProof/>
                <w:sz w:val="20"/>
                <w:szCs w:val="20"/>
              </w:rPr>
            </w:pPr>
            <w:r>
              <w:rPr>
                <w:noProof/>
                <w:sz w:val="20"/>
              </w:rPr>
              <w:t>46 042 000</w:t>
            </w:r>
          </w:p>
        </w:tc>
      </w:tr>
      <w:tr>
        <w:trPr>
          <w:trHeight w:val="264"/>
        </w:trPr>
        <w:tc>
          <w:tcPr>
            <w:tcW w:w="150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pPr>
              <w:widowControl w:val="0"/>
              <w:spacing w:before="15" w:after="15" w:line="276" w:lineRule="auto"/>
              <w:ind w:right="-113"/>
              <w:jc w:val="both"/>
              <w:rPr>
                <w:b/>
                <w:noProof/>
                <w:sz w:val="20"/>
                <w:szCs w:val="20"/>
              </w:rPr>
            </w:pPr>
            <w:r>
              <w:rPr>
                <w:b/>
                <w:noProof/>
                <w:sz w:val="20"/>
              </w:rPr>
              <w:t>Общо</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pPr>
              <w:widowControl w:val="0"/>
              <w:spacing w:before="15" w:after="15" w:line="276" w:lineRule="auto"/>
              <w:ind w:right="-113"/>
              <w:jc w:val="center"/>
              <w:rPr>
                <w:b/>
                <w:noProof/>
                <w:sz w:val="20"/>
                <w:szCs w:val="20"/>
              </w:rPr>
            </w:pPr>
            <w:r>
              <w:rPr>
                <w:b/>
                <w:noProof/>
                <w:sz w:val="20"/>
              </w:rPr>
              <w:t>309 547 000</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rPr>
            </w:pPr>
            <w:r>
              <w:rPr>
                <w:b/>
                <w:noProof/>
                <w:sz w:val="20"/>
              </w:rPr>
              <w:t>309 547 000</w:t>
            </w:r>
          </w:p>
        </w:tc>
        <w:tc>
          <w:tcPr>
            <w:tcW w:w="13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rPr>
            </w:pPr>
            <w:r>
              <w:rPr>
                <w:b/>
                <w:noProof/>
                <w:sz w:val="20"/>
              </w:rPr>
              <w:t>10 076 000</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rPr>
            </w:pPr>
            <w:r>
              <w:rPr>
                <w:b/>
                <w:noProof/>
                <w:sz w:val="20"/>
              </w:rPr>
              <w:t>10 076 000</w:t>
            </w:r>
          </w:p>
        </w:tc>
        <w:tc>
          <w:tcPr>
            <w:tcW w:w="1396" w:type="dxa"/>
            <w:tcBorders>
              <w:top w:val="single" w:sz="8" w:space="0" w:color="auto"/>
              <w:left w:val="nil"/>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rPr>
            </w:pPr>
            <w:r>
              <w:rPr>
                <w:b/>
                <w:noProof/>
                <w:sz w:val="20"/>
              </w:rPr>
              <w:t>319 623 000</w:t>
            </w:r>
          </w:p>
        </w:tc>
        <w:tc>
          <w:tcPr>
            <w:tcW w:w="1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pPr>
              <w:widowControl w:val="0"/>
              <w:spacing w:before="15" w:after="15" w:line="276" w:lineRule="auto"/>
              <w:jc w:val="right"/>
              <w:rPr>
                <w:b/>
                <w:noProof/>
                <w:sz w:val="20"/>
                <w:szCs w:val="20"/>
              </w:rPr>
            </w:pPr>
            <w:r>
              <w:rPr>
                <w:b/>
                <w:noProof/>
                <w:sz w:val="20"/>
              </w:rPr>
              <w:t>319 623 000</w:t>
            </w:r>
          </w:p>
        </w:tc>
      </w:tr>
    </w:tbl>
    <w:p>
      <w:pPr>
        <w:pStyle w:val="ManualHeading2"/>
        <w:numPr>
          <w:ilvl w:val="0"/>
          <w:numId w:val="0"/>
        </w:numPr>
        <w:tabs>
          <w:tab w:val="left" w:pos="851"/>
        </w:tabs>
        <w:ind w:left="851" w:hanging="851"/>
      </w:pPr>
      <w:bookmarkStart w:id="152" w:name="_Toc463004760"/>
      <w:bookmarkStart w:id="153" w:name="_Toc463004761"/>
      <w:bookmarkStart w:id="154" w:name="_Toc463004762"/>
      <w:bookmarkStart w:id="155" w:name="_Toc464138556"/>
      <w:bookmarkStart w:id="156" w:name="_Toc465250576"/>
      <w:bookmarkEnd w:id="152"/>
      <w:bookmarkEnd w:id="153"/>
      <w:bookmarkEnd w:id="154"/>
      <w:r>
        <w:t>5.4.</w:t>
      </w:r>
      <w:r>
        <w:tab/>
        <w:t>Възнаграждения и пенсии</w:t>
      </w:r>
      <w:bookmarkEnd w:id="155"/>
      <w:bookmarkEnd w:id="156"/>
    </w:p>
    <w:p>
      <w:pPr>
        <w:spacing w:before="120" w:after="120"/>
        <w:jc w:val="both"/>
        <w:rPr>
          <w:noProof/>
          <w:szCs w:val="20"/>
        </w:rPr>
      </w:pPr>
      <w:r>
        <w:rPr>
          <w:noProof/>
        </w:rPr>
        <w:t>В съответствие с членове 64 и 65 от Правилника за длъжностните лица възнаграждението на длъжностните лица и на останалите служители на Европейския съюз се актуализира всяка година въз основа на доклад, който се представя от Комисията и се изготвя на базата на данни, съставени от Евростат по споразумение с националните статистически служби на държавите членки, отразяващи ситуацията в държавите членки към 1 юли.</w:t>
      </w:r>
    </w:p>
    <w:p>
      <w:pPr>
        <w:spacing w:before="120" w:after="120"/>
        <w:jc w:val="both"/>
        <w:rPr>
          <w:noProof/>
          <w:szCs w:val="20"/>
        </w:rPr>
      </w:pPr>
      <w:r>
        <w:rPr>
          <w:noProof/>
        </w:rPr>
        <w:t>Изчисляването на актуализацията се базира на принципа на синхронизираните стойности на ръста на реалното (без инфлация) възнаграждение на длъжностните лица на ЕС и националните държавни служители на държавите членки. При него се отразява съчетаното въздействие на две основни променливи:</w:t>
      </w:r>
    </w:p>
    <w:p>
      <w:pPr>
        <w:numPr>
          <w:ilvl w:val="0"/>
          <w:numId w:val="22"/>
        </w:numPr>
        <w:spacing w:before="120" w:after="120"/>
        <w:ind w:left="426" w:hanging="426"/>
        <w:jc w:val="both"/>
        <w:rPr>
          <w:noProof/>
          <w:szCs w:val="20"/>
        </w:rPr>
      </w:pPr>
      <w:r>
        <w:rPr>
          <w:noProof/>
        </w:rPr>
        <w:t>годишния ръст на реалните заплати на държавните служители в органите на централното държавно управление по извадка от 11 държави, представляващи повече от 75 % от БВП на Съюза,</w:t>
      </w:r>
    </w:p>
    <w:p>
      <w:pPr>
        <w:numPr>
          <w:ilvl w:val="0"/>
          <w:numId w:val="22"/>
        </w:numPr>
        <w:spacing w:before="120" w:after="120"/>
        <w:ind w:left="426" w:hanging="426"/>
        <w:jc w:val="both"/>
        <w:rPr>
          <w:noProof/>
          <w:szCs w:val="20"/>
        </w:rPr>
      </w:pPr>
      <w:r>
        <w:rPr>
          <w:noProof/>
        </w:rPr>
        <w:t>годишната инфлация в Брюксел и Люксембург, изчислена чрез претегляне на инфлацията на националните потребителски цени, измерена с ХИПЦ за Белгия и ИПЦ за Люксембург в съответствие с разпределението на персонала, който работи в тези държави членки.</w:t>
      </w:r>
    </w:p>
    <w:p>
      <w:pPr>
        <w:spacing w:before="120" w:after="120"/>
        <w:jc w:val="both"/>
        <w:rPr>
          <w:noProof/>
          <w:szCs w:val="20"/>
        </w:rPr>
      </w:pPr>
      <w:r>
        <w:rPr>
          <w:noProof/>
        </w:rPr>
        <w:t>Прогнозните нива, използвани за втората половина на 2016 г. и за проектобюджета за 2017 г. са съответно 1,8 % и 2,1 %. Тъй като докладът за настоящата процедура предстои скоро, то е целесъобразно да се преразгледа ситуацията, като се има предвид, че всяко едно писмо за внасяне на корекции в бюджета за 2017 г. следва да бъде представено преди започването на помирителната процедура.</w:t>
      </w:r>
    </w:p>
    <w:p>
      <w:pPr>
        <w:spacing w:before="120" w:after="120"/>
        <w:jc w:val="both"/>
        <w:rPr>
          <w:noProof/>
        </w:rPr>
      </w:pPr>
      <w:r>
        <w:rPr>
          <w:noProof/>
        </w:rPr>
        <w:t>Годишният процент на инфлация за Белгия — на база на европейския хармонизиран индекс на потребителските цени — беше 1,8 % през месец юни, доста над средната стойност за ЕС от 0,1 %. Въпреки че тази стойност е почти равна на настоящия прогнозен процент, в последния трябва да се вземе предвид също така отражението върху покупателната способност на длъжностните лица на ЕС поради увеличението на реалните заплати на държавните служители в държавите членки с по-нисък процент на инфлация през същия период.</w:t>
      </w:r>
    </w:p>
    <w:p>
      <w:pPr>
        <w:spacing w:before="120" w:after="120"/>
        <w:jc w:val="both"/>
        <w:rPr>
          <w:noProof/>
        </w:rPr>
      </w:pPr>
      <w:r>
        <w:rPr>
          <w:noProof/>
        </w:rPr>
        <w:t>Въз основа на тези развития има голяма вероятност от актуализиране на заплатите до ниво, надвишаващо използваното за съставяне на бюджета за 2016 г. и прогнозите за 2017 г. Благоразумно е да се планират необходимите бюджетни кредити за покриване на увеличението на процента от подобен порядък като записания за актуализирането от 2015 г., т.е. +/-1,2 %.</w:t>
      </w:r>
    </w:p>
    <w:p>
      <w:pPr>
        <w:spacing w:before="120" w:after="120"/>
        <w:jc w:val="both"/>
        <w:rPr>
          <w:noProof/>
        </w:rPr>
      </w:pPr>
      <w:r>
        <w:rPr>
          <w:noProof/>
        </w:rPr>
        <w:t>Отражението върху бюджета от това би било в диапазона на 59,0 млн. евро за 2017 г., от които 27,8 млн. евро за Комисията и 19,1 млн. евро за пенсиите на всички институции.</w:t>
      </w:r>
    </w:p>
    <w:p>
      <w:pPr>
        <w:spacing w:before="120" w:after="120"/>
        <w:jc w:val="both"/>
        <w:rPr>
          <w:noProof/>
        </w:rPr>
      </w:pPr>
      <w:r>
        <w:rPr>
          <w:noProof/>
        </w:rPr>
        <w:t>Поради тази причина с настоящото писмо за внасяне на корекции се предлага да бъдат поискани допълнителни бюджетни кредити за покриване на нуждите през 2017 г. за заплатите и пенсиите на всички институции. Тъй като срока за представяне на доклада на Евростат е ясно указан в приложение XI към Правилника за длъжностните лица, т.е. края на месец октомври, би било твърде късно да се предложи писмо за внасяне на корекции след окончателното определяне на процента. Поради това в настоящото предложение са включени вероятните нужди за всички институции, които могат да бъдат актуализирани, ако е необходимо, след финализирането на официалния доклад.</w:t>
      </w:r>
    </w:p>
    <w:p>
      <w:pPr>
        <w:spacing w:before="120" w:after="120"/>
        <w:jc w:val="both"/>
        <w:rPr>
          <w:noProof/>
        </w:rPr>
      </w:pPr>
      <w:r>
        <w:rPr>
          <w:noProof/>
        </w:rPr>
        <w:t>Примерната разбивка по вид разход и институция би била следната:</w:t>
      </w:r>
    </w:p>
    <w:p>
      <w:pPr>
        <w:rPr>
          <w:noProof/>
        </w:rPr>
      </w:pPr>
      <w:r>
        <w:rPr>
          <w:noProof/>
        </w:rPr>
        <w:br w:type="page"/>
      </w:r>
    </w:p>
    <w:tbl>
      <w:tblPr>
        <w:tblW w:w="9916" w:type="dxa"/>
        <w:jc w:val="center"/>
        <w:tblInd w:w="-167" w:type="dxa"/>
        <w:tblLayout w:type="fixed"/>
        <w:tblCellMar>
          <w:left w:w="40" w:type="dxa"/>
          <w:right w:w="40" w:type="dxa"/>
        </w:tblCellMar>
        <w:tblLook w:val="0000" w:firstRow="0" w:lastRow="0" w:firstColumn="0" w:lastColumn="0" w:noHBand="0" w:noVBand="0"/>
      </w:tblPr>
      <w:tblGrid>
        <w:gridCol w:w="1432"/>
        <w:gridCol w:w="2374"/>
        <w:gridCol w:w="1700"/>
        <w:gridCol w:w="1426"/>
        <w:gridCol w:w="1426"/>
        <w:gridCol w:w="1558"/>
      </w:tblGrid>
      <w:tr>
        <w:trPr>
          <w:trHeight w:val="164"/>
          <w:tblHeader/>
          <w:jc w:val="center"/>
        </w:trPr>
        <w:tc>
          <w:tcPr>
            <w:tcW w:w="1432" w:type="dxa"/>
            <w:shd w:val="clear" w:color="auto" w:fill="FFFFFF"/>
          </w:tcPr>
          <w:p>
            <w:pPr>
              <w:jc w:val="right"/>
              <w:rPr>
                <w:noProof/>
                <w:sz w:val="18"/>
                <w:szCs w:val="18"/>
              </w:rPr>
            </w:pPr>
          </w:p>
        </w:tc>
        <w:tc>
          <w:tcPr>
            <w:tcW w:w="8484" w:type="dxa"/>
            <w:gridSpan w:val="5"/>
            <w:shd w:val="clear" w:color="auto" w:fill="FFFFFF"/>
            <w:vAlign w:val="center"/>
          </w:tcPr>
          <w:p>
            <w:pPr>
              <w:jc w:val="right"/>
              <w:rPr>
                <w:noProof/>
                <w:sz w:val="18"/>
                <w:szCs w:val="18"/>
              </w:rPr>
            </w:pPr>
            <w:r>
              <w:rPr>
                <w:noProof/>
              </w:rPr>
              <w:br w:type="page"/>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vMerge w:val="restart"/>
            <w:tcBorders>
              <w:right w:val="single" w:sz="4" w:space="0" w:color="auto"/>
            </w:tcBorders>
            <w:shd w:val="clear" w:color="auto" w:fill="D9D9D9" w:themeFill="background1" w:themeFillShade="D9"/>
            <w:vAlign w:val="center"/>
          </w:tcPr>
          <w:p>
            <w:pPr>
              <w:widowControl w:val="0"/>
              <w:spacing w:before="15" w:after="15" w:line="276" w:lineRule="auto"/>
              <w:jc w:val="center"/>
              <w:rPr>
                <w:b/>
                <w:noProof/>
                <w:sz w:val="18"/>
                <w:szCs w:val="18"/>
              </w:rPr>
            </w:pPr>
            <w:r>
              <w:rPr>
                <w:b/>
                <w:noProof/>
                <w:sz w:val="18"/>
              </w:rPr>
              <w:t>Функция 5</w:t>
            </w:r>
          </w:p>
        </w:tc>
        <w:tc>
          <w:tcPr>
            <w:tcW w:w="1700" w:type="dxa"/>
            <w:vMerge w:val="restart"/>
            <w:tcBorders>
              <w:left w:val="single" w:sz="4" w:space="0" w:color="auto"/>
              <w:right w:val="single" w:sz="4" w:space="0" w:color="auto"/>
            </w:tcBorders>
            <w:shd w:val="clear" w:color="auto" w:fill="D9D9D9" w:themeFill="background1" w:themeFillShade="D9"/>
            <w:vAlign w:val="center"/>
          </w:tcPr>
          <w:p>
            <w:pPr>
              <w:widowControl w:val="0"/>
              <w:tabs>
                <w:tab w:val="left" w:pos="1350"/>
              </w:tabs>
              <w:spacing w:before="15" w:after="15" w:line="276" w:lineRule="auto"/>
              <w:jc w:val="center"/>
              <w:rPr>
                <w:b/>
                <w:noProof/>
                <w:sz w:val="18"/>
                <w:szCs w:val="18"/>
              </w:rPr>
            </w:pPr>
            <w:r>
              <w:rPr>
                <w:b/>
                <w:noProof/>
                <w:sz w:val="18"/>
              </w:rPr>
              <w:t xml:space="preserve">ПБ за 2017 г. </w:t>
            </w:r>
          </w:p>
        </w:tc>
        <w:tc>
          <w:tcPr>
            <w:tcW w:w="2852" w:type="dxa"/>
            <w:gridSpan w:val="2"/>
            <w:tcBorders>
              <w:left w:val="single" w:sz="4" w:space="0" w:color="auto"/>
              <w:bottom w:val="dotted" w:sz="4" w:space="0" w:color="auto"/>
              <w:right w:val="single" w:sz="4" w:space="0" w:color="auto"/>
            </w:tcBorders>
            <w:shd w:val="clear" w:color="auto" w:fill="D9D9D9" w:themeFill="background1" w:themeFillShade="D9"/>
            <w:vAlign w:val="center"/>
          </w:tcPr>
          <w:p>
            <w:pPr>
              <w:widowControl w:val="0"/>
              <w:spacing w:before="15" w:after="15" w:line="276" w:lineRule="auto"/>
              <w:jc w:val="center"/>
              <w:rPr>
                <w:b/>
                <w:noProof/>
                <w:sz w:val="18"/>
                <w:szCs w:val="18"/>
              </w:rPr>
            </w:pPr>
            <w:r>
              <w:rPr>
                <w:b/>
                <w:noProof/>
                <w:sz w:val="18"/>
              </w:rPr>
              <w:t>ПВК № 1/2017</w:t>
            </w:r>
          </w:p>
        </w:tc>
        <w:tc>
          <w:tcPr>
            <w:tcW w:w="1558" w:type="dxa"/>
            <w:vMerge w:val="restart"/>
            <w:tcBorders>
              <w:left w:val="single" w:sz="4" w:space="0" w:color="auto"/>
            </w:tcBorders>
            <w:shd w:val="clear" w:color="auto" w:fill="D9D9D9" w:themeFill="background1" w:themeFillShade="D9"/>
            <w:vAlign w:val="center"/>
          </w:tcPr>
          <w:p>
            <w:pPr>
              <w:widowControl w:val="0"/>
              <w:tabs>
                <w:tab w:val="left" w:pos="1350"/>
              </w:tabs>
              <w:spacing w:before="15" w:after="15" w:line="276" w:lineRule="auto"/>
              <w:jc w:val="center"/>
              <w:rPr>
                <w:b/>
                <w:noProof/>
                <w:sz w:val="18"/>
                <w:szCs w:val="18"/>
              </w:rPr>
            </w:pPr>
            <w:r>
              <w:rPr>
                <w:b/>
                <w:noProof/>
                <w:sz w:val="18"/>
              </w:rPr>
              <w:t xml:space="preserve">ПБ за 2017 г. </w:t>
            </w:r>
            <w:r>
              <w:rPr>
                <w:b/>
                <w:noProof/>
                <w:sz w:val="18"/>
                <w:szCs w:val="18"/>
              </w:rPr>
              <w:br/>
            </w:r>
            <w:r>
              <w:rPr>
                <w:b/>
                <w:noProof/>
                <w:sz w:val="18"/>
              </w:rPr>
              <w:t>(вкл. ПВК № 1/2017)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vMerge/>
            <w:tcBorders>
              <w:bottom w:val="single" w:sz="4" w:space="0" w:color="auto"/>
              <w:right w:val="single" w:sz="4" w:space="0" w:color="auto"/>
            </w:tcBorders>
            <w:shd w:val="clear" w:color="auto" w:fill="D9D9D9" w:themeFill="background1" w:themeFillShade="D9"/>
          </w:tcPr>
          <w:p>
            <w:pPr>
              <w:widowControl w:val="0"/>
              <w:spacing w:before="15" w:after="15" w:line="276" w:lineRule="auto"/>
              <w:jc w:val="both"/>
              <w:rPr>
                <w:b/>
                <w:noProof/>
                <w:sz w:val="18"/>
                <w:szCs w:val="18"/>
              </w:rPr>
            </w:pPr>
          </w:p>
        </w:tc>
        <w:tc>
          <w:tcPr>
            <w:tcW w:w="1700" w:type="dxa"/>
            <w:vMerge/>
            <w:tcBorders>
              <w:left w:val="single" w:sz="4" w:space="0" w:color="auto"/>
              <w:bottom w:val="single"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noProof/>
                <w:sz w:val="18"/>
                <w:szCs w:val="18"/>
              </w:rPr>
            </w:pPr>
          </w:p>
        </w:tc>
        <w:tc>
          <w:tcPr>
            <w:tcW w:w="1426" w:type="dxa"/>
            <w:tcBorders>
              <w:left w:val="single" w:sz="4" w:space="0" w:color="auto"/>
              <w:bottom w:val="single" w:sz="4" w:space="0" w:color="auto"/>
              <w:right w:val="dotted" w:sz="4" w:space="0" w:color="auto"/>
            </w:tcBorders>
            <w:shd w:val="clear" w:color="auto" w:fill="D9D9D9" w:themeFill="background1" w:themeFillShade="D9"/>
            <w:vAlign w:val="center"/>
          </w:tcPr>
          <w:p>
            <w:pPr>
              <w:widowControl w:val="0"/>
              <w:spacing w:before="15" w:after="15" w:line="276" w:lineRule="auto"/>
              <w:jc w:val="center"/>
              <w:rPr>
                <w:b/>
                <w:noProof/>
                <w:sz w:val="18"/>
                <w:szCs w:val="18"/>
              </w:rPr>
            </w:pPr>
            <w:r>
              <w:rPr>
                <w:b/>
                <w:noProof/>
                <w:sz w:val="18"/>
              </w:rPr>
              <w:t>Прехвърляне на СПЕС + промяна</w:t>
            </w:r>
            <w:r>
              <w:rPr>
                <w:b/>
                <w:noProof/>
                <w:sz w:val="18"/>
                <w:szCs w:val="18"/>
              </w:rPr>
              <w:br/>
            </w:r>
            <w:r>
              <w:rPr>
                <w:b/>
                <w:noProof/>
                <w:sz w:val="18"/>
              </w:rPr>
              <w:t>ЕИСК и КР</w:t>
            </w:r>
          </w:p>
        </w:tc>
        <w:tc>
          <w:tcPr>
            <w:tcW w:w="1426" w:type="dxa"/>
            <w:tcBorders>
              <w:left w:val="dotted" w:sz="4" w:space="0" w:color="auto"/>
              <w:bottom w:val="single" w:sz="4" w:space="0" w:color="auto"/>
              <w:right w:val="single" w:sz="4" w:space="0" w:color="auto"/>
            </w:tcBorders>
            <w:shd w:val="clear" w:color="auto" w:fill="D9D9D9" w:themeFill="background1" w:themeFillShade="D9"/>
            <w:vAlign w:val="center"/>
          </w:tcPr>
          <w:p>
            <w:pPr>
              <w:widowControl w:val="0"/>
              <w:spacing w:before="15" w:after="15" w:line="276" w:lineRule="auto"/>
              <w:jc w:val="center"/>
              <w:rPr>
                <w:b/>
                <w:noProof/>
                <w:sz w:val="18"/>
                <w:szCs w:val="18"/>
              </w:rPr>
            </w:pPr>
            <w:r>
              <w:rPr>
                <w:b/>
                <w:noProof/>
                <w:sz w:val="18"/>
              </w:rPr>
              <w:t>По-висока от прогнозната актуализация на заплатите през 2016 г.</w:t>
            </w:r>
            <w:r>
              <w:rPr>
                <w:b/>
                <w:noProof/>
                <w:sz w:val="18"/>
                <w:szCs w:val="18"/>
              </w:rPr>
              <w:br/>
            </w:r>
            <w:r>
              <w:rPr>
                <w:b/>
                <w:noProof/>
                <w:sz w:val="18"/>
              </w:rPr>
              <w:t>[12 месеца]</w:t>
            </w:r>
          </w:p>
        </w:tc>
        <w:tc>
          <w:tcPr>
            <w:tcW w:w="1558" w:type="dxa"/>
            <w:vMerge/>
            <w:tcBorders>
              <w:left w:val="single" w:sz="4" w:space="0" w:color="auto"/>
              <w:bottom w:val="single" w:sz="4" w:space="0" w:color="auto"/>
            </w:tcBorders>
            <w:shd w:val="clear" w:color="auto" w:fill="D9D9D9" w:themeFill="background1" w:themeFillShade="D9"/>
          </w:tcPr>
          <w:p>
            <w:pPr>
              <w:widowControl w:val="0"/>
              <w:spacing w:before="15" w:after="15" w:line="276" w:lineRule="auto"/>
              <w:jc w:val="right"/>
              <w:rPr>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single" w:sz="4" w:space="0" w:color="auto"/>
              <w:bottom w:val="dotted" w:sz="4" w:space="0" w:color="auto"/>
              <w:right w:val="single" w:sz="4" w:space="0" w:color="auto"/>
            </w:tcBorders>
          </w:tcPr>
          <w:p>
            <w:pPr>
              <w:widowControl w:val="0"/>
              <w:spacing w:before="15" w:after="15" w:line="276" w:lineRule="auto"/>
              <w:jc w:val="both"/>
              <w:rPr>
                <w:b/>
                <w:noProof/>
                <w:sz w:val="18"/>
                <w:szCs w:val="18"/>
              </w:rPr>
            </w:pPr>
            <w:r>
              <w:rPr>
                <w:b/>
                <w:noProof/>
                <w:sz w:val="18"/>
              </w:rPr>
              <w:t>Комисия</w:t>
            </w:r>
          </w:p>
        </w:tc>
        <w:tc>
          <w:tcPr>
            <w:tcW w:w="1700" w:type="dxa"/>
            <w:tcBorders>
              <w:top w:val="single"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rPr>
            </w:pPr>
            <w:r>
              <w:rPr>
                <w:b/>
                <w:noProof/>
                <w:sz w:val="18"/>
              </w:rPr>
              <w:t>3 466,0</w:t>
            </w:r>
          </w:p>
        </w:tc>
        <w:tc>
          <w:tcPr>
            <w:tcW w:w="1426" w:type="dxa"/>
            <w:tcBorders>
              <w:top w:val="single"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single"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27,8</w:t>
            </w:r>
          </w:p>
        </w:tc>
        <w:tc>
          <w:tcPr>
            <w:tcW w:w="1558" w:type="dxa"/>
            <w:tcBorders>
              <w:top w:val="single" w:sz="4" w:space="0" w:color="auto"/>
              <w:left w:val="single" w:sz="4" w:space="0" w:color="auto"/>
              <w:bottom w:val="dotted" w:sz="4" w:space="0" w:color="auto"/>
            </w:tcBorders>
          </w:tcPr>
          <w:p>
            <w:pPr>
              <w:widowControl w:val="0"/>
              <w:spacing w:before="15" w:after="15" w:line="276" w:lineRule="auto"/>
              <w:jc w:val="right"/>
              <w:rPr>
                <w:noProof/>
                <w:sz w:val="18"/>
                <w:szCs w:val="18"/>
              </w:rPr>
            </w:pPr>
            <w:r>
              <w:rPr>
                <w:b/>
                <w:noProof/>
                <w:sz w:val="18"/>
              </w:rPr>
              <w:t>3 493,8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both"/>
              <w:rPr>
                <w:noProof/>
                <w:sz w:val="18"/>
                <w:szCs w:val="18"/>
              </w:rPr>
            </w:pPr>
            <w:r>
              <w:rPr>
                <w:b/>
                <w:noProof/>
                <w:sz w:val="18"/>
              </w:rPr>
              <w:t>Други институции</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rPr>
            </w:pPr>
            <w:r>
              <w:rPr>
                <w:b/>
                <w:noProof/>
                <w:sz w:val="18"/>
              </w:rPr>
              <w:t>3 899,1</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r>
              <w:rPr>
                <w:b/>
                <w:noProof/>
                <w:sz w:val="18"/>
              </w:rPr>
              <w:t>12,0</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12,2</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3 923,3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Европейски парламент</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1 900,6</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0,0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1 900,6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Европейски съвет и Съвет</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559,5</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3,3</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562,8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Съд</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396,3</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3,1</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399,3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Сметна палата</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140,2</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1,4</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141,5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Европейски икономически и социален комитет</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131,9</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r>
              <w:rPr>
                <w:noProof/>
                <w:sz w:val="18"/>
              </w:rPr>
              <w:t>1,2</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0,7</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133,8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Комитет на регионите</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92,0</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r>
              <w:rPr>
                <w:noProof/>
                <w:sz w:val="18"/>
              </w:rPr>
              <w:t>0,8</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0,6</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93,3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Европейски омбудсман</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10,7</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0,0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10,7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Европейски надзорен орган по защита на данните</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11,2</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0,1</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11,3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ind w:left="318"/>
              <w:jc w:val="both"/>
              <w:rPr>
                <w:noProof/>
                <w:sz w:val="18"/>
                <w:szCs w:val="18"/>
              </w:rPr>
            </w:pPr>
            <w:r>
              <w:rPr>
                <w:noProof/>
                <w:sz w:val="18"/>
              </w:rPr>
              <w:t>Европейска служба за външна дейност</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noProof/>
                <w:sz w:val="18"/>
                <w:szCs w:val="18"/>
              </w:rPr>
            </w:pPr>
            <w:r>
              <w:rPr>
                <w:noProof/>
                <w:sz w:val="18"/>
              </w:rPr>
              <w:t>656,9</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r>
              <w:rPr>
                <w:noProof/>
                <w:sz w:val="18"/>
              </w:rPr>
              <w:t>10,1</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3,0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noProof/>
                <w:sz w:val="18"/>
              </w:rPr>
              <w:t>670,1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b/>
                <w:i/>
                <w:noProof/>
                <w:sz w:val="18"/>
                <w:szCs w:val="18"/>
              </w:rPr>
            </w:pPr>
            <w:r>
              <w:rPr>
                <w:b/>
                <w:i/>
                <w:noProof/>
                <w:sz w:val="18"/>
              </w:rPr>
              <w:t xml:space="preserve">Административни разходи </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i/>
                <w:noProof/>
                <w:sz w:val="18"/>
                <w:szCs w:val="18"/>
              </w:rPr>
            </w:pPr>
            <w:r>
              <w:rPr>
                <w:b/>
                <w:i/>
                <w:noProof/>
                <w:sz w:val="18"/>
              </w:rPr>
              <w:t>7 365,2</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r>
              <w:rPr>
                <w:b/>
                <w:noProof/>
                <w:sz w:val="18"/>
              </w:rPr>
              <w:t>12,0</w:t>
            </w: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39,9</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7 417,1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both"/>
              <w:rPr>
                <w:b/>
                <w:noProof/>
                <w:sz w:val="18"/>
                <w:szCs w:val="18"/>
              </w:rPr>
            </w:pPr>
            <w:r>
              <w:rPr>
                <w:b/>
                <w:noProof/>
                <w:sz w:val="18"/>
              </w:rPr>
              <w:t>Пенсии</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rPr>
            </w:pPr>
            <w:r>
              <w:rPr>
                <w:b/>
                <w:noProof/>
                <w:sz w:val="18"/>
              </w:rPr>
              <w:t>1 770,8</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19,1</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1 789,9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both"/>
              <w:rPr>
                <w:b/>
                <w:noProof/>
                <w:sz w:val="18"/>
                <w:szCs w:val="18"/>
              </w:rPr>
            </w:pPr>
            <w:r>
              <w:rPr>
                <w:b/>
                <w:noProof/>
                <w:sz w:val="18"/>
              </w:rPr>
              <w:t>Европейски училища</w:t>
            </w:r>
          </w:p>
        </w:tc>
        <w:tc>
          <w:tcPr>
            <w:tcW w:w="1700" w:type="dxa"/>
            <w:tcBorders>
              <w:top w:val="dotted" w:sz="4" w:space="0" w:color="auto"/>
              <w:left w:val="single" w:sz="4" w:space="0" w:color="auto"/>
              <w:bottom w:val="dotted" w:sz="4" w:space="0" w:color="auto"/>
              <w:right w:val="single" w:sz="4" w:space="0" w:color="auto"/>
            </w:tcBorders>
          </w:tcPr>
          <w:p>
            <w:pPr>
              <w:widowControl w:val="0"/>
              <w:tabs>
                <w:tab w:val="left" w:pos="1350"/>
              </w:tabs>
              <w:spacing w:before="15" w:after="15" w:line="276" w:lineRule="auto"/>
              <w:jc w:val="right"/>
              <w:rPr>
                <w:b/>
                <w:noProof/>
                <w:sz w:val="18"/>
                <w:szCs w:val="18"/>
              </w:rPr>
            </w:pPr>
            <w:r>
              <w:rPr>
                <w:b/>
                <w:noProof/>
                <w:sz w:val="18"/>
              </w:rPr>
              <w:t>185,8</w:t>
            </w:r>
          </w:p>
        </w:tc>
        <w:tc>
          <w:tcPr>
            <w:tcW w:w="1426" w:type="dxa"/>
            <w:tcBorders>
              <w:top w:val="dotted" w:sz="4" w:space="0" w:color="auto"/>
              <w:left w:val="single" w:sz="4" w:space="0" w:color="auto"/>
              <w:bottom w:val="dotted" w:sz="4" w:space="0" w:color="auto"/>
              <w:right w:val="dotted" w:sz="4" w:space="0" w:color="auto"/>
            </w:tcBorders>
          </w:tcPr>
          <w:p>
            <w:pPr>
              <w:widowControl w:val="0"/>
              <w:spacing w:before="15" w:after="15" w:line="276" w:lineRule="auto"/>
              <w:jc w:val="right"/>
              <w:rPr>
                <w:noProof/>
                <w:sz w:val="18"/>
                <w:szCs w:val="18"/>
              </w:rPr>
            </w:pPr>
          </w:p>
        </w:tc>
        <w:tc>
          <w:tcPr>
            <w:tcW w:w="1426" w:type="dxa"/>
            <w:tcBorders>
              <w:top w:val="dotted" w:sz="4" w:space="0" w:color="auto"/>
              <w:left w:val="dotted"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0,0</w:t>
            </w:r>
          </w:p>
        </w:tc>
        <w:tc>
          <w:tcPr>
            <w:tcW w:w="1558" w:type="dxa"/>
            <w:tcBorders>
              <w:top w:val="dotted" w:sz="4" w:space="0" w:color="auto"/>
              <w:left w:val="single" w:sz="4" w:space="0" w:color="auto"/>
              <w:bottom w:val="dotted" w:sz="4" w:space="0" w:color="auto"/>
              <w:right w:val="single" w:sz="4" w:space="0" w:color="auto"/>
            </w:tcBorders>
          </w:tcPr>
          <w:p>
            <w:pPr>
              <w:widowControl w:val="0"/>
              <w:spacing w:before="15" w:after="15" w:line="276" w:lineRule="auto"/>
              <w:jc w:val="right"/>
              <w:rPr>
                <w:noProof/>
                <w:sz w:val="18"/>
                <w:szCs w:val="18"/>
              </w:rPr>
            </w:pPr>
            <w:r>
              <w:rPr>
                <w:b/>
                <w:noProof/>
                <w:sz w:val="18"/>
              </w:rPr>
              <w:t>185,8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left w:val="single" w:sz="4" w:space="0" w:color="auto"/>
              <w:bottom w:val="single" w:sz="4" w:space="0" w:color="auto"/>
              <w:right w:val="single" w:sz="4" w:space="0" w:color="auto"/>
            </w:tcBorders>
          </w:tcPr>
          <w:p>
            <w:pPr>
              <w:widowControl w:val="0"/>
              <w:spacing w:before="15" w:after="15" w:line="276" w:lineRule="auto"/>
              <w:jc w:val="right"/>
              <w:rPr>
                <w:b/>
                <w:i/>
                <w:noProof/>
                <w:sz w:val="18"/>
                <w:szCs w:val="18"/>
              </w:rPr>
            </w:pPr>
            <w:r>
              <w:rPr>
                <w:b/>
                <w:i/>
                <w:noProof/>
                <w:sz w:val="18"/>
              </w:rPr>
              <w:t xml:space="preserve">Пенсии и Европейски училища </w:t>
            </w:r>
          </w:p>
        </w:tc>
        <w:tc>
          <w:tcPr>
            <w:tcW w:w="1700" w:type="dxa"/>
            <w:tcBorders>
              <w:top w:val="dotted"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right"/>
              <w:rPr>
                <w:b/>
                <w:i/>
                <w:noProof/>
                <w:sz w:val="18"/>
                <w:szCs w:val="18"/>
              </w:rPr>
            </w:pPr>
            <w:r>
              <w:rPr>
                <w:b/>
                <w:i/>
                <w:noProof/>
                <w:sz w:val="18"/>
              </w:rPr>
              <w:t>1 956,5</w:t>
            </w:r>
          </w:p>
        </w:tc>
        <w:tc>
          <w:tcPr>
            <w:tcW w:w="1426" w:type="dxa"/>
            <w:tcBorders>
              <w:top w:val="dotted" w:sz="4" w:space="0" w:color="auto"/>
              <w:left w:val="single" w:sz="4" w:space="0" w:color="auto"/>
              <w:bottom w:val="single" w:sz="4" w:space="0" w:color="auto"/>
              <w:right w:val="dotted" w:sz="4" w:space="0" w:color="auto"/>
            </w:tcBorders>
          </w:tcPr>
          <w:p>
            <w:pPr>
              <w:widowControl w:val="0"/>
              <w:spacing w:before="15" w:after="15" w:line="276" w:lineRule="auto"/>
              <w:jc w:val="right"/>
              <w:rPr>
                <w:noProof/>
                <w:sz w:val="18"/>
                <w:szCs w:val="18"/>
              </w:rPr>
            </w:pPr>
            <w:r>
              <w:rPr>
                <w:b/>
                <w:noProof/>
                <w:sz w:val="18"/>
              </w:rPr>
              <w:t>0,0</w:t>
            </w:r>
          </w:p>
        </w:tc>
        <w:tc>
          <w:tcPr>
            <w:tcW w:w="1426" w:type="dxa"/>
            <w:tcBorders>
              <w:top w:val="dotted" w:sz="4" w:space="0" w:color="auto"/>
              <w:left w:val="dotted" w:sz="4" w:space="0" w:color="auto"/>
              <w:bottom w:val="single" w:sz="4" w:space="0" w:color="auto"/>
              <w:right w:val="single" w:sz="4" w:space="0" w:color="auto"/>
            </w:tcBorders>
          </w:tcPr>
          <w:p>
            <w:pPr>
              <w:widowControl w:val="0"/>
              <w:spacing w:before="15" w:after="15" w:line="276" w:lineRule="auto"/>
              <w:jc w:val="right"/>
              <w:rPr>
                <w:noProof/>
                <w:sz w:val="18"/>
                <w:szCs w:val="18"/>
              </w:rPr>
            </w:pPr>
            <w:r>
              <w:rPr>
                <w:b/>
                <w:noProof/>
                <w:sz w:val="18"/>
              </w:rPr>
              <w:t>19,1</w:t>
            </w:r>
          </w:p>
        </w:tc>
        <w:tc>
          <w:tcPr>
            <w:tcW w:w="1558" w:type="dxa"/>
            <w:tcBorders>
              <w:top w:val="dotted" w:sz="4" w:space="0" w:color="auto"/>
              <w:left w:val="single" w:sz="4" w:space="0" w:color="auto"/>
              <w:bottom w:val="single" w:sz="4" w:space="0" w:color="auto"/>
              <w:right w:val="single" w:sz="4" w:space="0" w:color="auto"/>
            </w:tcBorders>
          </w:tcPr>
          <w:p>
            <w:pPr>
              <w:widowControl w:val="0"/>
              <w:spacing w:before="15" w:after="15" w:line="276" w:lineRule="auto"/>
              <w:jc w:val="right"/>
              <w:rPr>
                <w:noProof/>
                <w:sz w:val="18"/>
                <w:szCs w:val="18"/>
              </w:rPr>
            </w:pPr>
            <w:r>
              <w:rPr>
                <w:b/>
                <w:noProof/>
                <w:sz w:val="18"/>
              </w:rPr>
              <w:t>1 975,6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single"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 xml:space="preserve">Общо  </w:t>
            </w:r>
          </w:p>
        </w:tc>
        <w:tc>
          <w:tcPr>
            <w:tcW w:w="1700"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9 321,7</w:t>
            </w:r>
          </w:p>
        </w:tc>
        <w:tc>
          <w:tcPr>
            <w:tcW w:w="1426" w:type="dxa"/>
            <w:tcBorders>
              <w:top w:val="single" w:sz="4" w:space="0" w:color="auto"/>
              <w:left w:val="single" w:sz="4" w:space="0" w:color="auto"/>
              <w:bottom w:val="dotted" w:sz="4" w:space="0" w:color="auto"/>
              <w:right w:val="dotted"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12,0</w:t>
            </w:r>
          </w:p>
        </w:tc>
        <w:tc>
          <w:tcPr>
            <w:tcW w:w="1426" w:type="dxa"/>
            <w:tcBorders>
              <w:top w:val="single" w:sz="4" w:space="0" w:color="auto"/>
              <w:left w:val="dotted"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59,0</w:t>
            </w:r>
          </w:p>
        </w:tc>
        <w:tc>
          <w:tcPr>
            <w:tcW w:w="1558" w:type="dxa"/>
            <w:tcBorders>
              <w:top w:val="single"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9 392,7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Таван</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9 918,0</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9 918,0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Подтаван</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8 007,0</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8 007,0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От които приспадане от маржа за непредвидени обстоятелства</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-514,4</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-514,4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Марж функция 5</w:t>
            </w:r>
          </w:p>
        </w:tc>
        <w:tc>
          <w:tcPr>
            <w:tcW w:w="1700"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81,9</w:t>
            </w:r>
          </w:p>
        </w:tc>
        <w:tc>
          <w:tcPr>
            <w:tcW w:w="1426"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-12,0</w:t>
            </w:r>
          </w:p>
        </w:tc>
        <w:tc>
          <w:tcPr>
            <w:tcW w:w="1426" w:type="dxa"/>
            <w:tcBorders>
              <w:top w:val="dotted" w:sz="4" w:space="0" w:color="auto"/>
              <w:left w:val="dotted" w:sz="4" w:space="0" w:color="auto"/>
              <w:bottom w:val="dotted" w:sz="4" w:space="0" w:color="auto"/>
              <w:right w:val="single"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-59,0</w:t>
            </w:r>
          </w:p>
        </w:tc>
        <w:tc>
          <w:tcPr>
            <w:tcW w:w="1558" w:type="dxa"/>
            <w:tcBorders>
              <w:top w:val="dotted" w:sz="4" w:space="0" w:color="auto"/>
              <w:left w:val="single" w:sz="4" w:space="0" w:color="auto"/>
              <w:bottom w:val="dotted"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10,9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806" w:type="dxa"/>
            <w:gridSpan w:val="2"/>
            <w:tcBorders>
              <w:top w:val="dotted" w:sz="4" w:space="0" w:color="auto"/>
              <w:bottom w:val="single" w:sz="4" w:space="0" w:color="auto"/>
              <w:right w:val="single" w:sz="4" w:space="0" w:color="auto"/>
            </w:tcBorders>
            <w:shd w:val="clear" w:color="auto" w:fill="D9D9D9" w:themeFill="background1" w:themeFillShade="D9"/>
          </w:tcPr>
          <w:p>
            <w:pPr>
              <w:widowControl w:val="0"/>
              <w:spacing w:before="15" w:after="15" w:line="276" w:lineRule="auto"/>
              <w:jc w:val="right"/>
              <w:rPr>
                <w:b/>
                <w:i/>
                <w:noProof/>
                <w:sz w:val="18"/>
                <w:szCs w:val="18"/>
              </w:rPr>
            </w:pPr>
            <w:r>
              <w:rPr>
                <w:b/>
                <w:i/>
                <w:noProof/>
                <w:sz w:val="18"/>
              </w:rPr>
              <w:t xml:space="preserve">Подмарж </w:t>
            </w:r>
          </w:p>
        </w:tc>
        <w:tc>
          <w:tcPr>
            <w:tcW w:w="1700"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pPr>
              <w:widowControl w:val="0"/>
              <w:tabs>
                <w:tab w:val="left" w:pos="1350"/>
              </w:tabs>
              <w:spacing w:before="15" w:after="15" w:line="276" w:lineRule="auto"/>
              <w:jc w:val="right"/>
              <w:rPr>
                <w:b/>
                <w:i/>
                <w:noProof/>
                <w:sz w:val="18"/>
                <w:szCs w:val="18"/>
              </w:rPr>
            </w:pPr>
            <w:r>
              <w:rPr>
                <w:b/>
                <w:i/>
                <w:noProof/>
                <w:sz w:val="18"/>
              </w:rPr>
              <w:t>127,5</w:t>
            </w:r>
          </w:p>
        </w:tc>
        <w:tc>
          <w:tcPr>
            <w:tcW w:w="1426" w:type="dxa"/>
            <w:tcBorders>
              <w:top w:val="dotted" w:sz="4" w:space="0" w:color="auto"/>
              <w:left w:val="single" w:sz="4" w:space="0" w:color="auto"/>
              <w:bottom w:val="single" w:sz="4" w:space="0" w:color="auto"/>
              <w:right w:val="dotted"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-12,0</w:t>
            </w:r>
          </w:p>
        </w:tc>
        <w:tc>
          <w:tcPr>
            <w:tcW w:w="1426" w:type="dxa"/>
            <w:tcBorders>
              <w:top w:val="dotted" w:sz="4" w:space="0" w:color="auto"/>
              <w:left w:val="dotted" w:sz="4" w:space="0" w:color="auto"/>
              <w:bottom w:val="single" w:sz="4" w:space="0" w:color="auto"/>
              <w:right w:val="single"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-39,9</w:t>
            </w:r>
          </w:p>
        </w:tc>
        <w:tc>
          <w:tcPr>
            <w:tcW w:w="1558" w:type="dxa"/>
            <w:tcBorders>
              <w:top w:val="dotted" w:sz="4" w:space="0" w:color="auto"/>
              <w:left w:val="single" w:sz="4" w:space="0" w:color="auto"/>
            </w:tcBorders>
            <w:shd w:val="clear" w:color="auto" w:fill="D9D9D9" w:themeFill="background1" w:themeFillShade="D9"/>
          </w:tcPr>
          <w:p>
            <w:pPr>
              <w:widowControl w:val="0"/>
              <w:spacing w:before="15" w:after="15" w:line="276" w:lineRule="auto"/>
              <w:jc w:val="right"/>
              <w:rPr>
                <w:i/>
                <w:noProof/>
                <w:sz w:val="18"/>
                <w:szCs w:val="18"/>
              </w:rPr>
            </w:pPr>
            <w:r>
              <w:rPr>
                <w:b/>
                <w:i/>
                <w:noProof/>
                <w:sz w:val="18"/>
              </w:rPr>
              <w:t>75,5</w:t>
            </w:r>
          </w:p>
        </w:tc>
      </w:tr>
    </w:tbl>
    <w:p>
      <w:pPr>
        <w:pStyle w:val="ManualHeading2"/>
        <w:numPr>
          <w:ilvl w:val="0"/>
          <w:numId w:val="0"/>
        </w:numPr>
        <w:tabs>
          <w:tab w:val="left" w:pos="851"/>
        </w:tabs>
        <w:ind w:left="851" w:hanging="851"/>
      </w:pPr>
      <w:bookmarkStart w:id="157" w:name="_Toc464138557"/>
      <w:bookmarkStart w:id="158" w:name="_Toc465250577"/>
      <w:r>
        <w:t>5.5.</w:t>
      </w:r>
      <w:r>
        <w:tab/>
        <w:t>Промяна в щатните разписания на Европейския парламент, Европейския икономически и социален комитет и Комитета на регионите</w:t>
      </w:r>
      <w:bookmarkEnd w:id="157"/>
      <w:bookmarkEnd w:id="158"/>
    </w:p>
    <w:p>
      <w:pPr>
        <w:spacing w:before="120" w:after="120"/>
        <w:jc w:val="both"/>
        <w:rPr>
          <w:noProof/>
          <w:szCs w:val="20"/>
        </w:rPr>
      </w:pPr>
      <w:r>
        <w:rPr>
          <w:noProof/>
        </w:rPr>
        <w:t>През 2013 г. Европейският парламент (ЕП), Икономическият и социален комитет (ЕИСК) и Комитетът на регионите (КР) подписаха споразумение за сътрудничество с цел засилване на политическото и административното сътрудничество, чрез което двата комитета ще съдействат за изграждането на Служба за изследване за членовете на ЕП, която от своя страна да предоставя на комитетите продукти и услуги безплатно. Споразумението за сътрудничество включваше потенциално прехвърляне на до 80 щатни бройки от комитетите към ЕП.</w:t>
      </w:r>
    </w:p>
    <w:p>
      <w:pPr>
        <w:spacing w:before="120" w:after="120"/>
        <w:jc w:val="both"/>
        <w:rPr>
          <w:noProof/>
          <w:szCs w:val="20"/>
        </w:rPr>
      </w:pPr>
      <w:r>
        <w:rPr>
          <w:noProof/>
        </w:rPr>
        <w:t>Първоначално 80 щатни бройки са включени в щатното разписание на ЕП през 2014 г. за целите на изпълнението на споразумението за партньорство и съответно други 60 щатни бройки (24 за КР и 36 ЕИСК) са извадени от щатните разписания на тези институции.</w:t>
      </w:r>
    </w:p>
    <w:p>
      <w:pPr>
        <w:spacing w:before="120" w:after="120"/>
        <w:jc w:val="both"/>
        <w:rPr>
          <w:noProof/>
          <w:szCs w:val="20"/>
        </w:rPr>
      </w:pPr>
      <w:r>
        <w:rPr>
          <w:noProof/>
        </w:rPr>
        <w:t>За да се осигури пълното спазване на принципа за бюджетна неутралност на споразумението, Комисията включи в проектобюджета за 2017 г. преразгледан проекторазчет за ЕИСК и КР, според който се съкращава щатното разписание на ЕИСК с 12 щатни бройки заедно със съответните бюджетни кредити (- 1,2 млн. евро) и на КР с 8 щатни бройки (- 0,8 млн. евро). Отражението върху функция 5 е показано в таблицата в раздел 5.2 по-горе.</w:t>
      </w:r>
    </w:p>
    <w:p>
      <w:pPr>
        <w:spacing w:before="120" w:after="120"/>
        <w:jc w:val="both"/>
        <w:rPr>
          <w:noProof/>
          <w:szCs w:val="20"/>
        </w:rPr>
      </w:pPr>
      <w:r>
        <w:rPr>
          <w:noProof/>
        </w:rPr>
        <w:t>След приемането на ПБ за 2017 г. обаче трите засегнати институции са постигнали общо споразумение, че прехвърлянията може да се считат за напълно финализирани. Поради това Комисията предлага, в съответствие със споразумението между ЕП, ЕИСК и КР, 20 допълнителни щатни бройки да бъдат премахнати от щатното разписание на ЕП в проектобюджета за 2017 г., като в същото време се възстанови посоченият брой щатни бройки в съответните щатни разписания на двата комитета, заедно със свързаните бюджетни кредити.</w:t>
      </w:r>
    </w:p>
    <w:p>
      <w:pPr>
        <w:spacing w:before="120" w:after="120"/>
        <w:jc w:val="both"/>
        <w:rPr>
          <w:noProof/>
          <w:szCs w:val="20"/>
        </w:rPr>
      </w:pPr>
      <w:r>
        <w:rPr>
          <w:noProof/>
        </w:rPr>
        <w:t>Като се има предвид, че 20 допълнителни щатни бройки, разпределени на Европейския парламент, са били блокирани и не са използвани от 2014 г. насам, предложената корекция на щатното разписание няма отражение върху искането на бюджетни кредити за ЕП в раздел I от бюджета на ЕС.</w:t>
      </w:r>
    </w:p>
    <w:p>
      <w:pPr>
        <w:spacing w:before="120" w:after="120"/>
        <w:jc w:val="both"/>
        <w:rPr>
          <w:noProof/>
          <w:szCs w:val="20"/>
        </w:rPr>
      </w:pPr>
      <w:r>
        <w:rPr>
          <w:noProof/>
        </w:rPr>
        <w:t>Тъй като се касае за операция с нулева стойност между институции, тя няма отражение върху съответните им цели за намаляване на персонала с 5 %.</w:t>
      </w:r>
    </w:p>
    <w:p>
      <w:pPr>
        <w:pStyle w:val="ManualHeading1"/>
        <w:spacing w:before="240"/>
        <w:ind w:left="0" w:firstLine="0"/>
        <w:rPr>
          <w:noProof/>
        </w:rPr>
      </w:pPr>
      <w:bookmarkStart w:id="159" w:name="_Toc464138558"/>
      <w:bookmarkStart w:id="160" w:name="_Toc465250578"/>
      <w:bookmarkStart w:id="161" w:name="_Toc463264188"/>
      <w:r>
        <w:rPr>
          <w:noProof/>
        </w:rPr>
        <w:t>6.</w:t>
      </w:r>
      <w:r>
        <w:rPr>
          <w:noProof/>
        </w:rPr>
        <w:tab/>
        <w:t>Увеличаване на приходите, свързани с глоби</w:t>
      </w:r>
      <w:bookmarkEnd w:id="159"/>
      <w:bookmarkEnd w:id="160"/>
    </w:p>
    <w:p>
      <w:pPr>
        <w:spacing w:before="120" w:after="120"/>
        <w:jc w:val="both"/>
        <w:rPr>
          <w:noProof/>
        </w:rPr>
      </w:pPr>
      <w:r>
        <w:rPr>
          <w:noProof/>
        </w:rPr>
        <w:t>Някои глоби, за които Комисията наскоро взе решение, ще бъдат платени и всички средства за правна защита ще бъдат изчерпани в края на 2016 г., като приблизителната стойност е 1 млрд. евро. Комисията предлага съответните бюджетни позиции в приходната част на бюджета да бъдат увеличени с тази сума. По този начин вноската на база БНД от националните бюджети ще се намали със същата сума.</w:t>
      </w:r>
    </w:p>
    <w:bookmarkEnd w:id="161"/>
    <w:p>
      <w:pPr>
        <w:pStyle w:val="ManualHeading1"/>
        <w:spacing w:before="240"/>
        <w:ind w:left="0" w:firstLine="0"/>
        <w:rPr>
          <w:noProof/>
        </w:rPr>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pPr>
    </w:p>
    <w:p>
      <w:pPr>
        <w:pStyle w:val="ManualHeading1"/>
        <w:spacing w:before="120" w:after="0"/>
        <w:ind w:left="0" w:firstLine="0"/>
        <w:rPr>
          <w:noProof/>
        </w:rPr>
      </w:pPr>
      <w:bookmarkStart w:id="162" w:name="_Toc464138559"/>
      <w:bookmarkStart w:id="163" w:name="_Toc465250579"/>
      <w:r>
        <w:rPr>
          <w:noProof/>
        </w:rPr>
        <w:t>7.</w:t>
      </w:r>
      <w:r>
        <w:rPr>
          <w:noProof/>
        </w:rPr>
        <w:tab/>
        <w:t>Обобщаваща таблица по функции от МФР</w:t>
      </w:r>
      <w:bookmarkEnd w:id="162"/>
      <w:bookmarkEnd w:id="163"/>
    </w:p>
    <w:tbl>
      <w:tblPr>
        <w:tblW w:w="11309" w:type="dxa"/>
        <w:jc w:val="center"/>
        <w:tblCellMar>
          <w:left w:w="0" w:type="dxa"/>
          <w:right w:w="0" w:type="dxa"/>
        </w:tblCellMar>
        <w:tblLook w:val="04A0" w:firstRow="1" w:lastRow="0" w:firstColumn="1" w:lastColumn="0" w:noHBand="0" w:noVBand="1"/>
      </w:tblPr>
      <w:tblGrid>
        <w:gridCol w:w="3469"/>
        <w:gridCol w:w="1360"/>
        <w:gridCol w:w="1360"/>
        <w:gridCol w:w="1200"/>
        <w:gridCol w:w="1200"/>
        <w:gridCol w:w="1360"/>
        <w:gridCol w:w="1360"/>
      </w:tblGrid>
      <w:tr>
        <w:trPr>
          <w:trHeight w:val="300"/>
          <w:jc w:val="center"/>
        </w:trPr>
        <w:tc>
          <w:tcPr>
            <w:tcW w:w="3469" w:type="dxa"/>
            <w:tcBorders>
              <w:top w:val="nil"/>
              <w:left w:val="nil"/>
              <w:bottom w:val="nil"/>
              <w:right w:val="nil"/>
            </w:tcBorders>
            <w:shd w:val="clear" w:color="auto" w:fill="auto"/>
            <w:noWrap/>
            <w:tcMar>
              <w:top w:w="15" w:type="dxa"/>
              <w:left w:w="15" w:type="dxa"/>
              <w:bottom w:w="0" w:type="dxa"/>
              <w:right w:w="15" w:type="dxa"/>
            </w:tcMar>
            <w:vAlign w:val="bottom"/>
            <w:hideMark/>
          </w:tcPr>
          <w:p>
            <w:pPr>
              <w:jc w:val="center"/>
              <w:rPr>
                <w:b/>
                <w:bCs/>
                <w:noProof/>
                <w:sz w:val="23"/>
                <w:szCs w:val="23"/>
                <w:u w:val="single"/>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rPr>
            </w:pPr>
          </w:p>
        </w:tc>
        <w:tc>
          <w:tcPr>
            <w:tcW w:w="120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rPr>
            </w:pPr>
          </w:p>
        </w:tc>
        <w:tc>
          <w:tcPr>
            <w:tcW w:w="120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rPr>
                <w:noProof/>
                <w:sz w:val="20"/>
                <w:szCs w:val="2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pPr>
              <w:jc w:val="right"/>
              <w:rPr>
                <w:i/>
                <w:iCs/>
                <w:noProof/>
                <w:sz w:val="16"/>
                <w:szCs w:val="16"/>
              </w:rPr>
            </w:pPr>
            <w:r>
              <w:rPr>
                <w:i/>
                <w:noProof/>
                <w:sz w:val="16"/>
              </w:rPr>
              <w:t>в евро</w:t>
            </w:r>
          </w:p>
        </w:tc>
      </w:tr>
      <w:tr>
        <w:trPr>
          <w:trHeight w:val="255"/>
          <w:jc w:val="center"/>
        </w:trPr>
        <w:tc>
          <w:tcPr>
            <w:tcW w:w="3469" w:type="dxa"/>
            <w:vMerge w:val="restart"/>
            <w:tcBorders>
              <w:top w:val="single" w:sz="8" w:space="0" w:color="auto"/>
              <w:left w:val="single" w:sz="8" w:space="0" w:color="auto"/>
              <w:bottom w:val="single" w:sz="8" w:space="0" w:color="000000"/>
              <w:right w:val="single" w:sz="8" w:space="0" w:color="auto"/>
            </w:tcBorders>
            <w:shd w:val="clear" w:color="000000" w:fill="C0C0C0"/>
            <w:tcMar>
              <w:top w:w="15" w:type="dxa"/>
              <w:left w:w="15" w:type="dxa"/>
              <w:bottom w:w="0" w:type="dxa"/>
              <w:right w:w="15" w:type="dxa"/>
            </w:tcMar>
            <w:vAlign w:val="center"/>
            <w:hideMark/>
          </w:tcPr>
          <w:p>
            <w:pPr>
              <w:jc w:val="center"/>
              <w:rPr>
                <w:b/>
                <w:bCs/>
                <w:noProof/>
                <w:sz w:val="17"/>
                <w:szCs w:val="17"/>
              </w:rPr>
            </w:pPr>
            <w:r>
              <w:rPr>
                <w:b/>
                <w:noProof/>
                <w:sz w:val="17"/>
              </w:rPr>
              <w:t>Финансова рамка</w:t>
            </w:r>
            <w:r>
              <w:rPr>
                <w:b/>
                <w:bCs/>
                <w:noProof/>
                <w:sz w:val="17"/>
                <w:szCs w:val="17"/>
              </w:rPr>
              <w:br/>
            </w:r>
            <w:r>
              <w:rPr>
                <w:b/>
                <w:noProof/>
                <w:sz w:val="17"/>
              </w:rPr>
              <w:t>Функция/подфункция</w:t>
            </w:r>
          </w:p>
        </w:tc>
        <w:tc>
          <w:tcPr>
            <w:tcW w:w="2720" w:type="dxa"/>
            <w:gridSpan w:val="2"/>
            <w:vMerge w:val="restart"/>
            <w:tcBorders>
              <w:top w:val="single" w:sz="8" w:space="0" w:color="auto"/>
              <w:left w:val="single" w:sz="8" w:space="0" w:color="auto"/>
              <w:bottom w:val="single" w:sz="8" w:space="0" w:color="000000"/>
              <w:right w:val="nil"/>
            </w:tcBorders>
            <w:shd w:val="clear" w:color="000000" w:fill="C0C0C0"/>
            <w:tcMar>
              <w:top w:w="15" w:type="dxa"/>
              <w:left w:w="15" w:type="dxa"/>
              <w:bottom w:w="0" w:type="dxa"/>
              <w:right w:w="15" w:type="dxa"/>
            </w:tcMar>
            <w:vAlign w:val="center"/>
            <w:hideMark/>
          </w:tcPr>
          <w:p>
            <w:pPr>
              <w:jc w:val="center"/>
              <w:rPr>
                <w:b/>
                <w:bCs/>
                <w:noProof/>
                <w:sz w:val="16"/>
                <w:szCs w:val="16"/>
              </w:rPr>
            </w:pPr>
            <w:r>
              <w:rPr>
                <w:b/>
                <w:noProof/>
                <w:sz w:val="16"/>
              </w:rPr>
              <w:t>Проектобюджет за 2017 г.</w:t>
            </w:r>
          </w:p>
        </w:tc>
        <w:tc>
          <w:tcPr>
            <w:tcW w:w="2400" w:type="dxa"/>
            <w:gridSpan w:val="2"/>
            <w:vMerge w:val="restart"/>
            <w:tcBorders>
              <w:top w:val="single" w:sz="8" w:space="0" w:color="auto"/>
              <w:left w:val="single" w:sz="4" w:space="0" w:color="auto"/>
              <w:bottom w:val="single" w:sz="8" w:space="0" w:color="000000"/>
              <w:right w:val="single" w:sz="4" w:space="0" w:color="000000"/>
            </w:tcBorders>
            <w:shd w:val="clear" w:color="000000" w:fill="C0C0C0"/>
            <w:tcMar>
              <w:top w:w="15" w:type="dxa"/>
              <w:left w:w="15" w:type="dxa"/>
              <w:bottom w:w="0" w:type="dxa"/>
              <w:right w:w="15" w:type="dxa"/>
            </w:tcMar>
            <w:vAlign w:val="center"/>
            <w:hideMark/>
          </w:tcPr>
          <w:p>
            <w:pPr>
              <w:jc w:val="center"/>
              <w:rPr>
                <w:b/>
                <w:bCs/>
                <w:noProof/>
                <w:sz w:val="16"/>
                <w:szCs w:val="16"/>
              </w:rPr>
            </w:pPr>
            <w:r>
              <w:rPr>
                <w:b/>
                <w:noProof/>
                <w:sz w:val="16"/>
              </w:rPr>
              <w:t>Проект на писмо за внасяне на корекции № 1</w:t>
            </w:r>
          </w:p>
        </w:tc>
        <w:tc>
          <w:tcPr>
            <w:tcW w:w="2720" w:type="dxa"/>
            <w:gridSpan w:val="2"/>
            <w:vMerge w:val="restart"/>
            <w:tcBorders>
              <w:top w:val="single" w:sz="8" w:space="0" w:color="auto"/>
              <w:left w:val="nil"/>
              <w:bottom w:val="single" w:sz="8" w:space="0" w:color="000000"/>
              <w:right w:val="single" w:sz="8" w:space="0" w:color="000000"/>
            </w:tcBorders>
            <w:shd w:val="clear" w:color="000000" w:fill="C0C0C0"/>
            <w:tcMar>
              <w:top w:w="15" w:type="dxa"/>
              <w:left w:w="15" w:type="dxa"/>
              <w:bottom w:w="0" w:type="dxa"/>
              <w:right w:w="15" w:type="dxa"/>
            </w:tcMar>
            <w:vAlign w:val="center"/>
            <w:hideMark/>
          </w:tcPr>
          <w:p>
            <w:pPr>
              <w:jc w:val="center"/>
              <w:rPr>
                <w:b/>
                <w:bCs/>
                <w:noProof/>
                <w:sz w:val="16"/>
                <w:szCs w:val="16"/>
              </w:rPr>
            </w:pPr>
            <w:r>
              <w:rPr>
                <w:b/>
                <w:noProof/>
                <w:sz w:val="16"/>
              </w:rPr>
              <w:t xml:space="preserve">Проектобюджет за 2017 г. </w:t>
            </w:r>
            <w:r>
              <w:rPr>
                <w:b/>
                <w:bCs/>
                <w:noProof/>
                <w:sz w:val="16"/>
                <w:szCs w:val="16"/>
              </w:rPr>
              <w:br/>
            </w:r>
            <w:r>
              <w:rPr>
                <w:b/>
                <w:noProof/>
                <w:sz w:val="16"/>
              </w:rPr>
              <w:t>(вкл. AL1/2017)</w:t>
            </w:r>
          </w:p>
        </w:tc>
      </w:tr>
      <w:tr>
        <w:trPr>
          <w:trHeight w:val="195"/>
          <w:jc w:val="center"/>
        </w:trPr>
        <w:tc>
          <w:tcPr>
            <w:tcW w:w="3469" w:type="dxa"/>
            <w:vMerge/>
            <w:tcBorders>
              <w:top w:val="single" w:sz="8" w:space="0" w:color="auto"/>
              <w:left w:val="single" w:sz="8" w:space="0" w:color="auto"/>
              <w:bottom w:val="single" w:sz="8" w:space="0" w:color="000000"/>
              <w:right w:val="single" w:sz="8" w:space="0" w:color="auto"/>
            </w:tcBorders>
            <w:vAlign w:val="center"/>
            <w:hideMark/>
          </w:tcPr>
          <w:p>
            <w:pPr>
              <w:rPr>
                <w:b/>
                <w:bCs/>
                <w:noProof/>
                <w:sz w:val="17"/>
                <w:szCs w:val="17"/>
              </w:rPr>
            </w:pPr>
          </w:p>
        </w:tc>
        <w:tc>
          <w:tcPr>
            <w:tcW w:w="0" w:type="auto"/>
            <w:gridSpan w:val="2"/>
            <w:vMerge/>
            <w:tcBorders>
              <w:top w:val="single" w:sz="8" w:space="0" w:color="auto"/>
              <w:left w:val="single" w:sz="8" w:space="0" w:color="auto"/>
              <w:bottom w:val="single" w:sz="8" w:space="0" w:color="000000"/>
              <w:right w:val="nil"/>
            </w:tcBorders>
            <w:vAlign w:val="center"/>
            <w:hideMark/>
          </w:tcPr>
          <w:p>
            <w:pPr>
              <w:rPr>
                <w:b/>
                <w:bCs/>
                <w:noProof/>
                <w:sz w:val="16"/>
                <w:szCs w:val="16"/>
              </w:rPr>
            </w:pPr>
          </w:p>
        </w:tc>
        <w:tc>
          <w:tcPr>
            <w:tcW w:w="0" w:type="auto"/>
            <w:gridSpan w:val="2"/>
            <w:vMerge/>
            <w:tcBorders>
              <w:top w:val="single" w:sz="8" w:space="0" w:color="auto"/>
              <w:left w:val="single" w:sz="4" w:space="0" w:color="auto"/>
              <w:bottom w:val="single" w:sz="8" w:space="0" w:color="000000"/>
              <w:right w:val="single" w:sz="4" w:space="0" w:color="000000"/>
            </w:tcBorders>
            <w:vAlign w:val="center"/>
            <w:hideMark/>
          </w:tcPr>
          <w:p>
            <w:pPr>
              <w:rPr>
                <w:b/>
                <w:bCs/>
                <w:noProof/>
                <w:sz w:val="16"/>
                <w:szCs w:val="16"/>
              </w:rPr>
            </w:pPr>
          </w:p>
        </w:tc>
        <w:tc>
          <w:tcPr>
            <w:tcW w:w="0" w:type="auto"/>
            <w:gridSpan w:val="2"/>
            <w:vMerge/>
            <w:tcBorders>
              <w:top w:val="single" w:sz="8" w:space="0" w:color="auto"/>
              <w:left w:val="nil"/>
              <w:bottom w:val="single" w:sz="8" w:space="0" w:color="000000"/>
              <w:right w:val="single" w:sz="8" w:space="0" w:color="000000"/>
            </w:tcBorders>
            <w:vAlign w:val="center"/>
            <w:hideMark/>
          </w:tcPr>
          <w:p>
            <w:pPr>
              <w:rPr>
                <w:b/>
                <w:bCs/>
                <w:noProof/>
                <w:sz w:val="16"/>
                <w:szCs w:val="16"/>
              </w:rPr>
            </w:pPr>
          </w:p>
        </w:tc>
      </w:tr>
      <w:tr>
        <w:trPr>
          <w:trHeight w:val="147"/>
          <w:jc w:val="center"/>
        </w:trPr>
        <w:tc>
          <w:tcPr>
            <w:tcW w:w="3469" w:type="dxa"/>
            <w:vMerge/>
            <w:tcBorders>
              <w:top w:val="single" w:sz="8" w:space="0" w:color="auto"/>
              <w:left w:val="single" w:sz="8" w:space="0" w:color="auto"/>
              <w:bottom w:val="single" w:sz="8" w:space="0" w:color="000000"/>
              <w:right w:val="single" w:sz="8" w:space="0" w:color="auto"/>
            </w:tcBorders>
            <w:vAlign w:val="center"/>
            <w:hideMark/>
          </w:tcPr>
          <w:p>
            <w:pPr>
              <w:rPr>
                <w:b/>
                <w:bCs/>
                <w:noProof/>
                <w:sz w:val="17"/>
                <w:szCs w:val="17"/>
              </w:rPr>
            </w:pPr>
          </w:p>
        </w:tc>
        <w:tc>
          <w:tcPr>
            <w:tcW w:w="1360" w:type="dxa"/>
            <w:tcBorders>
              <w:top w:val="nil"/>
              <w:left w:val="nil"/>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БКПЗ</w:t>
            </w:r>
          </w:p>
        </w:tc>
        <w:tc>
          <w:tcPr>
            <w:tcW w:w="1360" w:type="dxa"/>
            <w:tcBorders>
              <w:top w:val="nil"/>
              <w:left w:val="nil"/>
              <w:bottom w:val="single" w:sz="8" w:space="0" w:color="auto"/>
              <w:right w:val="nil"/>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БКП</w:t>
            </w:r>
          </w:p>
        </w:tc>
        <w:tc>
          <w:tcPr>
            <w:tcW w:w="1200" w:type="dxa"/>
            <w:tcBorders>
              <w:top w:val="nil"/>
              <w:left w:val="single" w:sz="4" w:space="0" w:color="auto"/>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БКПЗ</w:t>
            </w:r>
          </w:p>
        </w:tc>
        <w:tc>
          <w:tcPr>
            <w:tcW w:w="1200" w:type="dxa"/>
            <w:tcBorders>
              <w:top w:val="nil"/>
              <w:left w:val="nil"/>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БКП</w:t>
            </w:r>
          </w:p>
        </w:tc>
        <w:tc>
          <w:tcPr>
            <w:tcW w:w="1360" w:type="dxa"/>
            <w:tcBorders>
              <w:top w:val="nil"/>
              <w:left w:val="nil"/>
              <w:bottom w:val="single" w:sz="8" w:space="0" w:color="auto"/>
              <w:right w:val="single" w:sz="4"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БКПЗ</w:t>
            </w:r>
          </w:p>
        </w:tc>
        <w:tc>
          <w:tcPr>
            <w:tcW w:w="1360" w:type="dxa"/>
            <w:tcBorders>
              <w:top w:val="nil"/>
              <w:left w:val="nil"/>
              <w:bottom w:val="single" w:sz="8" w:space="0" w:color="auto"/>
              <w:right w:val="single" w:sz="8" w:space="0" w:color="auto"/>
            </w:tcBorders>
            <w:shd w:val="clear" w:color="000000" w:fill="C0C0C0"/>
            <w:tcMar>
              <w:top w:w="15" w:type="dxa"/>
              <w:left w:w="15" w:type="dxa"/>
              <w:bottom w:w="0" w:type="dxa"/>
              <w:right w:w="15" w:type="dxa"/>
            </w:tcMar>
            <w:vAlign w:val="center"/>
            <w:hideMark/>
          </w:tcPr>
          <w:p>
            <w:pPr>
              <w:jc w:val="center"/>
              <w:rPr>
                <w:noProof/>
                <w:sz w:val="16"/>
                <w:szCs w:val="16"/>
              </w:rPr>
            </w:pPr>
            <w:r>
              <w:rPr>
                <w:noProof/>
                <w:sz w:val="16"/>
              </w:rPr>
              <w:t>БКП</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noProof/>
                <w:sz w:val="16"/>
              </w:rPr>
              <w:t>1. Интелигентен и приобщаващ растеж</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74 682 751 585</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56 646 663 545</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6 890 000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74 882 751 585</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56 653 553 545</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1 265 000 000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174 100 000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1 439 100 000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Таван</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73 512 000 000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73 512 000 000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bookmarkStart w:id="164" w:name="RANGE!B13"/>
            <w:r>
              <w:rPr>
                <w:i/>
                <w:noProof/>
                <w:sz w:val="14"/>
              </w:rPr>
              <w:t>Марж</w:t>
            </w:r>
            <w:bookmarkEnd w:id="164"/>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94 248 415</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68 348 415</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pacing w:val="-6"/>
                <w:sz w:val="16"/>
                <w:szCs w:val="16"/>
              </w:rPr>
            </w:pPr>
            <w:r>
              <w:rPr>
                <w:noProof/>
                <w:spacing w:val="-6"/>
                <w:sz w:val="16"/>
              </w:rPr>
              <w:t>1а. Конкурентоспособност за растеж и работни места</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21 108 952 950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19 297 994 503</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6 890 000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21 308 952 950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19 304 884 503</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1 265 000 000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174 100 000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1 439 100 000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Таван</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19 925 000 000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19 925 000 000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Марж</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81 047 050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55 147 050</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386"/>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rPr>
            </w:pPr>
            <w:r>
              <w:rPr>
                <w:noProof/>
                <w:sz w:val="16"/>
              </w:rPr>
              <w:t>1б Икономическо, социално и териториално сближаване</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53 573 798 635</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37 348 669 042</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53 573 798 635</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37 348 669 042</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Таван</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53 587 000 000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53 587 000 000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Марж</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13 201 365</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13 201 365</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372"/>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noProof/>
                <w:sz w:val="16"/>
              </w:rPr>
              <w:t>2. Устойчив растеж: природни ресурси</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58 901 743 884</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55 236 239 537</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- 1 020 000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58 901 743 884</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55 235 219 537</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Таван</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60 191 000 000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60 191 000 000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- 650 000 000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- 850 000 000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Марж</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639 256 116</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439 256 116</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67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rPr>
            </w:pPr>
            <w:r>
              <w:rPr>
                <w:noProof/>
                <w:sz w:val="16"/>
              </w:rPr>
              <w:t>От които: Европейски фонд за гарантиране на земеделието (ЕФГЗ) — Разходи, свързани с пазара, и директни плащания</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42 937 572 079</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42 888 987 974</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- 1 020 000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42 937 572 079</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42 887 967 974</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Подтаван</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44 146 000 000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44 146 000 000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Разликата от закръгляне е изключена от изчислението на маржа</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318 000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318 000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Марж за ЕФГЗ</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1 208 109 921</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1 208 109 921</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noProof/>
                <w:sz w:val="16"/>
              </w:rPr>
              <w:t>3. СИГУРНОСТ И ГРАЖДАНСТВО</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4 272 380 960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3 781 908 287</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4 272 380 960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3 781 908 287</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530 000 000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530 000 000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От които по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1 164 380 960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1 164 380 960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Таван</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2 578 000 000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2 578 000 000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bookmarkStart w:id="165" w:name="RANGE!B44"/>
            <w:r>
              <w:rPr>
                <w:i/>
                <w:noProof/>
                <w:sz w:val="14"/>
              </w:rPr>
              <w:t>Марж</w:t>
            </w:r>
            <w:bookmarkEnd w:id="165"/>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bookmarkStart w:id="166" w:name="RANGE!B45"/>
            <w:r>
              <w:rPr>
                <w:b/>
                <w:noProof/>
                <w:sz w:val="16"/>
              </w:rPr>
              <w:t>4. ГЛОБАЛНА ЕВРОПА</w:t>
            </w:r>
            <w:bookmarkEnd w:id="166"/>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9 432 000 000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9 289 727 178</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986 230 000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446 230 000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10 418 230 000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9 735 957 178</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От които по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986 230 000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986 230 000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Таван</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9 432 000 000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9 432 000 000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Марж</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bookmarkStart w:id="167" w:name="RANGE!B51"/>
            <w:r>
              <w:rPr>
                <w:b/>
                <w:noProof/>
                <w:sz w:val="16"/>
              </w:rPr>
              <w:t>5. АДМИНИСТРАЦИЯ</w:t>
            </w:r>
            <w:bookmarkEnd w:id="167"/>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9 321 692 016</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9 324 103 016</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71 010 800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71 010 800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9 392 702 816</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9 395 113 816</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Таван</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9 918 000 000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9 918 000 000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- 514 380 960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- 514 380 960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Марж</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81 927 024</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10 916 224</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z w:val="16"/>
                <w:szCs w:val="16"/>
              </w:rPr>
            </w:pPr>
            <w:r>
              <w:rPr>
                <w:noProof/>
                <w:sz w:val="16"/>
              </w:rPr>
              <w:t>От които: Пенсии и европейски училища</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1 956 535 156</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7 367 567 860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19 076 000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19 076 000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1 975 611 156</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7 386 643 860</w:t>
            </w:r>
          </w:p>
        </w:tc>
      </w:tr>
      <w:tr>
        <w:trPr>
          <w:trHeight w:val="255"/>
          <w:jc w:val="center"/>
        </w:trPr>
        <w:tc>
          <w:tcPr>
            <w:tcW w:w="3469" w:type="dxa"/>
            <w:tcBorders>
              <w:top w:val="single" w:sz="4" w:space="0" w:color="auto"/>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rPr>
                <w:noProof/>
                <w:spacing w:val="-6"/>
                <w:sz w:val="16"/>
                <w:szCs w:val="16"/>
              </w:rPr>
            </w:pPr>
            <w:r>
              <w:rPr>
                <w:noProof/>
                <w:spacing w:val="-6"/>
                <w:sz w:val="16"/>
              </w:rPr>
              <w:t>От които: Административни разходи на институциите</w:t>
            </w:r>
          </w:p>
        </w:tc>
        <w:tc>
          <w:tcPr>
            <w:tcW w:w="136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7 365 156 860</w:t>
            </w:r>
          </w:p>
        </w:tc>
        <w:tc>
          <w:tcPr>
            <w:tcW w:w="136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7 367 567 860</w:t>
            </w:r>
          </w:p>
        </w:tc>
        <w:tc>
          <w:tcPr>
            <w:tcW w:w="120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51 934 800</w:t>
            </w:r>
          </w:p>
        </w:tc>
        <w:tc>
          <w:tcPr>
            <w:tcW w:w="120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 xml:space="preserve"> 51 934 800</w:t>
            </w:r>
          </w:p>
        </w:tc>
        <w:tc>
          <w:tcPr>
            <w:tcW w:w="1360" w:type="dxa"/>
            <w:tcBorders>
              <w:top w:val="single" w:sz="4" w:space="0" w:color="auto"/>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7 417 091 660</w:t>
            </w:r>
          </w:p>
        </w:tc>
        <w:tc>
          <w:tcPr>
            <w:tcW w:w="1360" w:type="dxa"/>
            <w:tcBorders>
              <w:top w:val="single" w:sz="4" w:space="0" w:color="auto"/>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noProof/>
                <w:color w:val="000000"/>
                <w:sz w:val="16"/>
                <w:szCs w:val="16"/>
              </w:rPr>
            </w:pPr>
            <w:r>
              <w:rPr>
                <w:noProof/>
                <w:color w:val="000000"/>
                <w:sz w:val="16"/>
              </w:rPr>
              <w:t>7 419 502 660</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Таван</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8 007 000 000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8 007 000 000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- 514 380 960</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- 514 380 960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270"/>
          <w:jc w:val="center"/>
        </w:trPr>
        <w:tc>
          <w:tcPr>
            <w:tcW w:w="3469"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pPr>
              <w:jc w:val="right"/>
              <w:rPr>
                <w:i/>
                <w:iCs/>
                <w:noProof/>
                <w:sz w:val="14"/>
                <w:szCs w:val="14"/>
              </w:rPr>
            </w:pPr>
            <w:r>
              <w:rPr>
                <w:i/>
                <w:noProof/>
                <w:sz w:val="14"/>
              </w:rPr>
              <w:t>Марж</w:t>
            </w:r>
          </w:p>
        </w:tc>
        <w:tc>
          <w:tcPr>
            <w:tcW w:w="136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127 462 180</w:t>
            </w:r>
          </w:p>
        </w:tc>
        <w:tc>
          <w:tcPr>
            <w:tcW w:w="136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c>
          <w:tcPr>
            <w:tcW w:w="136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xml:space="preserve"> 75 527 380</w:t>
            </w: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pPr>
              <w:jc w:val="right"/>
              <w:rPr>
                <w:i/>
                <w:iCs/>
                <w:noProof/>
                <w:color w:val="000000"/>
                <w:sz w:val="14"/>
                <w:szCs w:val="14"/>
              </w:rPr>
            </w:pPr>
            <w:r>
              <w:rPr>
                <w:i/>
                <w:noProof/>
                <w:color w:val="000000"/>
                <w:sz w:val="14"/>
              </w:rPr>
              <w:t> </w:t>
            </w:r>
          </w:p>
        </w:tc>
      </w:tr>
      <w:tr>
        <w:trPr>
          <w:trHeight w:val="176"/>
          <w:jc w:val="center"/>
        </w:trPr>
        <w:tc>
          <w:tcPr>
            <w:tcW w:w="3469"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rPr>
                <w:b/>
                <w:bCs/>
                <w:noProof/>
                <w:spacing w:val="-6"/>
                <w:sz w:val="16"/>
                <w:szCs w:val="16"/>
              </w:rPr>
            </w:pPr>
            <w:r>
              <w:rPr>
                <w:b/>
                <w:noProof/>
                <w:spacing w:val="-6"/>
                <w:sz w:val="16"/>
              </w:rPr>
              <w:t>ОБЩО БЮДЖЕТНИ КРЕДИТИ ПО ФУНКЦИИ</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156 610 568 445</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134 278 641 563</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1 257 240 800</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523 110 800</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157 867 809 245</w:t>
            </w:r>
          </w:p>
        </w:tc>
        <w:tc>
          <w:tcPr>
            <w:tcW w:w="1360"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134 801 752 363</w:t>
            </w:r>
          </w:p>
        </w:tc>
      </w:tr>
      <w:tr>
        <w:trPr>
          <w:trHeight w:val="165"/>
          <w:jc w:val="center"/>
        </w:trPr>
        <w:tc>
          <w:tcPr>
            <w:tcW w:w="34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i/>
                <w:noProof/>
                <w:sz w:val="14"/>
              </w:rPr>
              <w:t>Бюджетни кредити като % от БНД</w:t>
            </w:r>
          </w:p>
        </w:tc>
        <w:tc>
          <w:tcPr>
            <w:tcW w:w="13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1,04 %</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0,89 %</w:t>
            </w:r>
          </w:p>
        </w:tc>
        <w:tc>
          <w:tcPr>
            <w:tcW w:w="120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1,05 %</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0,90 %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i/>
                <w:noProof/>
                <w:sz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530 000 000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981 093 985</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530 000 000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981 093 985</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i/>
                <w:noProof/>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1 265 000 000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174 100 000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1 439 100 000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tcPr>
          <w:p>
            <w:pPr>
              <w:jc w:val="right"/>
              <w:rPr>
                <w:b/>
                <w:bCs/>
                <w:i/>
                <w:iCs/>
                <w:noProof/>
                <w:sz w:val="14"/>
                <w:szCs w:val="14"/>
              </w:rPr>
            </w:pPr>
            <w:r>
              <w:rPr>
                <w:b/>
                <w:i/>
                <w:noProof/>
                <w:sz w:val="14"/>
              </w:rPr>
              <w:t>От които по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1 164 380 960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 xml:space="preserve"> 986 230 000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2 150 610 960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tcPr>
          <w:p>
            <w:pPr>
              <w:jc w:val="right"/>
              <w:rPr>
                <w:b/>
                <w:bCs/>
                <w:i/>
                <w:iCs/>
                <w:noProof/>
                <w:color w:val="000000"/>
                <w:sz w:val="14"/>
                <w:szCs w:val="14"/>
              </w:rPr>
            </w:pPr>
            <w:r>
              <w:rPr>
                <w:b/>
                <w:i/>
                <w:noProof/>
                <w:color w:val="000000"/>
                <w:sz w:val="14"/>
              </w:rPr>
              <w:t> </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i/>
                <w:noProof/>
                <w:sz w:val="14"/>
              </w:rPr>
              <w:t>Таван</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155 631 000 000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142 906 000 000</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155 631 000 000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142 906 000 000</w:t>
            </w:r>
          </w:p>
        </w:tc>
      </w:tr>
      <w:tr>
        <w:trPr>
          <w:trHeight w:val="255"/>
          <w:jc w:val="center"/>
        </w:trPr>
        <w:tc>
          <w:tcPr>
            <w:tcW w:w="3469"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i/>
                <w:noProof/>
                <w:sz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-1 164 380 960</w:t>
            </w:r>
          </w:p>
        </w:tc>
        <w:tc>
          <w:tcPr>
            <w:tcW w:w="1360"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single" w:sz="4" w:space="0" w:color="auto"/>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- 200 000 000</w:t>
            </w:r>
          </w:p>
        </w:tc>
        <w:tc>
          <w:tcPr>
            <w:tcW w:w="120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-1 364 380 960</w:t>
            </w:r>
          </w:p>
        </w:tc>
        <w:tc>
          <w:tcPr>
            <w:tcW w:w="1360" w:type="dxa"/>
            <w:tcBorders>
              <w:top w:val="nil"/>
              <w:left w:val="nil"/>
              <w:bottom w:val="dotted"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r>
      <w:tr>
        <w:trPr>
          <w:trHeight w:val="270"/>
          <w:jc w:val="center"/>
        </w:trPr>
        <w:tc>
          <w:tcPr>
            <w:tcW w:w="34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i/>
                <w:noProof/>
                <w:sz w:val="14"/>
              </w:rPr>
              <w:t>Марж</w:t>
            </w:r>
          </w:p>
        </w:tc>
        <w:tc>
          <w:tcPr>
            <w:tcW w:w="13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815 431 555</w:t>
            </w:r>
          </w:p>
        </w:tc>
        <w:tc>
          <w:tcPr>
            <w:tcW w:w="1360" w:type="dxa"/>
            <w:tcBorders>
              <w:top w:val="nil"/>
              <w:left w:val="single" w:sz="4" w:space="0" w:color="auto"/>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9 608 452 422</w:t>
            </w:r>
          </w:p>
        </w:tc>
        <w:tc>
          <w:tcPr>
            <w:tcW w:w="120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- 296 910 800</w:t>
            </w:r>
          </w:p>
        </w:tc>
        <w:tc>
          <w:tcPr>
            <w:tcW w:w="120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- 523 110 800</w:t>
            </w:r>
          </w:p>
        </w:tc>
        <w:tc>
          <w:tcPr>
            <w:tcW w:w="136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xml:space="preserve"> 518 520 755</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9 085 341 622</w:t>
            </w:r>
          </w:p>
        </w:tc>
      </w:tr>
      <w:tr>
        <w:trPr>
          <w:trHeight w:val="179"/>
          <w:jc w:val="center"/>
        </w:trPr>
        <w:tc>
          <w:tcPr>
            <w:tcW w:w="3469" w:type="dxa"/>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r>
      <w:tr>
        <w:trPr>
          <w:trHeight w:val="208"/>
          <w:jc w:val="center"/>
        </w:trPr>
        <w:tc>
          <w:tcPr>
            <w:tcW w:w="346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noProof/>
                <w:sz w:val="16"/>
              </w:rPr>
              <w:t>Други специални инструменти</w:t>
            </w:r>
          </w:p>
        </w:tc>
        <w:tc>
          <w:tcPr>
            <w:tcW w:w="136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1 046 924 000</w:t>
            </w:r>
          </w:p>
        </w:tc>
        <w:tc>
          <w:tcPr>
            <w:tcW w:w="136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620 000 000</w:t>
            </w:r>
          </w:p>
        </w:tc>
        <w:tc>
          <w:tcPr>
            <w:tcW w:w="120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w:t>
            </w:r>
          </w:p>
        </w:tc>
        <w:tc>
          <w:tcPr>
            <w:tcW w:w="120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w:t>
            </w:r>
          </w:p>
        </w:tc>
        <w:tc>
          <w:tcPr>
            <w:tcW w:w="136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1 046 924 000</w:t>
            </w:r>
          </w:p>
        </w:tc>
        <w:tc>
          <w:tcPr>
            <w:tcW w:w="13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620 000 000</w:t>
            </w:r>
          </w:p>
        </w:tc>
      </w:tr>
      <w:tr>
        <w:trPr>
          <w:trHeight w:val="54"/>
          <w:jc w:val="center"/>
        </w:trPr>
        <w:tc>
          <w:tcPr>
            <w:tcW w:w="3469" w:type="dxa"/>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pPr>
              <w:rPr>
                <w:noProof/>
                <w:sz w:val="16"/>
                <w:szCs w:val="16"/>
              </w:rPr>
            </w:pPr>
          </w:p>
        </w:tc>
      </w:tr>
      <w:tr>
        <w:trPr>
          <w:trHeight w:val="186"/>
          <w:jc w:val="center"/>
        </w:trPr>
        <w:tc>
          <w:tcPr>
            <w:tcW w:w="3469"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pPr>
              <w:rPr>
                <w:b/>
                <w:bCs/>
                <w:noProof/>
                <w:sz w:val="16"/>
                <w:szCs w:val="16"/>
              </w:rPr>
            </w:pPr>
            <w:r>
              <w:rPr>
                <w:b/>
                <w:noProof/>
                <w:sz w:val="16"/>
              </w:rPr>
              <w:t>ОБЩО БЮДЖЕТНИ КРЕДИТИ</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157 657 492 445</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134 898 641 563</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1 257 240 800</w:t>
            </w:r>
          </w:p>
        </w:tc>
        <w:tc>
          <w:tcPr>
            <w:tcW w:w="120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 xml:space="preserve"> 523 110 800</w:t>
            </w:r>
          </w:p>
        </w:tc>
        <w:tc>
          <w:tcPr>
            <w:tcW w:w="1360"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158 914 733 245</w:t>
            </w:r>
          </w:p>
        </w:tc>
        <w:tc>
          <w:tcPr>
            <w:tcW w:w="1360"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pPr>
              <w:jc w:val="right"/>
              <w:rPr>
                <w:b/>
                <w:bCs/>
                <w:noProof/>
                <w:color w:val="000000"/>
                <w:sz w:val="16"/>
                <w:szCs w:val="16"/>
              </w:rPr>
            </w:pPr>
            <w:r>
              <w:rPr>
                <w:b/>
                <w:noProof/>
                <w:color w:val="000000"/>
                <w:sz w:val="16"/>
              </w:rPr>
              <w:t>135 421 752 363</w:t>
            </w:r>
          </w:p>
        </w:tc>
      </w:tr>
      <w:tr>
        <w:trPr>
          <w:trHeight w:val="180"/>
          <w:jc w:val="center"/>
        </w:trPr>
        <w:tc>
          <w:tcPr>
            <w:tcW w:w="34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sz w:val="14"/>
                <w:szCs w:val="14"/>
              </w:rPr>
            </w:pPr>
            <w:r>
              <w:rPr>
                <w:b/>
                <w:i/>
                <w:noProof/>
                <w:sz w:val="14"/>
              </w:rPr>
              <w:t>Бюджетни кредити като % от БНД</w:t>
            </w:r>
          </w:p>
        </w:tc>
        <w:tc>
          <w:tcPr>
            <w:tcW w:w="13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1,05 %</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0,90 %</w:t>
            </w:r>
          </w:p>
        </w:tc>
        <w:tc>
          <w:tcPr>
            <w:tcW w:w="120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 </w:t>
            </w:r>
          </w:p>
        </w:tc>
        <w:tc>
          <w:tcPr>
            <w:tcW w:w="1360"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1,06 %</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jc w:val="right"/>
              <w:rPr>
                <w:b/>
                <w:bCs/>
                <w:i/>
                <w:iCs/>
                <w:noProof/>
                <w:color w:val="000000"/>
                <w:sz w:val="14"/>
                <w:szCs w:val="14"/>
              </w:rPr>
            </w:pPr>
            <w:r>
              <w:rPr>
                <w:b/>
                <w:i/>
                <w:noProof/>
                <w:color w:val="000000"/>
                <w:sz w:val="14"/>
              </w:rPr>
              <w:t>0,90 %</w:t>
            </w:r>
          </w:p>
        </w:tc>
      </w:tr>
    </w:tbl>
    <w:p>
      <w:pPr>
        <w:spacing w:before="120" w:after="120"/>
        <w:jc w:val="both"/>
        <w:rPr>
          <w:noProof/>
          <w:szCs w:val="20"/>
          <w:lang w:val="en-GB"/>
        </w:rPr>
      </w:pPr>
    </w:p>
    <w:sectPr>
      <w:headerReference w:type="even" r:id="rId35"/>
      <w:headerReference w:type="default" r:id="rId36"/>
      <w:footerReference w:type="even" r:id="rId37"/>
      <w:footerReference w:type="default" r:id="rId38"/>
      <w:headerReference w:type="first" r:id="rId39"/>
      <w:footerReference w:type="first" r:id="rId40"/>
      <w:pgSz w:w="11907" w:h="16839"/>
      <w:pgMar w:top="284" w:right="1021" w:bottom="851" w:left="1021" w:header="280"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26</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28</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tab/>
      </w:r>
      <w:r>
        <w:rPr>
          <w:sz w:val="18"/>
        </w:rPr>
        <w:t>ОВ L 298, 26.10.2012 г., стр. 1.</w:t>
      </w:r>
    </w:p>
  </w:footnote>
  <w:footnote w:id="3">
    <w:p>
      <w:pPr>
        <w:pStyle w:val="FootnoteText"/>
        <w:rPr>
          <w:lang w:val="pt-PT"/>
        </w:rPr>
      </w:pPr>
      <w:r>
        <w:rPr>
          <w:rStyle w:val="FootnoteReference"/>
        </w:rPr>
        <w:footnoteRef/>
      </w:r>
      <w:r>
        <w:tab/>
      </w:r>
      <w:r>
        <w:rPr>
          <w:sz w:val="18"/>
        </w:rPr>
        <w:t>COM(2016) 300, 18.7.2016 г.</w:t>
      </w:r>
    </w:p>
  </w:footnote>
  <w:footnote w:id="4">
    <w:p>
      <w:pPr>
        <w:pStyle w:val="FootnoteText"/>
        <w:rPr>
          <w:lang w:val="pt-PT"/>
        </w:rPr>
      </w:pPr>
      <w:r>
        <w:rPr>
          <w:rStyle w:val="FootnoteReference"/>
        </w:rPr>
        <w:footnoteRef/>
      </w:r>
      <w:r>
        <w:t xml:space="preserve"> </w:t>
      </w:r>
      <w:r>
        <w:tab/>
        <w:t>COM(2016) 603 final, 14.9.2016 г.</w:t>
      </w:r>
    </w:p>
  </w:footnote>
  <w:footnote w:id="5">
    <w:p>
      <w:pPr>
        <w:pStyle w:val="FootnoteText"/>
        <w:rPr>
          <w:lang w:val="pt-PT"/>
        </w:rPr>
      </w:pPr>
      <w:r>
        <w:rPr>
          <w:rStyle w:val="FootnoteReference"/>
        </w:rPr>
        <w:footnoteRef/>
      </w:r>
      <w:r>
        <w:tab/>
        <w:t>COM(2016) 586 final, 14.9.2016 г.</w:t>
      </w:r>
    </w:p>
  </w:footnote>
  <w:footnote w:id="6">
    <w:p>
      <w:pPr>
        <w:pStyle w:val="FootnoteText"/>
        <w:rPr>
          <w:lang w:val="pt-PT"/>
        </w:rPr>
      </w:pPr>
      <w:r>
        <w:rPr>
          <w:rStyle w:val="FootnoteReference"/>
        </w:rPr>
        <w:footnoteRef/>
      </w:r>
      <w:r>
        <w:t xml:space="preserve"> </w:t>
      </w:r>
      <w:r>
        <w:tab/>
        <w:t>COM(2016) 602 final, 14.9.2016 г.</w:t>
      </w:r>
    </w:p>
  </w:footnote>
  <w:footnote w:id="7">
    <w:p>
      <w:pPr>
        <w:pStyle w:val="FootnoteText"/>
      </w:pPr>
      <w:r>
        <w:rPr>
          <w:rStyle w:val="FootnoteReference"/>
        </w:rPr>
        <w:footnoteRef/>
      </w:r>
      <w:r>
        <w:t xml:space="preserve"> </w:t>
      </w:r>
      <w:r>
        <w:tab/>
        <w:t>В МФР за 2014—2020 г. първоначалният подтаван за ЕФГЗ за 2017 г. възлиза на 44 863 млн. евро. Като се вземе предвид нетната сума от 717,3 млн. евро, която трябва да се прехвърли към „развитие на селските райони“ и която вече е включена в ПБ за 2017 г., наличното нетно салдо за разходване по линия на ЕФГЗ („нетният подтаван“), възлиза на 44 145,7 млн. евро. Нуждите за ЕФГЗ за 2017 г. се оценяват на базата на този „нетен подтаван“ за ЕФГЗ.</w:t>
      </w:r>
    </w:p>
  </w:footnote>
  <w:footnote w:id="8">
    <w:p>
      <w:pPr>
        <w:pStyle w:val="FootnoteText"/>
      </w:pPr>
      <w:r>
        <w:rPr>
          <w:rStyle w:val="FootnoteReference"/>
        </w:rPr>
        <w:footnoteRef/>
      </w:r>
      <w:r>
        <w:t xml:space="preserve"> </w:t>
      </w:r>
      <w:r>
        <w:tab/>
        <w:t>Ставката на корекция за директните плащания във връзка с механизма за финансова дисциплина по отношение на календарната 2016 г. е определена в Регламент за изпълнение (ЕС) 2016/1153 на Комисията. Комисията ще коригира тази ставка на корекция въз основа на настоящото ПВК № AL 1/2017.</w:t>
      </w:r>
    </w:p>
  </w:footnote>
  <w:footnote w:id="9">
    <w:p>
      <w:pPr>
        <w:pStyle w:val="FootnoteText"/>
      </w:pPr>
      <w:r>
        <w:rPr>
          <w:rStyle w:val="FootnoteReference"/>
        </w:rPr>
        <w:footnoteRef/>
      </w:r>
      <w:r>
        <w:t xml:space="preserve"> </w:t>
      </w:r>
      <w:r>
        <w:tab/>
        <w:t>Делегиран регламент (ЕС) 2016/1612 на Комисията</w:t>
      </w:r>
    </w:p>
  </w:footnote>
  <w:footnote w:id="10">
    <w:p>
      <w:pPr>
        <w:pStyle w:val="FootnoteText"/>
      </w:pPr>
      <w:r>
        <w:rPr>
          <w:rStyle w:val="FootnoteReference"/>
        </w:rPr>
        <w:footnoteRef/>
      </w:r>
      <w:r>
        <w:t xml:space="preserve"> </w:t>
      </w:r>
      <w:r>
        <w:tab/>
        <w:t>Делегиран регламент (ЕС) 2016/1613 на Комисията</w:t>
      </w:r>
    </w:p>
  </w:footnote>
  <w:footnote w:id="11">
    <w:p>
      <w:pPr>
        <w:pStyle w:val="FootnoteText"/>
      </w:pPr>
      <w:r>
        <w:rPr>
          <w:rStyle w:val="FootnoteReference"/>
        </w:rPr>
        <w:footnoteRef/>
      </w:r>
      <w:r>
        <w:t xml:space="preserve"> </w:t>
      </w:r>
      <w:r>
        <w:tab/>
        <w:t>Съобщение на Комисията до Съвета (COM(2013) 526 final) от 17.7.2013 г.</w:t>
      </w:r>
    </w:p>
  </w:footnote>
  <w:footnote w:id="12">
    <w:p>
      <w:pPr>
        <w:pStyle w:val="FootnoteText"/>
      </w:pPr>
      <w:r>
        <w:rPr>
          <w:rStyle w:val="FootnoteReference"/>
        </w:rPr>
        <w:footnoteRef/>
      </w:r>
      <w:r>
        <w:t xml:space="preserve"> </w:t>
      </w:r>
      <w:r>
        <w:tab/>
        <w:t>Статии 05 08 01, 05 08 02 и 05 08 03, които се отнасят до мерки при пряко управление от Комисията, са сред малкото бюджетни редове за ЕФГЗ, при които се работи с многогодишни бюджетни кредити, докато при повечето от другите, особено тези за мерки за финансиране при споделено управление с държавите членки, се работи с едногодишни бюджетни кредити.</w:t>
      </w:r>
    </w:p>
  </w:footnote>
  <w:footnote w:id="13">
    <w:p>
      <w:pPr>
        <w:pStyle w:val="FootnoteText"/>
      </w:pPr>
      <w:r>
        <w:rPr>
          <w:rStyle w:val="FootnoteReference"/>
        </w:rPr>
        <w:footnoteRef/>
      </w:r>
      <w:r>
        <w:t xml:space="preserve"> </w:t>
      </w:r>
      <w:r>
        <w:tab/>
        <w:t>ОВ C 373, 20.12.2013 г., стр. 1.</w:t>
      </w:r>
    </w:p>
  </w:footnote>
  <w:footnote w:id="14">
    <w:p>
      <w:pPr>
        <w:pStyle w:val="FootnoteText"/>
      </w:pPr>
      <w:r>
        <w:rPr>
          <w:rStyle w:val="FootnoteReference"/>
        </w:rPr>
        <w:footnoteRef/>
      </w:r>
      <w:r>
        <w:t xml:space="preserve"> </w:t>
      </w:r>
      <w:r>
        <w:tab/>
        <w:t>COM(2016) 603, 604, 605, 606, 607, 14.9.2016 и придружаващия Работен документ на Комисията SWD(2016) 299.</w:t>
      </w:r>
    </w:p>
  </w:footnote>
  <w:footnote w:id="15">
    <w:p>
      <w:pPr>
        <w:pStyle w:val="FootnoteText"/>
        <w:rPr>
          <w:lang w:val="pt-PT"/>
        </w:rPr>
      </w:pPr>
      <w:r>
        <w:rPr>
          <w:rStyle w:val="FootnoteReference"/>
        </w:rPr>
        <w:footnoteRef/>
      </w:r>
      <w:r>
        <w:t xml:space="preserve"> </w:t>
      </w:r>
      <w:r>
        <w:tab/>
        <w:t>COM(2016) 589, 14.9.2016 г.</w:t>
      </w:r>
    </w:p>
  </w:footnote>
  <w:footnote w:id="16">
    <w:p>
      <w:pPr>
        <w:pStyle w:val="FootnoteText"/>
        <w:rPr>
          <w:lang w:val="pt-PT"/>
        </w:rPr>
      </w:pPr>
      <w:r>
        <w:rPr>
          <w:rStyle w:val="FootnoteReference"/>
        </w:rPr>
        <w:footnoteRef/>
      </w:r>
      <w:r>
        <w:t xml:space="preserve"> </w:t>
      </w:r>
      <w:r>
        <w:tab/>
        <w:t>COM(2016) 385, 7.6.2016 г.</w:t>
      </w:r>
    </w:p>
  </w:footnote>
  <w:footnote w:id="17">
    <w:p>
      <w:pPr>
        <w:pStyle w:val="FootnoteText"/>
        <w:rPr>
          <w:lang w:val="pt-PT"/>
        </w:rPr>
      </w:pPr>
      <w:r>
        <w:rPr>
          <w:rStyle w:val="FootnoteReference"/>
        </w:rPr>
        <w:footnoteRef/>
      </w:r>
      <w:r>
        <w:t xml:space="preserve"> </w:t>
      </w:r>
      <w:r>
        <w:tab/>
        <w:t>http://www.consilium.europa.eu/en/meetings/international-summit/2015/11/11-12.</w:t>
      </w:r>
    </w:p>
  </w:footnote>
  <w:footnote w:id="18">
    <w:p>
      <w:pPr>
        <w:pStyle w:val="FootnoteText"/>
      </w:pPr>
      <w:r>
        <w:rPr>
          <w:rStyle w:val="FootnoteReference"/>
        </w:rPr>
        <w:footnoteRef/>
      </w:r>
      <w:r>
        <w:t xml:space="preserve"> </w:t>
      </w:r>
      <w:r>
        <w:tab/>
        <w:t>Адаптирани пакети по държави за прилагане на новата рамка за партньорство. Краткосрочната цел е спасяването на човешки живот в Средиземно море, увеличаването на процента на връщанията към държавите на произход и транзит и създаването на възможности мигрантите и бежанците да остават близо до домовете си и да избягват предприемането на опасни пътувания.</w:t>
      </w:r>
    </w:p>
  </w:footnote>
  <w:footnote w:id="19">
    <w:p>
      <w:pPr>
        <w:pStyle w:val="FootnoteText"/>
        <w:rPr>
          <w:lang w:val="pt-PT"/>
        </w:rPr>
      </w:pPr>
      <w:r>
        <w:rPr>
          <w:rStyle w:val="FootnoteReference"/>
        </w:rPr>
        <w:footnoteRef/>
      </w:r>
      <w:r>
        <w:tab/>
        <w:t>COM(2016) 586 final, 14.9.2016 г.</w:t>
      </w:r>
    </w:p>
  </w:footnote>
  <w:footnote w:id="20">
    <w:p>
      <w:pPr>
        <w:pStyle w:val="FootnoteText"/>
        <w:rPr>
          <w:lang w:val="pt-PT"/>
        </w:rPr>
      </w:pPr>
      <w:r>
        <w:rPr>
          <w:rStyle w:val="FootnoteReference"/>
        </w:rPr>
        <w:footnoteRef/>
      </w:r>
      <w:r>
        <w:t xml:space="preserve"> </w:t>
      </w:r>
      <w:r>
        <w:tab/>
        <w:t>COM(2016) 581 final, 14.9.2016 г.</w:t>
      </w:r>
    </w:p>
  </w:footnote>
  <w:footnote w:id="21">
    <w:p>
      <w:pPr>
        <w:pStyle w:val="FootnoteText"/>
        <w:rPr>
          <w:lang w:val="pt-PT"/>
        </w:rPr>
      </w:pPr>
      <w:r>
        <w:rPr>
          <w:rStyle w:val="FootnoteReference"/>
        </w:rPr>
        <w:footnoteRef/>
      </w:r>
      <w:r>
        <w:t xml:space="preserve"> </w:t>
      </w:r>
      <w:r>
        <w:tab/>
        <w:t>COM(2016) 678 final, 17.10.2016 г.</w:t>
      </w:r>
    </w:p>
  </w:footnote>
  <w:footnote w:id="22">
    <w:p>
      <w:pPr>
        <w:pStyle w:val="FootnoteText"/>
        <w:rPr>
          <w:lang w:val="pt-PT"/>
        </w:rPr>
      </w:pPr>
      <w:r>
        <w:rPr>
          <w:rStyle w:val="FootnoteReference"/>
        </w:rPr>
        <w:footnoteRef/>
      </w:r>
      <w:r>
        <w:t xml:space="preserve"> </w:t>
      </w:r>
      <w:r>
        <w:tab/>
        <w:t>COM(2016) 602, 14.9.2016 г.</w:t>
      </w:r>
    </w:p>
  </w:footnote>
  <w:footnote w:id="23">
    <w:p>
      <w:pPr>
        <w:pStyle w:val="FootnoteText"/>
        <w:rPr>
          <w:lang w:val="pt-PT"/>
        </w:rPr>
      </w:pPr>
      <w:r>
        <w:rPr>
          <w:rStyle w:val="FootnoteReference"/>
        </w:rPr>
        <w:footnoteRef/>
      </w:r>
      <w:r>
        <w:t xml:space="preserve"> </w:t>
      </w:r>
      <w:r>
        <w:tab/>
        <w:t>COM(2016) 624, 30.9.2016 г.</w:t>
      </w:r>
    </w:p>
  </w:footnote>
  <w:footnote w:id="24">
    <w:p>
      <w:pPr>
        <w:pStyle w:val="FootnoteText"/>
        <w:rPr>
          <w:lang w:val="pt-PT"/>
        </w:rPr>
      </w:pPr>
      <w:r>
        <w:rPr>
          <w:rStyle w:val="FootnoteReference"/>
        </w:rPr>
        <w:footnoteRef/>
      </w:r>
      <w:r>
        <w:t xml:space="preserve"> </w:t>
      </w:r>
      <w:r>
        <w:tab/>
        <w:t>COM(2015) 671, 15.12.2015 г.</w:t>
      </w:r>
    </w:p>
  </w:footnote>
  <w:footnote w:id="25">
    <w:p>
      <w:pPr>
        <w:pStyle w:val="FootnoteText"/>
        <w:rPr>
          <w:lang w:val="pt-PT"/>
        </w:rPr>
      </w:pPr>
      <w:r>
        <w:rPr>
          <w:rStyle w:val="FootnoteReference"/>
        </w:rPr>
        <w:footnoteRef/>
      </w:r>
      <w:r>
        <w:t xml:space="preserve"> </w:t>
      </w:r>
      <w:r>
        <w:tab/>
        <w:t>COM(2016) 271, 4.5.2016 г.</w:t>
      </w:r>
    </w:p>
  </w:footnote>
  <w:footnote w:id="26">
    <w:p>
      <w:pPr>
        <w:pStyle w:val="FootnoteText"/>
        <w:rPr>
          <w:lang w:val="pt-PT"/>
        </w:rPr>
      </w:pPr>
      <w:r>
        <w:rPr>
          <w:rStyle w:val="FootnoteReference"/>
        </w:rPr>
        <w:footnoteRef/>
      </w:r>
      <w:r>
        <w:t xml:space="preserve"> </w:t>
      </w:r>
      <w:r>
        <w:tab/>
        <w:t>Това название не засяга позициите по отношение на статута и е съобразено с Резолюция 1244 на Съвета за сигурност на ООН и становището на Международния съд относно обявяването на независимост от страна на Косово.</w:t>
      </w:r>
    </w:p>
  </w:footnote>
  <w:footnote w:id="27">
    <w:p>
      <w:pPr>
        <w:pStyle w:val="FootnoteText"/>
        <w:rPr>
          <w:lang w:val="pt-PT"/>
        </w:rPr>
      </w:pPr>
      <w:r>
        <w:rPr>
          <w:rStyle w:val="FootnoteReference"/>
        </w:rPr>
        <w:footnoteRef/>
      </w:r>
      <w:r>
        <w:t xml:space="preserve"> </w:t>
      </w:r>
      <w:r>
        <w:tab/>
        <w:t xml:space="preserve">Заключения на Съвета относно прегледа на ЕСВД, заседание на Съвета по общи въпроси, Брюксел, 17 декември 2013 г. </w:t>
      </w:r>
      <w:r>
        <w:rPr>
          <w:u w:val="single"/>
        </w:rPr>
        <w:t>http://www.consilium.europa.eu/uedocs/cms_data/docs/pressdata/EN/genaff/140141.pdf</w:t>
      </w:r>
      <w:r>
        <w:t>.</w:t>
      </w:r>
    </w:p>
  </w:footnote>
  <w:footnote w:id="28">
    <w:p>
      <w:pPr>
        <w:pStyle w:val="FootnoteText"/>
        <w:rPr>
          <w:lang w:val="pt-PT"/>
        </w:rPr>
      </w:pPr>
      <w:r>
        <w:rPr>
          <w:rStyle w:val="FootnoteReference"/>
        </w:rPr>
        <w:footnoteRef/>
      </w:r>
      <w:r>
        <w:t xml:space="preserve"> </w:t>
      </w:r>
      <w:r>
        <w:tab/>
        <w:t>Решение на Европейския парламент от 28 април 2016 г. относно освобождаването от отговорност във връзка с изпълнението на общия бюджет на Европейския съюз за финансовата 2014 г., раздел X ‒ Европейска служба за външна дейност (2015/2163(DEC)):</w:t>
      </w:r>
      <w:r>
        <w:rPr>
          <w:lang w:val="pt-PT"/>
        </w:rPr>
        <w:tab/>
      </w:r>
      <w:r>
        <w:rPr>
          <w:lang w:val="pt-PT"/>
        </w:rPr>
        <w:br/>
      </w:r>
      <w:r>
        <w:t>http://www.europarl.europa.eu/sides/getDoc.do?pubRef=-//EP//TEXT+TA+P8-TA-2016-0156+0+DOC+XML+V0//EN.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lvlText w:val="%1."/>
      <w:lvlJc w:val="left"/>
      <w:pPr>
        <w:tabs>
          <w:tab w:val="num" w:pos="1492"/>
        </w:tabs>
        <w:ind w:left="1492" w:hanging="360"/>
      </w:pPr>
      <w:rPr>
        <w:rFonts w:cs="Times New Roman"/>
      </w:rPr>
    </w:lvl>
  </w:abstractNum>
  <w:abstractNum w:abstractNumId="1">
    <w:nsid w:val="FFFFFF82"/>
    <w:multiLevelType w:val="singleLevel"/>
    <w:tmpl w:val="338AC50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8"/>
    <w:multiLevelType w:val="singleLevel"/>
    <w:tmpl w:val="4EA45498"/>
    <w:lvl w:ilvl="0">
      <w:start w:val="1"/>
      <w:numFmt w:val="decimal"/>
      <w:lvlText w:val="%1."/>
      <w:lvlJc w:val="left"/>
      <w:pPr>
        <w:tabs>
          <w:tab w:val="num" w:pos="360"/>
        </w:tabs>
        <w:ind w:left="360" w:hanging="360"/>
      </w:pPr>
    </w:lvl>
  </w:abstractNum>
  <w:abstractNum w:abstractNumId="4">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5">
    <w:nsid w:val="07C9596F"/>
    <w:multiLevelType w:val="hybridMultilevel"/>
    <w:tmpl w:val="854EA6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8">
    <w:nsid w:val="1B926BAF"/>
    <w:multiLevelType w:val="hybridMultilevel"/>
    <w:tmpl w:val="BA840F62"/>
    <w:lvl w:ilvl="0" w:tplc="0809000F">
      <w:start w:val="1"/>
      <w:numFmt w:val="decimal"/>
      <w:lvlText w:val="%1."/>
      <w:lvlJc w:val="left"/>
      <w:pPr>
        <w:ind w:left="360" w:hanging="360"/>
      </w:pPr>
      <w:rPr>
        <w:rFonts w:cs="Times New Roman"/>
      </w:rPr>
    </w:lvl>
    <w:lvl w:ilvl="1" w:tplc="08090003">
      <w:start w:val="1"/>
      <w:numFmt w:val="bullet"/>
      <w:lvlText w:val="o"/>
      <w:lvlJc w:val="left"/>
      <w:pPr>
        <w:ind w:left="1080" w:hanging="360"/>
      </w:pPr>
      <w:rPr>
        <w:rFonts w:ascii="Courier New" w:hAnsi="Courier New"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933A69"/>
    <w:multiLevelType w:val="hybridMultilevel"/>
    <w:tmpl w:val="3484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3F7C32"/>
    <w:multiLevelType w:val="hybridMultilevel"/>
    <w:tmpl w:val="C2F82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nsid w:val="33A0473A"/>
    <w:multiLevelType w:val="hybridMultilevel"/>
    <w:tmpl w:val="5F829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8157C2"/>
    <w:multiLevelType w:val="multilevel"/>
    <w:tmpl w:val="FB0C84F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3A7730C4"/>
    <w:multiLevelType w:val="singleLevel"/>
    <w:tmpl w:val="0809000F"/>
    <w:lvl w:ilvl="0">
      <w:start w:val="1"/>
      <w:numFmt w:val="decimal"/>
      <w:pStyle w:val="ManualHeading2"/>
      <w:lvlText w:val="%1."/>
      <w:lvlJc w:val="left"/>
      <w:pPr>
        <w:ind w:left="720" w:hanging="360"/>
      </w:pPr>
    </w:lvl>
  </w:abstractNum>
  <w:abstractNum w:abstractNumId="17">
    <w:nsid w:val="49D24923"/>
    <w:multiLevelType w:val="hybridMultilevel"/>
    <w:tmpl w:val="F31AF43C"/>
    <w:lvl w:ilvl="0" w:tplc="8A36BA8C">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A223FAC"/>
    <w:multiLevelType w:val="multilevel"/>
    <w:tmpl w:val="592420B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nsid w:val="4B843E64"/>
    <w:multiLevelType w:val="hybridMultilevel"/>
    <w:tmpl w:val="7C2AEA10"/>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71E1AD9"/>
    <w:multiLevelType w:val="hybridMultilevel"/>
    <w:tmpl w:val="B56ECF6C"/>
    <w:lvl w:ilvl="0" w:tplc="4B36AFE6">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0"/>
  </w:num>
  <w:num w:numId="7">
    <w:abstractNumId w:val="1"/>
  </w:num>
  <w:num w:numId="8">
    <w:abstractNumId w:val="13"/>
  </w:num>
  <w:num w:numId="9">
    <w:abstractNumId w:val="23"/>
  </w:num>
  <w:num w:numId="10">
    <w:abstractNumId w:val="16"/>
  </w:num>
  <w:num w:numId="11">
    <w:abstractNumId w:val="12"/>
  </w:num>
  <w:num w:numId="12">
    <w:abstractNumId w:val="21"/>
  </w:num>
  <w:num w:numId="13">
    <w:abstractNumId w:val="7"/>
  </w:num>
  <w:num w:numId="14">
    <w:abstractNumId w:val="22"/>
  </w:num>
  <w:num w:numId="15">
    <w:abstractNumId w:val="0"/>
  </w:num>
  <w:num w:numId="16">
    <w:abstractNumId w:val="15"/>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9"/>
  </w:num>
  <w:num w:numId="21">
    <w:abstractNumId w:val="8"/>
  </w:num>
  <w:num w:numId="22">
    <w:abstractNumId w:val="5"/>
  </w:num>
  <w:num w:numId="23">
    <w:abstractNumId w:val="16"/>
  </w:num>
  <w:num w:numId="24">
    <w:abstractNumId w:val="17"/>
  </w:num>
  <w:num w:numId="25">
    <w:abstractNumId w:val="9"/>
  </w:num>
  <w:num w:numId="26">
    <w:abstractNumId w:val="24"/>
  </w:num>
  <w:num w:numId="27">
    <w:abstractNumId w:val="14"/>
  </w:num>
  <w:num w:numId="28">
    <w:abstractNumId w:val="18"/>
  </w:num>
  <w:num w:numId="29">
    <w:abstractNumId w:val="11"/>
  </w:num>
  <w:num w:numId="30">
    <w:abstractNumId w:val="16"/>
  </w:num>
  <w:num w:numId="31">
    <w:abstractNumId w:val="16"/>
  </w:num>
  <w:num w:numId="32">
    <w:abstractNumId w:val="16"/>
  </w:num>
  <w:num w:numId="33">
    <w:abstractNumId w:val="6"/>
  </w:num>
  <w:num w:numId="34">
    <w:abstractNumId w:val="16"/>
  </w:num>
  <w:num w:numId="35">
    <w:abstractNumId w:val="16"/>
  </w:num>
  <w:num w:numId="36">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pe-Voyage">
    <w15:presenceInfo w15:providerId="None" w15:userId="Philippe-Voy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GB" w:vendorID="64" w:dllVersion="131078" w:nlCheck="1" w:checkStyle="0"/>
  <w:activeWritingStyle w:appName="MSWord" w:lang="de-DE" w:vendorID="64" w:dllVersion="131078" w:nlCheck="1" w:checkStyle="0"/>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01040A3D3234C3BA246BFB1AB87E3D6"/>
    <w:docVar w:name="LW_CROSSREFERENCE" w:val="&lt;UNUSED&gt;"/>
    <w:docVar w:name="LW_DocType" w:val="NORMAL"/>
    <w:docVar w:name="LW_EMISSION" w:val="17.10.2016"/>
    <w:docVar w:name="LW_EMISSION_ISODATE" w:val="2016-10-17"/>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79"/>
    <w:docVar w:name="LW_REF.INTERNE" w:val="&lt;UNUSED&gt;"/>
    <w:docVar w:name="LW_SOUS.TITRE.OBJ.CP" w:val="&lt;UNUSED&gt;"/>
    <w:docVar w:name="LW_SUPERTITRE" w:val="&lt;UNUSED&gt;"/>
    <w:docVar w:name="LW_TITRE.OBJ.CP" w:val="\u1040?\u1082?\u1090?\u1091?\u1072?\u1083?\u1080?\u1079?\u1080?\u1088?\u1072?\u1085?\u1077? \u1085?\u1072? \u1087?\u1088?\u1086?\u1075?\u1085?\u1086?\u1079?\u1085?\u1080?\u1090?\u1077? \u1087?\u1086?\u1090?\u1088?\u1077?\u1073?\u1085?\u1086?\u1089?\u1090?\u1080? \u1079?\u1072? \u1089?\u1077?\u1083?\u1089?\u1082?\u1086?\u1089?\u1090?\u1086?\u1087?\u1072?\u1085?\u1089?\u1082?\u1080?\u1090?\u1077? \u1088?\u1072?\u1079?\u1093?\u1086?\u1076?\u1080? \u1080? \u1088?\u1080?\u1073?\u1072?\u1088?\u1089?\u1090?\u1074?\u1086?\u1090?\u1086?_x000b_\u1059?\u1082?\u1088?\u1077?\u1087?\u1074?\u1072?\u1085?\u1077? \u1085?\u1072? \u1091?\u1089?\u1087?\u1077?\u1096?\u1085?\u1080?\u1090?\u1077? \u1087?\u1088?\u1086?\u1075?\u1088?\u1072?\u1084?\u1080? \u1080? \u1080?\u1085?\u1089?\u1090?\u1088?\u1091?\u1084?\u1077?\u1085?\u1090?\u1080? \u1079?\u1072? \u1091?\u1089?\u1090?\u1086?\u1081?\u1095?\u1080?\u1074? \u1088?\u1072?\u1089?\u1090?\u1077?\u1078? _x000b_\u1055?\u1088?\u1086?\u1075?\u1088?\u1072?\u1084?\u1072? \u1079?\u1072? \u1084?\u1080?\u1075?\u1088?\u1072?\u1094?\u1080?\u1103?\u1090?\u1072?, \u1055?\u1083?\u1072?\u1085? \u1079?\u1072? \u1074?\u1098?\u1085?\u1096?\u1085?\u1080? \u1080?\u1085?\u1074?\u1077?\u1089?\u1090?\u1080?\u1094?\u1080?\u1080? \u1080? \u1089?\u1080?\u1075?\u1091?\u1088?\u1085?\u1086?\u1089?\u1090?_x000b_\u1058?\u1077?\u1093?\u1085?\u1080?\u1095?\u1077?\u1089?\u1082?\u1080? \u1082?\u1086?\u1088?\u1077?\u1082?\u1094?\u1080?\u1080?, \u1089?\u1074?\u1098?\u1088?\u1079?\u1072?\u1085?\u1080? \u1089? \u1072?\u1075?\u1077?\u1085?\u1094?\u1080?\u1080?\u1090?\u1077? \u1080? \u1072?\u1076?\u1084?\u1080?\u1085?\u1080?\u1089?\u1090?\u1088?\u1072?\u1090?\u1080?\u1074?\u1085?\u1080?\u1090?\u1077? \u1088?\u1072?\u1079?\u1093?\u1086?\u1076?\u1080?_x000b_\u1059?\u1074?\u1077?\u1083?\u1080?\u1095?\u1072?\u1074?\u1072?\u1085?\u1077? \u1085?\u1072? \u1087?\u1088?\u1080?\u1093?\u1086?\u1076?\u1080?\u1090?\u1077?, \u1089?\u1074?\u1098?\u1088?\u1079?\u1072?\u1085?\u1080? \u1089? \u1075?\u1083?\u1086?\u1073?\u1080?"/>
    <w:docVar w:name="LW_TITRE.OBJ.CP_PREVIOUS" w:val="&lt;UNUSED&gt;"/>
    <w:docVar w:name="LW_TYPE.DOC.CP" w:val="\u1055?\u1048?\u1057?\u1052?\u1054? \u1047?\u1040? \u1042?\u1053?\u1040?\u1057?\u1071?\u1053?\u1045? \u1053?\u1040? \u1050?\u1054?\u1056?\u1045?\u1050?\u1062?\u1048?\u1048? \u8470? 1 \u1042? \u1055?\u1056?\u1054?\u1045?\u1050?\u1058?\u1040? \u1053?\u1040? \u1054?\u1041?\u1065? \u1041?\u1070?\u1044?\u1046?\u1045?\u1058? \u1047?\u1040? 2017 \u1075?."/>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footnote reference" w:uiPriority="0"/>
    <w:lsdException w:name="List Bulle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bg-BG" w:eastAsia="bg-BG"/>
    </w:rPr>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bg-BG" w:eastAsia="bg-BG"/>
    </w:rPr>
  </w:style>
  <w:style w:type="character" w:customStyle="1" w:styleId="Heading3Char">
    <w:name w:val="Heading 3 Char"/>
    <w:basedOn w:val="DefaultParagraphFont"/>
    <w:link w:val="Heading3"/>
    <w:uiPriority w:val="99"/>
    <w:locked/>
    <w:rPr>
      <w:rFonts w:ascii="Cambria" w:hAnsi="Cambria" w:cs="Times New Roman"/>
      <w:b/>
      <w:bCs/>
      <w:sz w:val="26"/>
      <w:szCs w:val="26"/>
      <w:lang w:val="bg-BG" w:eastAsia="bg-BG"/>
    </w:rPr>
  </w:style>
  <w:style w:type="character" w:customStyle="1" w:styleId="Heading4Char">
    <w:name w:val="Heading 4 Char"/>
    <w:basedOn w:val="DefaultParagraphFont"/>
    <w:link w:val="Heading4"/>
    <w:uiPriority w:val="99"/>
    <w:locked/>
    <w:rPr>
      <w:rFonts w:ascii="Calibri" w:hAnsi="Calibri" w:cs="Times New Roman"/>
      <w:b/>
      <w:bCs/>
      <w:sz w:val="28"/>
      <w:szCs w:val="28"/>
      <w:lang w:val="bg-BG" w:eastAsia="bg-BG"/>
    </w:rPr>
  </w:style>
  <w:style w:type="paragraph" w:styleId="Footer">
    <w:name w:val="footer"/>
    <w:basedOn w:val="Normal"/>
    <w:link w:val="FooterChar"/>
    <w:uiPriority w:val="99"/>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locked/>
    <w:rPr>
      <w:rFonts w:cs="Times New Roman"/>
      <w:sz w:val="24"/>
      <w:szCs w:val="24"/>
      <w:lang w:val="bg-BG" w:eastAsia="bg-BG"/>
    </w:rPr>
  </w:style>
  <w:style w:type="paragraph" w:styleId="FootnoteText">
    <w:name w:val="footnote text"/>
    <w:basedOn w:val="Normal"/>
    <w:link w:val="FootnoteTextChar"/>
    <w:uiPriority w:val="99"/>
    <w:pPr>
      <w:ind w:left="720" w:hanging="720"/>
      <w:jc w:val="both"/>
    </w:pPr>
    <w:rPr>
      <w:sz w:val="20"/>
      <w:szCs w:val="20"/>
    </w:rPr>
  </w:style>
  <w:style w:type="character" w:customStyle="1" w:styleId="FootnoteTextChar">
    <w:name w:val="Footnote Text Char"/>
    <w:basedOn w:val="DefaultParagraphFont"/>
    <w:link w:val="FootnoteText"/>
    <w:uiPriority w:val="99"/>
    <w:locked/>
    <w:rPr>
      <w:rFonts w:cs="Times New Roman"/>
      <w:lang w:eastAsia="bg-BG"/>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style>
  <w:style w:type="paragraph" w:customStyle="1" w:styleId="Tiret0">
    <w:name w:val="Tiret 0"/>
    <w:basedOn w:val="Normal"/>
    <w:uiPriority w:val="99"/>
    <w:pPr>
      <w:numPr>
        <w:numId w:val="8"/>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numPr>
        <w:ilvl w:val="1"/>
        <w:numId w:val="10"/>
      </w:numPr>
      <w:spacing w:before="360" w:after="120"/>
      <w:jc w:val="both"/>
      <w:outlineLvl w:val="1"/>
    </w:pPr>
    <w:rPr>
      <w:b/>
      <w:noProof/>
    </w:rPr>
  </w:style>
  <w:style w:type="paragraph" w:customStyle="1" w:styleId="ListDash">
    <w:name w:val="List Dash"/>
    <w:basedOn w:val="Normal"/>
    <w:link w:val="ListDashChar"/>
    <w:uiPriority w:val="99"/>
    <w:pPr>
      <w:spacing w:before="120" w:after="120"/>
      <w:jc w:val="both"/>
    </w:pPr>
    <w:rPr>
      <w:szCs w:val="20"/>
    </w:rPr>
  </w:style>
  <w:style w:type="paragraph" w:styleId="TOCHeading">
    <w:name w:val="TOC Heading"/>
    <w:basedOn w:val="Normal"/>
    <w:next w:val="Normal"/>
    <w:uiPriority w:val="99"/>
    <w:qFormat/>
    <w:pPr>
      <w:spacing w:before="120" w:after="240"/>
      <w:jc w:val="center"/>
    </w:pPr>
    <w:rPr>
      <w:b/>
      <w:sz w:val="28"/>
    </w:rPr>
  </w:style>
  <w:style w:type="paragraph" w:customStyle="1" w:styleId="Prliminairetitre">
    <w:name w:val="Préliminaire titre"/>
    <w:basedOn w:val="Normal"/>
    <w:next w:val="Normal"/>
    <w:uiPriority w:val="99"/>
    <w:pPr>
      <w:spacing w:before="360" w:after="360"/>
      <w:jc w:val="center"/>
    </w:pPr>
    <w:rPr>
      <w:b/>
    </w:rPr>
  </w:style>
  <w:style w:type="paragraph" w:customStyle="1" w:styleId="Prliminairetype">
    <w:name w:val="Préliminaire type"/>
    <w:basedOn w:val="Normal"/>
    <w:next w:val="Normal"/>
    <w:uiPriority w:val="99"/>
    <w:pPr>
      <w:spacing w:before="360"/>
      <w:jc w:val="center"/>
    </w:pPr>
    <w:rPr>
      <w:b/>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lang w:val="bg-BG" w:eastAsia="bg-BG"/>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ind w:left="480"/>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9"/>
      </w:numPr>
      <w:spacing w:before="120" w:after="120"/>
      <w:jc w:val="both"/>
    </w:pPr>
  </w:style>
  <w:style w:type="paragraph" w:customStyle="1" w:styleId="ListDash2">
    <w:name w:val="List Dash 2"/>
    <w:basedOn w:val="Normal"/>
    <w:uiPriority w:val="99"/>
    <w:pPr>
      <w:tabs>
        <w:tab w:val="num" w:pos="1134"/>
      </w:tabs>
      <w:spacing w:before="120" w:after="120"/>
      <w:ind w:left="1134" w:hanging="283"/>
      <w:jc w:val="both"/>
    </w:pPr>
  </w:style>
  <w:style w:type="paragraph" w:customStyle="1" w:styleId="ListBullet1">
    <w:name w:val="List Bullet 1"/>
    <w:basedOn w:val="Text1"/>
    <w:uiPriority w:val="99"/>
    <w:pPr>
      <w:tabs>
        <w:tab w:val="num" w:pos="765"/>
      </w:tabs>
      <w:spacing w:before="0" w:after="240"/>
      <w:ind w:left="765" w:hanging="283"/>
    </w:pPr>
    <w:rPr>
      <w:szCs w:val="20"/>
    </w:rPr>
  </w:style>
  <w:style w:type="paragraph" w:styleId="ListBullet2">
    <w:name w:val="List Bullet 2"/>
    <w:basedOn w:val="Normal"/>
    <w:uiPriority w:val="99"/>
    <w:pPr>
      <w:numPr>
        <w:numId w:val="11"/>
      </w:numPr>
      <w:spacing w:after="240"/>
      <w:jc w:val="both"/>
    </w:pPr>
    <w:rPr>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rPr>
  </w:style>
  <w:style w:type="paragraph" w:customStyle="1" w:styleId="Titreobjet">
    <w:name w:val="Titre objet"/>
    <w:basedOn w:val="Normal"/>
    <w:next w:val="Normal"/>
    <w:uiPriority w:val="99"/>
    <w:pPr>
      <w:spacing w:before="360" w:after="360"/>
      <w:jc w:val="center"/>
    </w:pPr>
    <w:rPr>
      <w:b/>
    </w:rPr>
  </w:style>
  <w:style w:type="character" w:styleId="Emphasis">
    <w:name w:val="Emphasis"/>
    <w:basedOn w:val="DefaultParagraphFont"/>
    <w:uiPriority w:val="99"/>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bg-BG" w:eastAsia="bg-BG"/>
    </w:rPr>
  </w:style>
  <w:style w:type="paragraph" w:styleId="ListNumber">
    <w:name w:val="List Number"/>
    <w:basedOn w:val="Normal"/>
    <w:uiPriority w:val="99"/>
    <w:pPr>
      <w:numPr>
        <w:numId w:val="12"/>
      </w:numPr>
      <w:spacing w:before="120" w:after="120"/>
      <w:jc w:val="both"/>
    </w:pPr>
  </w:style>
  <w:style w:type="paragraph" w:customStyle="1" w:styleId="ListNumberLevel2">
    <w:name w:val="List Number (Level 2)"/>
    <w:basedOn w:val="Normal"/>
    <w:uiPriority w:val="99"/>
    <w:pPr>
      <w:numPr>
        <w:ilvl w:val="1"/>
        <w:numId w:val="12"/>
      </w:numPr>
      <w:spacing w:before="120" w:after="120"/>
      <w:jc w:val="both"/>
    </w:pPr>
  </w:style>
  <w:style w:type="paragraph" w:customStyle="1" w:styleId="ListNumberLevel3">
    <w:name w:val="List Number (Level 3)"/>
    <w:basedOn w:val="Normal"/>
    <w:uiPriority w:val="99"/>
    <w:pPr>
      <w:numPr>
        <w:ilvl w:val="2"/>
        <w:numId w:val="12"/>
      </w:numPr>
      <w:spacing w:before="120" w:after="120"/>
      <w:jc w:val="both"/>
    </w:pPr>
  </w:style>
  <w:style w:type="paragraph" w:customStyle="1" w:styleId="ListNumberLevel4">
    <w:name w:val="List Number (Level 4)"/>
    <w:basedOn w:val="Normal"/>
    <w:uiPriority w:val="99"/>
    <w:pPr>
      <w:numPr>
        <w:ilvl w:val="3"/>
        <w:numId w:val="12"/>
      </w:numPr>
      <w:spacing w:before="120" w:after="120"/>
      <w:jc w:val="both"/>
    </w:pPr>
  </w:style>
  <w:style w:type="character" w:customStyle="1" w:styleId="ListDashChar">
    <w:name w:val="List Dash Char"/>
    <w:link w:val="ListDash"/>
    <w:uiPriority w:val="99"/>
    <w:locked/>
    <w:rPr>
      <w:sz w:val="24"/>
      <w:lang w:eastAsia="bg-BG"/>
    </w:rPr>
  </w:style>
  <w:style w:type="paragraph" w:customStyle="1" w:styleId="StyleManualHeading2Italic">
    <w:name w:val="Style Manual Heading 2 + Italic"/>
    <w:basedOn w:val="ManualHeading2"/>
    <w:autoRedefine/>
    <w:uiPriority w:val="99"/>
    <w:pPr>
      <w:numPr>
        <w:ilvl w:val="0"/>
        <w:numId w:val="0"/>
      </w:numPr>
      <w:spacing w:before="160" w:after="160"/>
    </w:pPr>
    <w:rPr>
      <w:bCs/>
      <w:i/>
      <w:iCs/>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uiPriority w:val="99"/>
    <w:pPr>
      <w:spacing w:before="360"/>
      <w:jc w:val="center"/>
    </w:pPr>
    <w:rPr>
      <w:szCs w:val="22"/>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13"/>
      </w:numPr>
      <w:spacing w:before="120" w:after="120"/>
      <w:jc w:val="both"/>
    </w:pPr>
    <w:rPr>
      <w:szCs w:val="22"/>
    </w:rPr>
  </w:style>
  <w:style w:type="paragraph" w:customStyle="1" w:styleId="Point1number">
    <w:name w:val="Point 1 (number)"/>
    <w:basedOn w:val="Normal"/>
    <w:uiPriority w:val="99"/>
    <w:pPr>
      <w:numPr>
        <w:ilvl w:val="2"/>
        <w:numId w:val="13"/>
      </w:numPr>
      <w:spacing w:before="120" w:after="120"/>
      <w:jc w:val="both"/>
    </w:pPr>
    <w:rPr>
      <w:szCs w:val="22"/>
    </w:rPr>
  </w:style>
  <w:style w:type="paragraph" w:customStyle="1" w:styleId="Point2number">
    <w:name w:val="Point 2 (number)"/>
    <w:basedOn w:val="Normal"/>
    <w:uiPriority w:val="99"/>
    <w:pPr>
      <w:numPr>
        <w:ilvl w:val="4"/>
        <w:numId w:val="13"/>
      </w:numPr>
      <w:spacing w:before="120" w:after="120"/>
      <w:jc w:val="both"/>
    </w:pPr>
    <w:rPr>
      <w:szCs w:val="22"/>
    </w:rPr>
  </w:style>
  <w:style w:type="paragraph" w:customStyle="1" w:styleId="Point3number">
    <w:name w:val="Point 3 (number)"/>
    <w:basedOn w:val="Normal"/>
    <w:uiPriority w:val="99"/>
    <w:pPr>
      <w:numPr>
        <w:ilvl w:val="6"/>
        <w:numId w:val="13"/>
      </w:numPr>
      <w:spacing w:before="120" w:after="120"/>
      <w:jc w:val="both"/>
    </w:pPr>
    <w:rPr>
      <w:szCs w:val="22"/>
    </w:rPr>
  </w:style>
  <w:style w:type="paragraph" w:customStyle="1" w:styleId="Point0letter">
    <w:name w:val="Point 0 (letter)"/>
    <w:basedOn w:val="Normal"/>
    <w:uiPriority w:val="99"/>
    <w:pPr>
      <w:numPr>
        <w:ilvl w:val="1"/>
        <w:numId w:val="13"/>
      </w:numPr>
      <w:spacing w:before="120" w:after="120"/>
      <w:jc w:val="both"/>
    </w:pPr>
    <w:rPr>
      <w:szCs w:val="22"/>
    </w:rPr>
  </w:style>
  <w:style w:type="paragraph" w:customStyle="1" w:styleId="Point1letter">
    <w:name w:val="Point 1 (letter)"/>
    <w:basedOn w:val="Normal"/>
    <w:uiPriority w:val="99"/>
    <w:pPr>
      <w:numPr>
        <w:ilvl w:val="3"/>
        <w:numId w:val="13"/>
      </w:numPr>
      <w:spacing w:before="120" w:after="120"/>
      <w:jc w:val="both"/>
    </w:pPr>
    <w:rPr>
      <w:szCs w:val="22"/>
    </w:rPr>
  </w:style>
  <w:style w:type="paragraph" w:customStyle="1" w:styleId="Point2letter">
    <w:name w:val="Point 2 (letter)"/>
    <w:basedOn w:val="Normal"/>
    <w:uiPriority w:val="99"/>
    <w:pPr>
      <w:numPr>
        <w:ilvl w:val="5"/>
        <w:numId w:val="13"/>
      </w:numPr>
      <w:spacing w:before="120" w:after="120"/>
      <w:jc w:val="both"/>
    </w:pPr>
    <w:rPr>
      <w:szCs w:val="22"/>
    </w:rPr>
  </w:style>
  <w:style w:type="paragraph" w:customStyle="1" w:styleId="Point3letter">
    <w:name w:val="Point 3 (letter)"/>
    <w:basedOn w:val="Normal"/>
    <w:uiPriority w:val="99"/>
    <w:pPr>
      <w:numPr>
        <w:ilvl w:val="7"/>
        <w:numId w:val="13"/>
      </w:numPr>
      <w:spacing w:before="120" w:after="120"/>
      <w:jc w:val="both"/>
    </w:pPr>
    <w:rPr>
      <w:szCs w:val="22"/>
    </w:rPr>
  </w:style>
  <w:style w:type="paragraph" w:customStyle="1" w:styleId="Point4letter">
    <w:name w:val="Point 4 (letter)"/>
    <w:basedOn w:val="Normal"/>
    <w:uiPriority w:val="99"/>
    <w:pPr>
      <w:numPr>
        <w:ilvl w:val="8"/>
        <w:numId w:val="13"/>
      </w:numPr>
      <w:spacing w:before="120" w:after="120"/>
      <w:jc w:val="both"/>
    </w:pPr>
    <w:rPr>
      <w:szCs w:val="22"/>
    </w:rPr>
  </w:style>
  <w:style w:type="paragraph" w:customStyle="1" w:styleId="Tiret2">
    <w:name w:val="Tiret 2"/>
    <w:basedOn w:val="Normal"/>
    <w:uiPriority w:val="99"/>
    <w:pPr>
      <w:numPr>
        <w:numId w:val="14"/>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99"/>
    <w:qFormat/>
    <w:pPr>
      <w:spacing w:after="200" w:line="276" w:lineRule="auto"/>
      <w:ind w:left="720"/>
      <w:contextualSpacing/>
    </w:pPr>
    <w:rPr>
      <w:rFonts w:ascii="Calibri" w:eastAsia="MS Mincho" w:hAnsi="Calibri"/>
      <w:sz w:val="22"/>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sz w:val="22"/>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uiPriority w:val="99"/>
    <w:pPr>
      <w:autoSpaceDE w:val="0"/>
      <w:autoSpaceDN w:val="0"/>
      <w:adjustRightInd w:val="0"/>
    </w:pPr>
    <w:rPr>
      <w:color w:val="000000"/>
      <w:sz w:val="24"/>
      <w:szCs w:val="24"/>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numId w:val="33"/>
      </w:numPr>
    </w:pPr>
  </w:style>
  <w:style w:type="paragraph" w:customStyle="1" w:styleId="Style3">
    <w:name w:val="Style3"/>
    <w:basedOn w:val="ManualHeading1"/>
    <w:autoRedefine/>
    <w:qFormat/>
    <w:pPr>
      <w:numPr>
        <w:numId w:val="25"/>
      </w:numPr>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bg-BG"/>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footnote reference" w:uiPriority="0"/>
    <w:lsdException w:name="List Bulle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bg-BG" w:eastAsia="bg-BG"/>
    </w:rPr>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bg-BG" w:eastAsia="bg-BG"/>
    </w:rPr>
  </w:style>
  <w:style w:type="character" w:customStyle="1" w:styleId="Heading3Char">
    <w:name w:val="Heading 3 Char"/>
    <w:basedOn w:val="DefaultParagraphFont"/>
    <w:link w:val="Heading3"/>
    <w:uiPriority w:val="99"/>
    <w:locked/>
    <w:rPr>
      <w:rFonts w:ascii="Cambria" w:hAnsi="Cambria" w:cs="Times New Roman"/>
      <w:b/>
      <w:bCs/>
      <w:sz w:val="26"/>
      <w:szCs w:val="26"/>
      <w:lang w:val="bg-BG" w:eastAsia="bg-BG"/>
    </w:rPr>
  </w:style>
  <w:style w:type="character" w:customStyle="1" w:styleId="Heading4Char">
    <w:name w:val="Heading 4 Char"/>
    <w:basedOn w:val="DefaultParagraphFont"/>
    <w:link w:val="Heading4"/>
    <w:uiPriority w:val="99"/>
    <w:locked/>
    <w:rPr>
      <w:rFonts w:ascii="Calibri" w:hAnsi="Calibri" w:cs="Times New Roman"/>
      <w:b/>
      <w:bCs/>
      <w:sz w:val="28"/>
      <w:szCs w:val="28"/>
      <w:lang w:val="bg-BG" w:eastAsia="bg-BG"/>
    </w:rPr>
  </w:style>
  <w:style w:type="paragraph" w:styleId="Footer">
    <w:name w:val="footer"/>
    <w:basedOn w:val="Normal"/>
    <w:link w:val="FooterChar"/>
    <w:uiPriority w:val="99"/>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locked/>
    <w:rPr>
      <w:rFonts w:cs="Times New Roman"/>
      <w:sz w:val="24"/>
      <w:szCs w:val="24"/>
      <w:lang w:val="bg-BG" w:eastAsia="bg-BG"/>
    </w:rPr>
  </w:style>
  <w:style w:type="paragraph" w:styleId="FootnoteText">
    <w:name w:val="footnote text"/>
    <w:basedOn w:val="Normal"/>
    <w:link w:val="FootnoteTextChar"/>
    <w:uiPriority w:val="99"/>
    <w:pPr>
      <w:ind w:left="720" w:hanging="720"/>
      <w:jc w:val="both"/>
    </w:pPr>
    <w:rPr>
      <w:sz w:val="20"/>
      <w:szCs w:val="20"/>
    </w:rPr>
  </w:style>
  <w:style w:type="character" w:customStyle="1" w:styleId="FootnoteTextChar">
    <w:name w:val="Footnote Text Char"/>
    <w:basedOn w:val="DefaultParagraphFont"/>
    <w:link w:val="FootnoteText"/>
    <w:uiPriority w:val="99"/>
    <w:locked/>
    <w:rPr>
      <w:rFonts w:cs="Times New Roman"/>
      <w:lang w:eastAsia="bg-BG"/>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style>
  <w:style w:type="paragraph" w:customStyle="1" w:styleId="Tiret0">
    <w:name w:val="Tiret 0"/>
    <w:basedOn w:val="Normal"/>
    <w:uiPriority w:val="99"/>
    <w:pPr>
      <w:numPr>
        <w:numId w:val="8"/>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numPr>
        <w:ilvl w:val="1"/>
        <w:numId w:val="10"/>
      </w:numPr>
      <w:spacing w:before="360" w:after="120"/>
      <w:jc w:val="both"/>
      <w:outlineLvl w:val="1"/>
    </w:pPr>
    <w:rPr>
      <w:b/>
      <w:noProof/>
    </w:rPr>
  </w:style>
  <w:style w:type="paragraph" w:customStyle="1" w:styleId="ListDash">
    <w:name w:val="List Dash"/>
    <w:basedOn w:val="Normal"/>
    <w:link w:val="ListDashChar"/>
    <w:uiPriority w:val="99"/>
    <w:pPr>
      <w:spacing w:before="120" w:after="120"/>
      <w:jc w:val="both"/>
    </w:pPr>
    <w:rPr>
      <w:szCs w:val="20"/>
    </w:rPr>
  </w:style>
  <w:style w:type="paragraph" w:styleId="TOCHeading">
    <w:name w:val="TOC Heading"/>
    <w:basedOn w:val="Normal"/>
    <w:next w:val="Normal"/>
    <w:uiPriority w:val="99"/>
    <w:qFormat/>
    <w:pPr>
      <w:spacing w:before="120" w:after="240"/>
      <w:jc w:val="center"/>
    </w:pPr>
    <w:rPr>
      <w:b/>
      <w:sz w:val="28"/>
    </w:rPr>
  </w:style>
  <w:style w:type="paragraph" w:customStyle="1" w:styleId="Prliminairetitre">
    <w:name w:val="Préliminaire titre"/>
    <w:basedOn w:val="Normal"/>
    <w:next w:val="Normal"/>
    <w:uiPriority w:val="99"/>
    <w:pPr>
      <w:spacing w:before="360" w:after="360"/>
      <w:jc w:val="center"/>
    </w:pPr>
    <w:rPr>
      <w:b/>
    </w:rPr>
  </w:style>
  <w:style w:type="paragraph" w:customStyle="1" w:styleId="Prliminairetype">
    <w:name w:val="Préliminaire type"/>
    <w:basedOn w:val="Normal"/>
    <w:next w:val="Normal"/>
    <w:uiPriority w:val="99"/>
    <w:pPr>
      <w:spacing w:before="360"/>
      <w:jc w:val="center"/>
    </w:pPr>
    <w:rPr>
      <w:b/>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lang w:val="bg-BG" w:eastAsia="bg-BG"/>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ind w:left="480"/>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9"/>
      </w:numPr>
      <w:spacing w:before="120" w:after="120"/>
      <w:jc w:val="both"/>
    </w:pPr>
  </w:style>
  <w:style w:type="paragraph" w:customStyle="1" w:styleId="ListDash2">
    <w:name w:val="List Dash 2"/>
    <w:basedOn w:val="Normal"/>
    <w:uiPriority w:val="99"/>
    <w:pPr>
      <w:tabs>
        <w:tab w:val="num" w:pos="1134"/>
      </w:tabs>
      <w:spacing w:before="120" w:after="120"/>
      <w:ind w:left="1134" w:hanging="283"/>
      <w:jc w:val="both"/>
    </w:pPr>
  </w:style>
  <w:style w:type="paragraph" w:customStyle="1" w:styleId="ListBullet1">
    <w:name w:val="List Bullet 1"/>
    <w:basedOn w:val="Text1"/>
    <w:uiPriority w:val="99"/>
    <w:pPr>
      <w:tabs>
        <w:tab w:val="num" w:pos="765"/>
      </w:tabs>
      <w:spacing w:before="0" w:after="240"/>
      <w:ind w:left="765" w:hanging="283"/>
    </w:pPr>
    <w:rPr>
      <w:szCs w:val="20"/>
    </w:rPr>
  </w:style>
  <w:style w:type="paragraph" w:styleId="ListBullet2">
    <w:name w:val="List Bullet 2"/>
    <w:basedOn w:val="Normal"/>
    <w:uiPriority w:val="99"/>
    <w:pPr>
      <w:numPr>
        <w:numId w:val="11"/>
      </w:numPr>
      <w:spacing w:after="240"/>
      <w:jc w:val="both"/>
    </w:pPr>
    <w:rPr>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rPr>
  </w:style>
  <w:style w:type="paragraph" w:customStyle="1" w:styleId="Titreobjet">
    <w:name w:val="Titre objet"/>
    <w:basedOn w:val="Normal"/>
    <w:next w:val="Normal"/>
    <w:uiPriority w:val="99"/>
    <w:pPr>
      <w:spacing w:before="360" w:after="360"/>
      <w:jc w:val="center"/>
    </w:pPr>
    <w:rPr>
      <w:b/>
    </w:rPr>
  </w:style>
  <w:style w:type="character" w:styleId="Emphasis">
    <w:name w:val="Emphasis"/>
    <w:basedOn w:val="DefaultParagraphFont"/>
    <w:uiPriority w:val="99"/>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bg-BG" w:eastAsia="bg-BG"/>
    </w:rPr>
  </w:style>
  <w:style w:type="paragraph" w:styleId="ListNumber">
    <w:name w:val="List Number"/>
    <w:basedOn w:val="Normal"/>
    <w:uiPriority w:val="99"/>
    <w:pPr>
      <w:numPr>
        <w:numId w:val="12"/>
      </w:numPr>
      <w:spacing w:before="120" w:after="120"/>
      <w:jc w:val="both"/>
    </w:pPr>
  </w:style>
  <w:style w:type="paragraph" w:customStyle="1" w:styleId="ListNumberLevel2">
    <w:name w:val="List Number (Level 2)"/>
    <w:basedOn w:val="Normal"/>
    <w:uiPriority w:val="99"/>
    <w:pPr>
      <w:numPr>
        <w:ilvl w:val="1"/>
        <w:numId w:val="12"/>
      </w:numPr>
      <w:spacing w:before="120" w:after="120"/>
      <w:jc w:val="both"/>
    </w:pPr>
  </w:style>
  <w:style w:type="paragraph" w:customStyle="1" w:styleId="ListNumberLevel3">
    <w:name w:val="List Number (Level 3)"/>
    <w:basedOn w:val="Normal"/>
    <w:uiPriority w:val="99"/>
    <w:pPr>
      <w:numPr>
        <w:ilvl w:val="2"/>
        <w:numId w:val="12"/>
      </w:numPr>
      <w:spacing w:before="120" w:after="120"/>
      <w:jc w:val="both"/>
    </w:pPr>
  </w:style>
  <w:style w:type="paragraph" w:customStyle="1" w:styleId="ListNumberLevel4">
    <w:name w:val="List Number (Level 4)"/>
    <w:basedOn w:val="Normal"/>
    <w:uiPriority w:val="99"/>
    <w:pPr>
      <w:numPr>
        <w:ilvl w:val="3"/>
        <w:numId w:val="12"/>
      </w:numPr>
      <w:spacing w:before="120" w:after="120"/>
      <w:jc w:val="both"/>
    </w:pPr>
  </w:style>
  <w:style w:type="character" w:customStyle="1" w:styleId="ListDashChar">
    <w:name w:val="List Dash Char"/>
    <w:link w:val="ListDash"/>
    <w:uiPriority w:val="99"/>
    <w:locked/>
    <w:rPr>
      <w:sz w:val="24"/>
      <w:lang w:eastAsia="bg-BG"/>
    </w:rPr>
  </w:style>
  <w:style w:type="paragraph" w:customStyle="1" w:styleId="StyleManualHeading2Italic">
    <w:name w:val="Style Manual Heading 2 + Italic"/>
    <w:basedOn w:val="ManualHeading2"/>
    <w:autoRedefine/>
    <w:uiPriority w:val="99"/>
    <w:pPr>
      <w:numPr>
        <w:ilvl w:val="0"/>
        <w:numId w:val="0"/>
      </w:numPr>
      <w:spacing w:before="160" w:after="160"/>
    </w:pPr>
    <w:rPr>
      <w:bCs/>
      <w:i/>
      <w:iCs/>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uiPriority w:val="99"/>
    <w:pPr>
      <w:spacing w:before="360"/>
      <w:jc w:val="center"/>
    </w:pPr>
    <w:rPr>
      <w:szCs w:val="22"/>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13"/>
      </w:numPr>
      <w:spacing w:before="120" w:after="120"/>
      <w:jc w:val="both"/>
    </w:pPr>
    <w:rPr>
      <w:szCs w:val="22"/>
    </w:rPr>
  </w:style>
  <w:style w:type="paragraph" w:customStyle="1" w:styleId="Point1number">
    <w:name w:val="Point 1 (number)"/>
    <w:basedOn w:val="Normal"/>
    <w:uiPriority w:val="99"/>
    <w:pPr>
      <w:numPr>
        <w:ilvl w:val="2"/>
        <w:numId w:val="13"/>
      </w:numPr>
      <w:spacing w:before="120" w:after="120"/>
      <w:jc w:val="both"/>
    </w:pPr>
    <w:rPr>
      <w:szCs w:val="22"/>
    </w:rPr>
  </w:style>
  <w:style w:type="paragraph" w:customStyle="1" w:styleId="Point2number">
    <w:name w:val="Point 2 (number)"/>
    <w:basedOn w:val="Normal"/>
    <w:uiPriority w:val="99"/>
    <w:pPr>
      <w:numPr>
        <w:ilvl w:val="4"/>
        <w:numId w:val="13"/>
      </w:numPr>
      <w:spacing w:before="120" w:after="120"/>
      <w:jc w:val="both"/>
    </w:pPr>
    <w:rPr>
      <w:szCs w:val="22"/>
    </w:rPr>
  </w:style>
  <w:style w:type="paragraph" w:customStyle="1" w:styleId="Point3number">
    <w:name w:val="Point 3 (number)"/>
    <w:basedOn w:val="Normal"/>
    <w:uiPriority w:val="99"/>
    <w:pPr>
      <w:numPr>
        <w:ilvl w:val="6"/>
        <w:numId w:val="13"/>
      </w:numPr>
      <w:spacing w:before="120" w:after="120"/>
      <w:jc w:val="both"/>
    </w:pPr>
    <w:rPr>
      <w:szCs w:val="22"/>
    </w:rPr>
  </w:style>
  <w:style w:type="paragraph" w:customStyle="1" w:styleId="Point0letter">
    <w:name w:val="Point 0 (letter)"/>
    <w:basedOn w:val="Normal"/>
    <w:uiPriority w:val="99"/>
    <w:pPr>
      <w:numPr>
        <w:ilvl w:val="1"/>
        <w:numId w:val="13"/>
      </w:numPr>
      <w:spacing w:before="120" w:after="120"/>
      <w:jc w:val="both"/>
    </w:pPr>
    <w:rPr>
      <w:szCs w:val="22"/>
    </w:rPr>
  </w:style>
  <w:style w:type="paragraph" w:customStyle="1" w:styleId="Point1letter">
    <w:name w:val="Point 1 (letter)"/>
    <w:basedOn w:val="Normal"/>
    <w:uiPriority w:val="99"/>
    <w:pPr>
      <w:numPr>
        <w:ilvl w:val="3"/>
        <w:numId w:val="13"/>
      </w:numPr>
      <w:spacing w:before="120" w:after="120"/>
      <w:jc w:val="both"/>
    </w:pPr>
    <w:rPr>
      <w:szCs w:val="22"/>
    </w:rPr>
  </w:style>
  <w:style w:type="paragraph" w:customStyle="1" w:styleId="Point2letter">
    <w:name w:val="Point 2 (letter)"/>
    <w:basedOn w:val="Normal"/>
    <w:uiPriority w:val="99"/>
    <w:pPr>
      <w:numPr>
        <w:ilvl w:val="5"/>
        <w:numId w:val="13"/>
      </w:numPr>
      <w:spacing w:before="120" w:after="120"/>
      <w:jc w:val="both"/>
    </w:pPr>
    <w:rPr>
      <w:szCs w:val="22"/>
    </w:rPr>
  </w:style>
  <w:style w:type="paragraph" w:customStyle="1" w:styleId="Point3letter">
    <w:name w:val="Point 3 (letter)"/>
    <w:basedOn w:val="Normal"/>
    <w:uiPriority w:val="99"/>
    <w:pPr>
      <w:numPr>
        <w:ilvl w:val="7"/>
        <w:numId w:val="13"/>
      </w:numPr>
      <w:spacing w:before="120" w:after="120"/>
      <w:jc w:val="both"/>
    </w:pPr>
    <w:rPr>
      <w:szCs w:val="22"/>
    </w:rPr>
  </w:style>
  <w:style w:type="paragraph" w:customStyle="1" w:styleId="Point4letter">
    <w:name w:val="Point 4 (letter)"/>
    <w:basedOn w:val="Normal"/>
    <w:uiPriority w:val="99"/>
    <w:pPr>
      <w:numPr>
        <w:ilvl w:val="8"/>
        <w:numId w:val="13"/>
      </w:numPr>
      <w:spacing w:before="120" w:after="120"/>
      <w:jc w:val="both"/>
    </w:pPr>
    <w:rPr>
      <w:szCs w:val="22"/>
    </w:rPr>
  </w:style>
  <w:style w:type="paragraph" w:customStyle="1" w:styleId="Tiret2">
    <w:name w:val="Tiret 2"/>
    <w:basedOn w:val="Normal"/>
    <w:uiPriority w:val="99"/>
    <w:pPr>
      <w:numPr>
        <w:numId w:val="14"/>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99"/>
    <w:qFormat/>
    <w:pPr>
      <w:spacing w:after="200" w:line="276" w:lineRule="auto"/>
      <w:ind w:left="720"/>
      <w:contextualSpacing/>
    </w:pPr>
    <w:rPr>
      <w:rFonts w:ascii="Calibri" w:eastAsia="MS Mincho" w:hAnsi="Calibri"/>
      <w:sz w:val="22"/>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sz w:val="22"/>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uiPriority w:val="99"/>
    <w:pPr>
      <w:autoSpaceDE w:val="0"/>
      <w:autoSpaceDN w:val="0"/>
      <w:adjustRightInd w:val="0"/>
    </w:pPr>
    <w:rPr>
      <w:color w:val="000000"/>
      <w:sz w:val="24"/>
      <w:szCs w:val="24"/>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numId w:val="33"/>
      </w:numPr>
    </w:pPr>
  </w:style>
  <w:style w:type="paragraph" w:customStyle="1" w:styleId="Style3">
    <w:name w:val="Style3"/>
    <w:basedOn w:val="ManualHeading1"/>
    <w:autoRedefine/>
    <w:qFormat/>
    <w:pPr>
      <w:numPr>
        <w:numId w:val="25"/>
      </w:numP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7576">
      <w:bodyDiv w:val="1"/>
      <w:marLeft w:val="0"/>
      <w:marRight w:val="0"/>
      <w:marTop w:val="0"/>
      <w:marBottom w:val="0"/>
      <w:divBdr>
        <w:top w:val="none" w:sz="0" w:space="0" w:color="auto"/>
        <w:left w:val="none" w:sz="0" w:space="0" w:color="auto"/>
        <w:bottom w:val="none" w:sz="0" w:space="0" w:color="auto"/>
        <w:right w:val="none" w:sz="0" w:space="0" w:color="auto"/>
      </w:divBdr>
    </w:div>
    <w:div w:id="259334016">
      <w:marLeft w:val="0"/>
      <w:marRight w:val="0"/>
      <w:marTop w:val="0"/>
      <w:marBottom w:val="0"/>
      <w:divBdr>
        <w:top w:val="none" w:sz="0" w:space="0" w:color="auto"/>
        <w:left w:val="none" w:sz="0" w:space="0" w:color="auto"/>
        <w:bottom w:val="none" w:sz="0" w:space="0" w:color="auto"/>
        <w:right w:val="none" w:sz="0" w:space="0" w:color="auto"/>
      </w:divBdr>
    </w:div>
    <w:div w:id="259334017">
      <w:marLeft w:val="0"/>
      <w:marRight w:val="0"/>
      <w:marTop w:val="0"/>
      <w:marBottom w:val="0"/>
      <w:divBdr>
        <w:top w:val="none" w:sz="0" w:space="0" w:color="auto"/>
        <w:left w:val="none" w:sz="0" w:space="0" w:color="auto"/>
        <w:bottom w:val="none" w:sz="0" w:space="0" w:color="auto"/>
        <w:right w:val="none" w:sz="0" w:space="0" w:color="auto"/>
      </w:divBdr>
      <w:divsChild>
        <w:div w:id="259334065">
          <w:marLeft w:val="0"/>
          <w:marRight w:val="0"/>
          <w:marTop w:val="0"/>
          <w:marBottom w:val="0"/>
          <w:divBdr>
            <w:top w:val="none" w:sz="0" w:space="0" w:color="auto"/>
            <w:left w:val="none" w:sz="0" w:space="0" w:color="auto"/>
            <w:bottom w:val="none" w:sz="0" w:space="0" w:color="auto"/>
            <w:right w:val="none" w:sz="0" w:space="0" w:color="auto"/>
          </w:divBdr>
          <w:divsChild>
            <w:div w:id="259334063">
              <w:marLeft w:val="0"/>
              <w:marRight w:val="0"/>
              <w:marTop w:val="0"/>
              <w:marBottom w:val="0"/>
              <w:divBdr>
                <w:top w:val="none" w:sz="0" w:space="0" w:color="auto"/>
                <w:left w:val="none" w:sz="0" w:space="0" w:color="auto"/>
                <w:bottom w:val="none" w:sz="0" w:space="0" w:color="auto"/>
                <w:right w:val="none" w:sz="0" w:space="0" w:color="auto"/>
              </w:divBdr>
              <w:divsChild>
                <w:div w:id="259334045">
                  <w:marLeft w:val="0"/>
                  <w:marRight w:val="0"/>
                  <w:marTop w:val="0"/>
                  <w:marBottom w:val="0"/>
                  <w:divBdr>
                    <w:top w:val="none" w:sz="0" w:space="0" w:color="auto"/>
                    <w:left w:val="none" w:sz="0" w:space="0" w:color="auto"/>
                    <w:bottom w:val="none" w:sz="0" w:space="0" w:color="auto"/>
                    <w:right w:val="none" w:sz="0" w:space="0" w:color="auto"/>
                  </w:divBdr>
                  <w:divsChild>
                    <w:div w:id="259334048">
                      <w:marLeft w:val="1"/>
                      <w:marRight w:val="1"/>
                      <w:marTop w:val="0"/>
                      <w:marBottom w:val="0"/>
                      <w:divBdr>
                        <w:top w:val="none" w:sz="0" w:space="0" w:color="auto"/>
                        <w:left w:val="none" w:sz="0" w:space="0" w:color="auto"/>
                        <w:bottom w:val="none" w:sz="0" w:space="0" w:color="auto"/>
                        <w:right w:val="none" w:sz="0" w:space="0" w:color="auto"/>
                      </w:divBdr>
                      <w:divsChild>
                        <w:div w:id="259334064">
                          <w:marLeft w:val="0"/>
                          <w:marRight w:val="0"/>
                          <w:marTop w:val="0"/>
                          <w:marBottom w:val="0"/>
                          <w:divBdr>
                            <w:top w:val="none" w:sz="0" w:space="0" w:color="auto"/>
                            <w:left w:val="none" w:sz="0" w:space="0" w:color="auto"/>
                            <w:bottom w:val="none" w:sz="0" w:space="0" w:color="auto"/>
                            <w:right w:val="none" w:sz="0" w:space="0" w:color="auto"/>
                          </w:divBdr>
                          <w:divsChild>
                            <w:div w:id="259334041">
                              <w:marLeft w:val="0"/>
                              <w:marRight w:val="0"/>
                              <w:marTop w:val="0"/>
                              <w:marBottom w:val="360"/>
                              <w:divBdr>
                                <w:top w:val="none" w:sz="0" w:space="0" w:color="auto"/>
                                <w:left w:val="none" w:sz="0" w:space="0" w:color="auto"/>
                                <w:bottom w:val="none" w:sz="0" w:space="0" w:color="auto"/>
                                <w:right w:val="none" w:sz="0" w:space="0" w:color="auto"/>
                              </w:divBdr>
                              <w:divsChild>
                                <w:div w:id="259334052">
                                  <w:marLeft w:val="0"/>
                                  <w:marRight w:val="0"/>
                                  <w:marTop w:val="0"/>
                                  <w:marBottom w:val="0"/>
                                  <w:divBdr>
                                    <w:top w:val="none" w:sz="0" w:space="0" w:color="auto"/>
                                    <w:left w:val="none" w:sz="0" w:space="0" w:color="auto"/>
                                    <w:bottom w:val="none" w:sz="0" w:space="0" w:color="auto"/>
                                    <w:right w:val="none" w:sz="0" w:space="0" w:color="auto"/>
                                  </w:divBdr>
                                  <w:divsChild>
                                    <w:div w:id="2593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334018">
      <w:marLeft w:val="0"/>
      <w:marRight w:val="0"/>
      <w:marTop w:val="0"/>
      <w:marBottom w:val="0"/>
      <w:divBdr>
        <w:top w:val="none" w:sz="0" w:space="0" w:color="auto"/>
        <w:left w:val="none" w:sz="0" w:space="0" w:color="auto"/>
        <w:bottom w:val="none" w:sz="0" w:space="0" w:color="auto"/>
        <w:right w:val="none" w:sz="0" w:space="0" w:color="auto"/>
      </w:divBdr>
    </w:div>
    <w:div w:id="259334019">
      <w:marLeft w:val="0"/>
      <w:marRight w:val="0"/>
      <w:marTop w:val="0"/>
      <w:marBottom w:val="0"/>
      <w:divBdr>
        <w:top w:val="none" w:sz="0" w:space="0" w:color="auto"/>
        <w:left w:val="none" w:sz="0" w:space="0" w:color="auto"/>
        <w:bottom w:val="none" w:sz="0" w:space="0" w:color="auto"/>
        <w:right w:val="none" w:sz="0" w:space="0" w:color="auto"/>
      </w:divBdr>
    </w:div>
    <w:div w:id="259334020">
      <w:marLeft w:val="0"/>
      <w:marRight w:val="0"/>
      <w:marTop w:val="0"/>
      <w:marBottom w:val="0"/>
      <w:divBdr>
        <w:top w:val="none" w:sz="0" w:space="0" w:color="auto"/>
        <w:left w:val="none" w:sz="0" w:space="0" w:color="auto"/>
        <w:bottom w:val="none" w:sz="0" w:space="0" w:color="auto"/>
        <w:right w:val="none" w:sz="0" w:space="0" w:color="auto"/>
      </w:divBdr>
    </w:div>
    <w:div w:id="259334021">
      <w:marLeft w:val="0"/>
      <w:marRight w:val="0"/>
      <w:marTop w:val="0"/>
      <w:marBottom w:val="0"/>
      <w:divBdr>
        <w:top w:val="none" w:sz="0" w:space="0" w:color="auto"/>
        <w:left w:val="none" w:sz="0" w:space="0" w:color="auto"/>
        <w:bottom w:val="none" w:sz="0" w:space="0" w:color="auto"/>
        <w:right w:val="none" w:sz="0" w:space="0" w:color="auto"/>
      </w:divBdr>
    </w:div>
    <w:div w:id="259334022">
      <w:marLeft w:val="0"/>
      <w:marRight w:val="0"/>
      <w:marTop w:val="0"/>
      <w:marBottom w:val="0"/>
      <w:divBdr>
        <w:top w:val="none" w:sz="0" w:space="0" w:color="auto"/>
        <w:left w:val="none" w:sz="0" w:space="0" w:color="auto"/>
        <w:bottom w:val="none" w:sz="0" w:space="0" w:color="auto"/>
        <w:right w:val="none" w:sz="0" w:space="0" w:color="auto"/>
      </w:divBdr>
    </w:div>
    <w:div w:id="259334023">
      <w:marLeft w:val="0"/>
      <w:marRight w:val="0"/>
      <w:marTop w:val="0"/>
      <w:marBottom w:val="0"/>
      <w:divBdr>
        <w:top w:val="none" w:sz="0" w:space="0" w:color="auto"/>
        <w:left w:val="none" w:sz="0" w:space="0" w:color="auto"/>
        <w:bottom w:val="none" w:sz="0" w:space="0" w:color="auto"/>
        <w:right w:val="none" w:sz="0" w:space="0" w:color="auto"/>
      </w:divBdr>
    </w:div>
    <w:div w:id="259334024">
      <w:marLeft w:val="0"/>
      <w:marRight w:val="0"/>
      <w:marTop w:val="0"/>
      <w:marBottom w:val="0"/>
      <w:divBdr>
        <w:top w:val="none" w:sz="0" w:space="0" w:color="auto"/>
        <w:left w:val="none" w:sz="0" w:space="0" w:color="auto"/>
        <w:bottom w:val="none" w:sz="0" w:space="0" w:color="auto"/>
        <w:right w:val="none" w:sz="0" w:space="0" w:color="auto"/>
      </w:divBdr>
    </w:div>
    <w:div w:id="259334025">
      <w:marLeft w:val="0"/>
      <w:marRight w:val="0"/>
      <w:marTop w:val="0"/>
      <w:marBottom w:val="0"/>
      <w:divBdr>
        <w:top w:val="none" w:sz="0" w:space="0" w:color="auto"/>
        <w:left w:val="none" w:sz="0" w:space="0" w:color="auto"/>
        <w:bottom w:val="none" w:sz="0" w:space="0" w:color="auto"/>
        <w:right w:val="none" w:sz="0" w:space="0" w:color="auto"/>
      </w:divBdr>
    </w:div>
    <w:div w:id="259334026">
      <w:marLeft w:val="0"/>
      <w:marRight w:val="0"/>
      <w:marTop w:val="0"/>
      <w:marBottom w:val="0"/>
      <w:divBdr>
        <w:top w:val="none" w:sz="0" w:space="0" w:color="auto"/>
        <w:left w:val="none" w:sz="0" w:space="0" w:color="auto"/>
        <w:bottom w:val="none" w:sz="0" w:space="0" w:color="auto"/>
        <w:right w:val="none" w:sz="0" w:space="0" w:color="auto"/>
      </w:divBdr>
    </w:div>
    <w:div w:id="259334027">
      <w:marLeft w:val="0"/>
      <w:marRight w:val="0"/>
      <w:marTop w:val="0"/>
      <w:marBottom w:val="0"/>
      <w:divBdr>
        <w:top w:val="none" w:sz="0" w:space="0" w:color="auto"/>
        <w:left w:val="none" w:sz="0" w:space="0" w:color="auto"/>
        <w:bottom w:val="none" w:sz="0" w:space="0" w:color="auto"/>
        <w:right w:val="none" w:sz="0" w:space="0" w:color="auto"/>
      </w:divBdr>
    </w:div>
    <w:div w:id="259334028">
      <w:marLeft w:val="0"/>
      <w:marRight w:val="0"/>
      <w:marTop w:val="0"/>
      <w:marBottom w:val="0"/>
      <w:divBdr>
        <w:top w:val="none" w:sz="0" w:space="0" w:color="auto"/>
        <w:left w:val="none" w:sz="0" w:space="0" w:color="auto"/>
        <w:bottom w:val="none" w:sz="0" w:space="0" w:color="auto"/>
        <w:right w:val="none" w:sz="0" w:space="0" w:color="auto"/>
      </w:divBdr>
    </w:div>
    <w:div w:id="259334029">
      <w:marLeft w:val="0"/>
      <w:marRight w:val="0"/>
      <w:marTop w:val="0"/>
      <w:marBottom w:val="0"/>
      <w:divBdr>
        <w:top w:val="none" w:sz="0" w:space="0" w:color="auto"/>
        <w:left w:val="none" w:sz="0" w:space="0" w:color="auto"/>
        <w:bottom w:val="none" w:sz="0" w:space="0" w:color="auto"/>
        <w:right w:val="none" w:sz="0" w:space="0" w:color="auto"/>
      </w:divBdr>
    </w:div>
    <w:div w:id="259334030">
      <w:marLeft w:val="0"/>
      <w:marRight w:val="0"/>
      <w:marTop w:val="0"/>
      <w:marBottom w:val="0"/>
      <w:divBdr>
        <w:top w:val="none" w:sz="0" w:space="0" w:color="auto"/>
        <w:left w:val="none" w:sz="0" w:space="0" w:color="auto"/>
        <w:bottom w:val="none" w:sz="0" w:space="0" w:color="auto"/>
        <w:right w:val="none" w:sz="0" w:space="0" w:color="auto"/>
      </w:divBdr>
    </w:div>
    <w:div w:id="259334031">
      <w:marLeft w:val="0"/>
      <w:marRight w:val="0"/>
      <w:marTop w:val="0"/>
      <w:marBottom w:val="0"/>
      <w:divBdr>
        <w:top w:val="none" w:sz="0" w:space="0" w:color="auto"/>
        <w:left w:val="none" w:sz="0" w:space="0" w:color="auto"/>
        <w:bottom w:val="none" w:sz="0" w:space="0" w:color="auto"/>
        <w:right w:val="none" w:sz="0" w:space="0" w:color="auto"/>
      </w:divBdr>
    </w:div>
    <w:div w:id="259334032">
      <w:marLeft w:val="0"/>
      <w:marRight w:val="0"/>
      <w:marTop w:val="0"/>
      <w:marBottom w:val="0"/>
      <w:divBdr>
        <w:top w:val="none" w:sz="0" w:space="0" w:color="auto"/>
        <w:left w:val="none" w:sz="0" w:space="0" w:color="auto"/>
        <w:bottom w:val="none" w:sz="0" w:space="0" w:color="auto"/>
        <w:right w:val="none" w:sz="0" w:space="0" w:color="auto"/>
      </w:divBdr>
    </w:div>
    <w:div w:id="259334033">
      <w:marLeft w:val="0"/>
      <w:marRight w:val="0"/>
      <w:marTop w:val="0"/>
      <w:marBottom w:val="0"/>
      <w:divBdr>
        <w:top w:val="none" w:sz="0" w:space="0" w:color="auto"/>
        <w:left w:val="none" w:sz="0" w:space="0" w:color="auto"/>
        <w:bottom w:val="none" w:sz="0" w:space="0" w:color="auto"/>
        <w:right w:val="none" w:sz="0" w:space="0" w:color="auto"/>
      </w:divBdr>
    </w:div>
    <w:div w:id="259334034">
      <w:marLeft w:val="0"/>
      <w:marRight w:val="0"/>
      <w:marTop w:val="0"/>
      <w:marBottom w:val="0"/>
      <w:divBdr>
        <w:top w:val="none" w:sz="0" w:space="0" w:color="auto"/>
        <w:left w:val="none" w:sz="0" w:space="0" w:color="auto"/>
        <w:bottom w:val="none" w:sz="0" w:space="0" w:color="auto"/>
        <w:right w:val="none" w:sz="0" w:space="0" w:color="auto"/>
      </w:divBdr>
    </w:div>
    <w:div w:id="259334035">
      <w:marLeft w:val="0"/>
      <w:marRight w:val="0"/>
      <w:marTop w:val="0"/>
      <w:marBottom w:val="0"/>
      <w:divBdr>
        <w:top w:val="none" w:sz="0" w:space="0" w:color="auto"/>
        <w:left w:val="none" w:sz="0" w:space="0" w:color="auto"/>
        <w:bottom w:val="none" w:sz="0" w:space="0" w:color="auto"/>
        <w:right w:val="none" w:sz="0" w:space="0" w:color="auto"/>
      </w:divBdr>
    </w:div>
    <w:div w:id="259334036">
      <w:marLeft w:val="0"/>
      <w:marRight w:val="0"/>
      <w:marTop w:val="0"/>
      <w:marBottom w:val="0"/>
      <w:divBdr>
        <w:top w:val="none" w:sz="0" w:space="0" w:color="auto"/>
        <w:left w:val="none" w:sz="0" w:space="0" w:color="auto"/>
        <w:bottom w:val="none" w:sz="0" w:space="0" w:color="auto"/>
        <w:right w:val="none" w:sz="0" w:space="0" w:color="auto"/>
      </w:divBdr>
    </w:div>
    <w:div w:id="259334037">
      <w:marLeft w:val="0"/>
      <w:marRight w:val="0"/>
      <w:marTop w:val="0"/>
      <w:marBottom w:val="0"/>
      <w:divBdr>
        <w:top w:val="none" w:sz="0" w:space="0" w:color="auto"/>
        <w:left w:val="none" w:sz="0" w:space="0" w:color="auto"/>
        <w:bottom w:val="none" w:sz="0" w:space="0" w:color="auto"/>
        <w:right w:val="none" w:sz="0" w:space="0" w:color="auto"/>
      </w:divBdr>
    </w:div>
    <w:div w:id="259334038">
      <w:marLeft w:val="0"/>
      <w:marRight w:val="0"/>
      <w:marTop w:val="0"/>
      <w:marBottom w:val="0"/>
      <w:divBdr>
        <w:top w:val="none" w:sz="0" w:space="0" w:color="auto"/>
        <w:left w:val="none" w:sz="0" w:space="0" w:color="auto"/>
        <w:bottom w:val="none" w:sz="0" w:space="0" w:color="auto"/>
        <w:right w:val="none" w:sz="0" w:space="0" w:color="auto"/>
      </w:divBdr>
    </w:div>
    <w:div w:id="259334039">
      <w:marLeft w:val="0"/>
      <w:marRight w:val="0"/>
      <w:marTop w:val="0"/>
      <w:marBottom w:val="0"/>
      <w:divBdr>
        <w:top w:val="none" w:sz="0" w:space="0" w:color="auto"/>
        <w:left w:val="none" w:sz="0" w:space="0" w:color="auto"/>
        <w:bottom w:val="none" w:sz="0" w:space="0" w:color="auto"/>
        <w:right w:val="none" w:sz="0" w:space="0" w:color="auto"/>
      </w:divBdr>
    </w:div>
    <w:div w:id="259334040">
      <w:marLeft w:val="0"/>
      <w:marRight w:val="0"/>
      <w:marTop w:val="0"/>
      <w:marBottom w:val="0"/>
      <w:divBdr>
        <w:top w:val="none" w:sz="0" w:space="0" w:color="auto"/>
        <w:left w:val="none" w:sz="0" w:space="0" w:color="auto"/>
        <w:bottom w:val="none" w:sz="0" w:space="0" w:color="auto"/>
        <w:right w:val="none" w:sz="0" w:space="0" w:color="auto"/>
      </w:divBdr>
    </w:div>
    <w:div w:id="259334042">
      <w:marLeft w:val="0"/>
      <w:marRight w:val="0"/>
      <w:marTop w:val="0"/>
      <w:marBottom w:val="0"/>
      <w:divBdr>
        <w:top w:val="none" w:sz="0" w:space="0" w:color="auto"/>
        <w:left w:val="none" w:sz="0" w:space="0" w:color="auto"/>
        <w:bottom w:val="none" w:sz="0" w:space="0" w:color="auto"/>
        <w:right w:val="none" w:sz="0" w:space="0" w:color="auto"/>
      </w:divBdr>
    </w:div>
    <w:div w:id="259334043">
      <w:marLeft w:val="0"/>
      <w:marRight w:val="0"/>
      <w:marTop w:val="0"/>
      <w:marBottom w:val="0"/>
      <w:divBdr>
        <w:top w:val="none" w:sz="0" w:space="0" w:color="auto"/>
        <w:left w:val="none" w:sz="0" w:space="0" w:color="auto"/>
        <w:bottom w:val="none" w:sz="0" w:space="0" w:color="auto"/>
        <w:right w:val="none" w:sz="0" w:space="0" w:color="auto"/>
      </w:divBdr>
    </w:div>
    <w:div w:id="259334044">
      <w:marLeft w:val="0"/>
      <w:marRight w:val="0"/>
      <w:marTop w:val="0"/>
      <w:marBottom w:val="0"/>
      <w:divBdr>
        <w:top w:val="none" w:sz="0" w:space="0" w:color="auto"/>
        <w:left w:val="none" w:sz="0" w:space="0" w:color="auto"/>
        <w:bottom w:val="none" w:sz="0" w:space="0" w:color="auto"/>
        <w:right w:val="none" w:sz="0" w:space="0" w:color="auto"/>
      </w:divBdr>
    </w:div>
    <w:div w:id="259334046">
      <w:marLeft w:val="0"/>
      <w:marRight w:val="0"/>
      <w:marTop w:val="0"/>
      <w:marBottom w:val="0"/>
      <w:divBdr>
        <w:top w:val="none" w:sz="0" w:space="0" w:color="auto"/>
        <w:left w:val="none" w:sz="0" w:space="0" w:color="auto"/>
        <w:bottom w:val="none" w:sz="0" w:space="0" w:color="auto"/>
        <w:right w:val="none" w:sz="0" w:space="0" w:color="auto"/>
      </w:divBdr>
    </w:div>
    <w:div w:id="259334047">
      <w:marLeft w:val="0"/>
      <w:marRight w:val="0"/>
      <w:marTop w:val="0"/>
      <w:marBottom w:val="0"/>
      <w:divBdr>
        <w:top w:val="none" w:sz="0" w:space="0" w:color="auto"/>
        <w:left w:val="none" w:sz="0" w:space="0" w:color="auto"/>
        <w:bottom w:val="none" w:sz="0" w:space="0" w:color="auto"/>
        <w:right w:val="none" w:sz="0" w:space="0" w:color="auto"/>
      </w:divBdr>
    </w:div>
    <w:div w:id="259334049">
      <w:marLeft w:val="0"/>
      <w:marRight w:val="0"/>
      <w:marTop w:val="0"/>
      <w:marBottom w:val="0"/>
      <w:divBdr>
        <w:top w:val="none" w:sz="0" w:space="0" w:color="auto"/>
        <w:left w:val="none" w:sz="0" w:space="0" w:color="auto"/>
        <w:bottom w:val="none" w:sz="0" w:space="0" w:color="auto"/>
        <w:right w:val="none" w:sz="0" w:space="0" w:color="auto"/>
      </w:divBdr>
    </w:div>
    <w:div w:id="259334050">
      <w:marLeft w:val="0"/>
      <w:marRight w:val="0"/>
      <w:marTop w:val="0"/>
      <w:marBottom w:val="0"/>
      <w:divBdr>
        <w:top w:val="none" w:sz="0" w:space="0" w:color="auto"/>
        <w:left w:val="none" w:sz="0" w:space="0" w:color="auto"/>
        <w:bottom w:val="none" w:sz="0" w:space="0" w:color="auto"/>
        <w:right w:val="none" w:sz="0" w:space="0" w:color="auto"/>
      </w:divBdr>
    </w:div>
    <w:div w:id="259334051">
      <w:marLeft w:val="0"/>
      <w:marRight w:val="0"/>
      <w:marTop w:val="0"/>
      <w:marBottom w:val="0"/>
      <w:divBdr>
        <w:top w:val="none" w:sz="0" w:space="0" w:color="auto"/>
        <w:left w:val="none" w:sz="0" w:space="0" w:color="auto"/>
        <w:bottom w:val="none" w:sz="0" w:space="0" w:color="auto"/>
        <w:right w:val="none" w:sz="0" w:space="0" w:color="auto"/>
      </w:divBdr>
    </w:div>
    <w:div w:id="259334053">
      <w:marLeft w:val="0"/>
      <w:marRight w:val="0"/>
      <w:marTop w:val="0"/>
      <w:marBottom w:val="0"/>
      <w:divBdr>
        <w:top w:val="none" w:sz="0" w:space="0" w:color="auto"/>
        <w:left w:val="none" w:sz="0" w:space="0" w:color="auto"/>
        <w:bottom w:val="none" w:sz="0" w:space="0" w:color="auto"/>
        <w:right w:val="none" w:sz="0" w:space="0" w:color="auto"/>
      </w:divBdr>
    </w:div>
    <w:div w:id="259334054">
      <w:marLeft w:val="0"/>
      <w:marRight w:val="0"/>
      <w:marTop w:val="0"/>
      <w:marBottom w:val="0"/>
      <w:divBdr>
        <w:top w:val="none" w:sz="0" w:space="0" w:color="auto"/>
        <w:left w:val="none" w:sz="0" w:space="0" w:color="auto"/>
        <w:bottom w:val="none" w:sz="0" w:space="0" w:color="auto"/>
        <w:right w:val="none" w:sz="0" w:space="0" w:color="auto"/>
      </w:divBdr>
    </w:div>
    <w:div w:id="259334056">
      <w:marLeft w:val="0"/>
      <w:marRight w:val="0"/>
      <w:marTop w:val="0"/>
      <w:marBottom w:val="0"/>
      <w:divBdr>
        <w:top w:val="none" w:sz="0" w:space="0" w:color="auto"/>
        <w:left w:val="none" w:sz="0" w:space="0" w:color="auto"/>
        <w:bottom w:val="none" w:sz="0" w:space="0" w:color="auto"/>
        <w:right w:val="none" w:sz="0" w:space="0" w:color="auto"/>
      </w:divBdr>
    </w:div>
    <w:div w:id="259334057">
      <w:marLeft w:val="0"/>
      <w:marRight w:val="0"/>
      <w:marTop w:val="0"/>
      <w:marBottom w:val="0"/>
      <w:divBdr>
        <w:top w:val="none" w:sz="0" w:space="0" w:color="auto"/>
        <w:left w:val="none" w:sz="0" w:space="0" w:color="auto"/>
        <w:bottom w:val="none" w:sz="0" w:space="0" w:color="auto"/>
        <w:right w:val="none" w:sz="0" w:space="0" w:color="auto"/>
      </w:divBdr>
    </w:div>
    <w:div w:id="259334058">
      <w:marLeft w:val="0"/>
      <w:marRight w:val="0"/>
      <w:marTop w:val="0"/>
      <w:marBottom w:val="0"/>
      <w:divBdr>
        <w:top w:val="none" w:sz="0" w:space="0" w:color="auto"/>
        <w:left w:val="none" w:sz="0" w:space="0" w:color="auto"/>
        <w:bottom w:val="none" w:sz="0" w:space="0" w:color="auto"/>
        <w:right w:val="none" w:sz="0" w:space="0" w:color="auto"/>
      </w:divBdr>
    </w:div>
    <w:div w:id="259334059">
      <w:marLeft w:val="0"/>
      <w:marRight w:val="0"/>
      <w:marTop w:val="0"/>
      <w:marBottom w:val="0"/>
      <w:divBdr>
        <w:top w:val="none" w:sz="0" w:space="0" w:color="auto"/>
        <w:left w:val="none" w:sz="0" w:space="0" w:color="auto"/>
        <w:bottom w:val="none" w:sz="0" w:space="0" w:color="auto"/>
        <w:right w:val="none" w:sz="0" w:space="0" w:color="auto"/>
      </w:divBdr>
    </w:div>
    <w:div w:id="259334060">
      <w:marLeft w:val="0"/>
      <w:marRight w:val="0"/>
      <w:marTop w:val="0"/>
      <w:marBottom w:val="0"/>
      <w:divBdr>
        <w:top w:val="none" w:sz="0" w:space="0" w:color="auto"/>
        <w:left w:val="none" w:sz="0" w:space="0" w:color="auto"/>
        <w:bottom w:val="none" w:sz="0" w:space="0" w:color="auto"/>
        <w:right w:val="none" w:sz="0" w:space="0" w:color="auto"/>
      </w:divBdr>
    </w:div>
    <w:div w:id="259334061">
      <w:marLeft w:val="0"/>
      <w:marRight w:val="0"/>
      <w:marTop w:val="0"/>
      <w:marBottom w:val="0"/>
      <w:divBdr>
        <w:top w:val="none" w:sz="0" w:space="0" w:color="auto"/>
        <w:left w:val="none" w:sz="0" w:space="0" w:color="auto"/>
        <w:bottom w:val="none" w:sz="0" w:space="0" w:color="auto"/>
        <w:right w:val="none" w:sz="0" w:space="0" w:color="auto"/>
      </w:divBdr>
    </w:div>
    <w:div w:id="259334062">
      <w:marLeft w:val="0"/>
      <w:marRight w:val="0"/>
      <w:marTop w:val="0"/>
      <w:marBottom w:val="0"/>
      <w:divBdr>
        <w:top w:val="none" w:sz="0" w:space="0" w:color="auto"/>
        <w:left w:val="none" w:sz="0" w:space="0" w:color="auto"/>
        <w:bottom w:val="none" w:sz="0" w:space="0" w:color="auto"/>
        <w:right w:val="none" w:sz="0" w:space="0" w:color="auto"/>
      </w:divBdr>
    </w:div>
    <w:div w:id="259334066">
      <w:marLeft w:val="0"/>
      <w:marRight w:val="0"/>
      <w:marTop w:val="0"/>
      <w:marBottom w:val="0"/>
      <w:divBdr>
        <w:top w:val="none" w:sz="0" w:space="0" w:color="auto"/>
        <w:left w:val="none" w:sz="0" w:space="0" w:color="auto"/>
        <w:bottom w:val="none" w:sz="0" w:space="0" w:color="auto"/>
        <w:right w:val="none" w:sz="0" w:space="0" w:color="auto"/>
      </w:divBdr>
    </w:div>
    <w:div w:id="259334067">
      <w:marLeft w:val="0"/>
      <w:marRight w:val="0"/>
      <w:marTop w:val="0"/>
      <w:marBottom w:val="0"/>
      <w:divBdr>
        <w:top w:val="none" w:sz="0" w:space="0" w:color="auto"/>
        <w:left w:val="none" w:sz="0" w:space="0" w:color="auto"/>
        <w:bottom w:val="none" w:sz="0" w:space="0" w:color="auto"/>
        <w:right w:val="none" w:sz="0" w:space="0" w:color="auto"/>
      </w:divBdr>
    </w:div>
    <w:div w:id="259334068">
      <w:marLeft w:val="0"/>
      <w:marRight w:val="0"/>
      <w:marTop w:val="0"/>
      <w:marBottom w:val="0"/>
      <w:divBdr>
        <w:top w:val="none" w:sz="0" w:space="0" w:color="auto"/>
        <w:left w:val="none" w:sz="0" w:space="0" w:color="auto"/>
        <w:bottom w:val="none" w:sz="0" w:space="0" w:color="auto"/>
        <w:right w:val="none" w:sz="0" w:space="0" w:color="auto"/>
      </w:divBdr>
    </w:div>
    <w:div w:id="697925597">
      <w:bodyDiv w:val="1"/>
      <w:marLeft w:val="0"/>
      <w:marRight w:val="0"/>
      <w:marTop w:val="0"/>
      <w:marBottom w:val="0"/>
      <w:divBdr>
        <w:top w:val="none" w:sz="0" w:space="0" w:color="auto"/>
        <w:left w:val="none" w:sz="0" w:space="0" w:color="auto"/>
        <w:bottom w:val="none" w:sz="0" w:space="0" w:color="auto"/>
        <w:right w:val="none" w:sz="0" w:space="0" w:color="auto"/>
      </w:divBdr>
    </w:div>
    <w:div w:id="822308047">
      <w:bodyDiv w:val="1"/>
      <w:marLeft w:val="0"/>
      <w:marRight w:val="0"/>
      <w:marTop w:val="0"/>
      <w:marBottom w:val="0"/>
      <w:divBdr>
        <w:top w:val="none" w:sz="0" w:space="0" w:color="auto"/>
        <w:left w:val="none" w:sz="0" w:space="0" w:color="auto"/>
        <w:bottom w:val="none" w:sz="0" w:space="0" w:color="auto"/>
        <w:right w:val="none" w:sz="0" w:space="0" w:color="auto"/>
      </w:divBdr>
    </w:div>
    <w:div w:id="958072472">
      <w:bodyDiv w:val="1"/>
      <w:marLeft w:val="0"/>
      <w:marRight w:val="0"/>
      <w:marTop w:val="0"/>
      <w:marBottom w:val="0"/>
      <w:divBdr>
        <w:top w:val="none" w:sz="0" w:space="0" w:color="auto"/>
        <w:left w:val="none" w:sz="0" w:space="0" w:color="auto"/>
        <w:bottom w:val="none" w:sz="0" w:space="0" w:color="auto"/>
        <w:right w:val="none" w:sz="0" w:space="0" w:color="auto"/>
      </w:divBdr>
    </w:div>
    <w:div w:id="1431313876">
      <w:bodyDiv w:val="1"/>
      <w:marLeft w:val="0"/>
      <w:marRight w:val="0"/>
      <w:marTop w:val="0"/>
      <w:marBottom w:val="0"/>
      <w:divBdr>
        <w:top w:val="none" w:sz="0" w:space="0" w:color="auto"/>
        <w:left w:val="none" w:sz="0" w:space="0" w:color="auto"/>
        <w:bottom w:val="none" w:sz="0" w:space="0" w:color="auto"/>
        <w:right w:val="none" w:sz="0" w:space="0" w:color="auto"/>
      </w:divBdr>
      <w:divsChild>
        <w:div w:id="395669497">
          <w:marLeft w:val="0"/>
          <w:marRight w:val="0"/>
          <w:marTop w:val="0"/>
          <w:marBottom w:val="0"/>
          <w:divBdr>
            <w:top w:val="none" w:sz="0" w:space="0" w:color="auto"/>
            <w:left w:val="none" w:sz="0" w:space="0" w:color="auto"/>
            <w:bottom w:val="none" w:sz="0" w:space="0" w:color="auto"/>
            <w:right w:val="none" w:sz="0" w:space="0" w:color="auto"/>
          </w:divBdr>
          <w:divsChild>
            <w:div w:id="1457985218">
              <w:marLeft w:val="0"/>
              <w:marRight w:val="0"/>
              <w:marTop w:val="150"/>
              <w:marBottom w:val="0"/>
              <w:divBdr>
                <w:top w:val="none" w:sz="0" w:space="0" w:color="auto"/>
                <w:left w:val="none" w:sz="0" w:space="0" w:color="auto"/>
                <w:bottom w:val="none" w:sz="0" w:space="0" w:color="auto"/>
                <w:right w:val="none" w:sz="0" w:space="0" w:color="auto"/>
              </w:divBdr>
              <w:divsChild>
                <w:div w:id="1595089898">
                  <w:marLeft w:val="0"/>
                  <w:marRight w:val="0"/>
                  <w:marTop w:val="0"/>
                  <w:marBottom w:val="900"/>
                  <w:divBdr>
                    <w:top w:val="none" w:sz="0" w:space="0" w:color="auto"/>
                    <w:left w:val="none" w:sz="0" w:space="0" w:color="auto"/>
                    <w:bottom w:val="none" w:sz="0" w:space="0" w:color="auto"/>
                    <w:right w:val="none" w:sz="0" w:space="0" w:color="auto"/>
                  </w:divBdr>
                  <w:divsChild>
                    <w:div w:id="1373459571">
                      <w:marLeft w:val="0"/>
                      <w:marRight w:val="0"/>
                      <w:marTop w:val="0"/>
                      <w:marBottom w:val="0"/>
                      <w:divBdr>
                        <w:top w:val="none" w:sz="0" w:space="0" w:color="auto"/>
                        <w:left w:val="none" w:sz="0" w:space="0" w:color="auto"/>
                        <w:bottom w:val="none" w:sz="0" w:space="0" w:color="auto"/>
                        <w:right w:val="none" w:sz="0" w:space="0" w:color="auto"/>
                      </w:divBdr>
                      <w:divsChild>
                        <w:div w:id="1606234501">
                          <w:marLeft w:val="0"/>
                          <w:marRight w:val="0"/>
                          <w:marTop w:val="0"/>
                          <w:marBottom w:val="0"/>
                          <w:divBdr>
                            <w:top w:val="none" w:sz="0" w:space="0" w:color="auto"/>
                            <w:left w:val="none" w:sz="0" w:space="0" w:color="auto"/>
                            <w:bottom w:val="none" w:sz="0" w:space="0" w:color="auto"/>
                            <w:right w:val="none" w:sz="0" w:space="0" w:color="auto"/>
                          </w:divBdr>
                          <w:divsChild>
                            <w:div w:id="1582983491">
                              <w:marLeft w:val="0"/>
                              <w:marRight w:val="0"/>
                              <w:marTop w:val="0"/>
                              <w:marBottom w:val="0"/>
                              <w:divBdr>
                                <w:top w:val="none" w:sz="0" w:space="0" w:color="auto"/>
                                <w:left w:val="none" w:sz="0" w:space="0" w:color="auto"/>
                                <w:bottom w:val="none" w:sz="0" w:space="0" w:color="auto"/>
                                <w:right w:val="none" w:sz="0" w:space="0" w:color="auto"/>
                              </w:divBdr>
                              <w:divsChild>
                                <w:div w:id="1901093273">
                                  <w:marLeft w:val="0"/>
                                  <w:marRight w:val="0"/>
                                  <w:marTop w:val="0"/>
                                  <w:marBottom w:val="0"/>
                                  <w:divBdr>
                                    <w:top w:val="none" w:sz="0" w:space="0" w:color="auto"/>
                                    <w:left w:val="none" w:sz="0" w:space="0" w:color="auto"/>
                                    <w:bottom w:val="none" w:sz="0" w:space="0" w:color="auto"/>
                                    <w:right w:val="none" w:sz="0" w:space="0" w:color="auto"/>
                                  </w:divBdr>
                                  <w:divsChild>
                                    <w:div w:id="49808180">
                                      <w:marLeft w:val="0"/>
                                      <w:marRight w:val="0"/>
                                      <w:marTop w:val="0"/>
                                      <w:marBottom w:val="0"/>
                                      <w:divBdr>
                                        <w:top w:val="none" w:sz="0" w:space="0" w:color="auto"/>
                                        <w:left w:val="none" w:sz="0" w:space="0" w:color="auto"/>
                                        <w:bottom w:val="none" w:sz="0" w:space="0" w:color="auto"/>
                                        <w:right w:val="none" w:sz="0" w:space="0" w:color="auto"/>
                                      </w:divBdr>
                                      <w:divsChild>
                                        <w:div w:id="1270510433">
                                          <w:marLeft w:val="0"/>
                                          <w:marRight w:val="0"/>
                                          <w:marTop w:val="0"/>
                                          <w:marBottom w:val="0"/>
                                          <w:divBdr>
                                            <w:top w:val="none" w:sz="0" w:space="0" w:color="auto"/>
                                            <w:left w:val="none" w:sz="0" w:space="0" w:color="auto"/>
                                            <w:bottom w:val="none" w:sz="0" w:space="0" w:color="auto"/>
                                            <w:right w:val="none" w:sz="0" w:space="0" w:color="auto"/>
                                          </w:divBdr>
                                          <w:divsChild>
                                            <w:div w:id="1088037722">
                                              <w:marLeft w:val="0"/>
                                              <w:marRight w:val="0"/>
                                              <w:marTop w:val="0"/>
                                              <w:marBottom w:val="0"/>
                                              <w:divBdr>
                                                <w:top w:val="none" w:sz="0" w:space="0" w:color="auto"/>
                                                <w:left w:val="none" w:sz="0" w:space="0" w:color="auto"/>
                                                <w:bottom w:val="none" w:sz="0" w:space="0" w:color="auto"/>
                                                <w:right w:val="none" w:sz="0" w:space="0" w:color="auto"/>
                                              </w:divBdr>
                                              <w:divsChild>
                                                <w:div w:id="1202014892">
                                                  <w:marLeft w:val="0"/>
                                                  <w:marRight w:val="0"/>
                                                  <w:marTop w:val="0"/>
                                                  <w:marBottom w:val="0"/>
                                                  <w:divBdr>
                                                    <w:top w:val="none" w:sz="0" w:space="0" w:color="auto"/>
                                                    <w:left w:val="none" w:sz="0" w:space="0" w:color="auto"/>
                                                    <w:bottom w:val="none" w:sz="0" w:space="0" w:color="auto"/>
                                                    <w:right w:val="none" w:sz="0" w:space="0" w:color="auto"/>
                                                  </w:divBdr>
                                                  <w:divsChild>
                                                    <w:div w:id="1647129876">
                                                      <w:marLeft w:val="0"/>
                                                      <w:marRight w:val="0"/>
                                                      <w:marTop w:val="0"/>
                                                      <w:marBottom w:val="0"/>
                                                      <w:divBdr>
                                                        <w:top w:val="none" w:sz="0" w:space="0" w:color="auto"/>
                                                        <w:left w:val="none" w:sz="0" w:space="0" w:color="auto"/>
                                                        <w:bottom w:val="none" w:sz="0" w:space="0" w:color="auto"/>
                                                        <w:right w:val="none" w:sz="0" w:space="0" w:color="auto"/>
                                                      </w:divBdr>
                                                      <w:divsChild>
                                                        <w:div w:id="10452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8950">
                                              <w:marLeft w:val="0"/>
                                              <w:marRight w:val="0"/>
                                              <w:marTop w:val="0"/>
                                              <w:marBottom w:val="0"/>
                                              <w:divBdr>
                                                <w:top w:val="none" w:sz="0" w:space="0" w:color="auto"/>
                                                <w:left w:val="none" w:sz="0" w:space="0" w:color="auto"/>
                                                <w:bottom w:val="none" w:sz="0" w:space="0" w:color="auto"/>
                                                <w:right w:val="none" w:sz="0" w:space="0" w:color="auto"/>
                                              </w:divBdr>
                                            </w:div>
                                            <w:div w:id="1959339736">
                                              <w:marLeft w:val="0"/>
                                              <w:marRight w:val="0"/>
                                              <w:marTop w:val="0"/>
                                              <w:marBottom w:val="0"/>
                                              <w:divBdr>
                                                <w:top w:val="none" w:sz="0" w:space="0" w:color="auto"/>
                                                <w:left w:val="none" w:sz="0" w:space="0" w:color="auto"/>
                                                <w:bottom w:val="none" w:sz="0" w:space="0" w:color="auto"/>
                                                <w:right w:val="none" w:sz="0" w:space="0" w:color="auto"/>
                                              </w:divBdr>
                                              <w:divsChild>
                                                <w:div w:id="875586610">
                                                  <w:marLeft w:val="0"/>
                                                  <w:marRight w:val="0"/>
                                                  <w:marTop w:val="0"/>
                                                  <w:marBottom w:val="0"/>
                                                  <w:divBdr>
                                                    <w:top w:val="none" w:sz="0" w:space="0" w:color="auto"/>
                                                    <w:left w:val="none" w:sz="0" w:space="0" w:color="auto"/>
                                                    <w:bottom w:val="none" w:sz="0" w:space="0" w:color="auto"/>
                                                    <w:right w:val="none" w:sz="0" w:space="0" w:color="auto"/>
                                                  </w:divBdr>
                                                  <w:divsChild>
                                                    <w:div w:id="47341045">
                                                      <w:marLeft w:val="0"/>
                                                      <w:marRight w:val="0"/>
                                                      <w:marTop w:val="0"/>
                                                      <w:marBottom w:val="0"/>
                                                      <w:divBdr>
                                                        <w:top w:val="none" w:sz="0" w:space="0" w:color="auto"/>
                                                        <w:left w:val="none" w:sz="0" w:space="0" w:color="auto"/>
                                                        <w:bottom w:val="none" w:sz="0" w:space="0" w:color="auto"/>
                                                        <w:right w:val="none" w:sz="0" w:space="0" w:color="auto"/>
                                                      </w:divBdr>
                                                      <w:divsChild>
                                                        <w:div w:id="9285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324630">
      <w:bodyDiv w:val="1"/>
      <w:marLeft w:val="0"/>
      <w:marRight w:val="0"/>
      <w:marTop w:val="0"/>
      <w:marBottom w:val="0"/>
      <w:divBdr>
        <w:top w:val="none" w:sz="0" w:space="0" w:color="auto"/>
        <w:left w:val="none" w:sz="0" w:space="0" w:color="auto"/>
        <w:bottom w:val="none" w:sz="0" w:space="0" w:color="auto"/>
        <w:right w:val="none" w:sz="0" w:space="0" w:color="auto"/>
      </w:divBdr>
    </w:div>
    <w:div w:id="1667979898">
      <w:bodyDiv w:val="1"/>
      <w:marLeft w:val="0"/>
      <w:marRight w:val="0"/>
      <w:marTop w:val="0"/>
      <w:marBottom w:val="0"/>
      <w:divBdr>
        <w:top w:val="none" w:sz="0" w:space="0" w:color="auto"/>
        <w:left w:val="none" w:sz="0" w:space="0" w:color="auto"/>
        <w:bottom w:val="none" w:sz="0" w:space="0" w:color="auto"/>
        <w:right w:val="none" w:sz="0" w:space="0" w:color="auto"/>
      </w:divBdr>
    </w:div>
    <w:div w:id="21342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D2F49-1FC8-4B38-9D96-A2048777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28</Pages>
  <Words>11348</Words>
  <Characters>59015</Characters>
  <Application>Microsoft Office Word</Application>
  <DocSecurity>0</DocSecurity>
  <Lines>2185</Lines>
  <Paragraphs>1353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36</cp:revision>
  <cp:lastPrinted>2016-10-10T18:12:00Z</cp:lastPrinted>
  <dcterms:created xsi:type="dcterms:W3CDTF">2016-10-13T14:36:00Z</dcterms:created>
  <dcterms:modified xsi:type="dcterms:W3CDTF">2016-10-28T09:25:00Z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