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49C18AD36FB4DBD970DDDBA15AD59B0"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Предложението е свързано с проект на решение на Съвета относно 3</w:t>
      </w:r>
      <w:r>
        <w:rPr>
          <w:noProof/>
          <w:vertAlign w:val="superscript"/>
        </w:rPr>
        <w:t>-та</w:t>
      </w:r>
      <w:r>
        <w:rPr>
          <w:noProof/>
        </w:rPr>
        <w:t xml:space="preserve"> част от финансовите вноски за Европейския фонд за развитие (ЕФР), които трябва да бъдат платени от държавите членки през 2016 г.</w:t>
      </w:r>
    </w:p>
    <w:p>
      <w:pPr>
        <w:pBdr>
          <w:top w:val="nil"/>
          <w:left w:val="nil"/>
          <w:bottom w:val="nil"/>
          <w:right w:val="nil"/>
          <w:between w:val="nil"/>
          <w:bar w:val="nil"/>
        </w:pBdr>
        <w:spacing w:before="0" w:after="240"/>
        <w:rPr>
          <w:noProof/>
        </w:rPr>
      </w:pPr>
      <w:r>
        <w:rPr>
          <w:noProof/>
        </w:rPr>
        <w:t>11</w:t>
      </w:r>
      <w:r>
        <w:rPr>
          <w:noProof/>
          <w:vertAlign w:val="superscript"/>
        </w:rPr>
        <w:t>-ият</w:t>
      </w:r>
      <w:r>
        <w:rPr>
          <w:noProof/>
        </w:rPr>
        <w:t xml:space="preserve"> ЕФР и другите ЕФР фондове, които са все още открити (т.е. 8</w:t>
      </w:r>
      <w:r>
        <w:rPr>
          <w:noProof/>
          <w:vertAlign w:val="superscript"/>
        </w:rPr>
        <w:t>-ият</w:t>
      </w:r>
      <w:r>
        <w:rPr>
          <w:noProof/>
        </w:rPr>
        <w:t>, 9</w:t>
      </w:r>
      <w:r>
        <w:rPr>
          <w:noProof/>
          <w:vertAlign w:val="superscript"/>
        </w:rPr>
        <w:t>-ият</w:t>
      </w:r>
      <w:r>
        <w:rPr>
          <w:noProof/>
        </w:rPr>
        <w:t xml:space="preserve"> и 10</w:t>
      </w:r>
      <w:r>
        <w:rPr>
          <w:noProof/>
          <w:vertAlign w:val="superscript"/>
        </w:rPr>
        <w:t>-ият</w:t>
      </w:r>
      <w:r>
        <w:rPr>
          <w:noProof/>
        </w:rPr>
        <w:t xml:space="preserve"> ЕФР), се управляват съгласно следните правила: </w:t>
      </w:r>
    </w:p>
    <w:p>
      <w:pPr>
        <w:pBdr>
          <w:top w:val="nil"/>
          <w:left w:val="nil"/>
          <w:bottom w:val="nil"/>
          <w:right w:val="nil"/>
          <w:between w:val="nil"/>
          <w:bar w:val="nil"/>
        </w:pBdr>
        <w:spacing w:before="0" w:after="240"/>
        <w:rPr>
          <w:noProof/>
        </w:rPr>
      </w:pPr>
      <w:r>
        <w:rPr>
          <w:noProof/>
        </w:rPr>
        <w:t>Настоящото Споразумение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 с последните му изменения („Споразумението за партньорство АКТБ—ЕС“)</w:t>
      </w:r>
      <w:r>
        <w:rPr>
          <w:rStyle w:val="FootnoteReference"/>
          <w:noProof/>
        </w:rPr>
        <w:footnoteReference w:id="1"/>
      </w:r>
      <w:r>
        <w:rPr>
          <w:noProof/>
        </w:rPr>
        <w:t>,</w:t>
      </w:r>
    </w:p>
    <w:p>
      <w:pPr>
        <w:pBdr>
          <w:top w:val="nil"/>
          <w:left w:val="nil"/>
          <w:bottom w:val="nil"/>
          <w:right w:val="nil"/>
          <w:between w:val="nil"/>
          <w:bar w:val="nil"/>
        </w:pBdr>
        <w:spacing w:before="0" w:after="240"/>
        <w:rPr>
          <w:noProof/>
        </w:rPr>
      </w:pPr>
      <w:r>
        <w:rPr>
          <w:noProof/>
        </w:rPr>
        <w:t>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2"/>
      </w:r>
      <w:r>
        <w:rPr>
          <w:noProof/>
        </w:rPr>
        <w:t xml:space="preserve"> („Вътрешното споразумение за 11</w:t>
      </w:r>
      <w:r>
        <w:rPr>
          <w:noProof/>
          <w:vertAlign w:val="superscript"/>
        </w:rPr>
        <w:t>-ия</w:t>
      </w:r>
      <w:r>
        <w:rPr>
          <w:noProof/>
        </w:rPr>
        <w:t xml:space="preserve"> ЕФР“),</w:t>
      </w:r>
    </w:p>
    <w:p>
      <w:pPr>
        <w:pBdr>
          <w:top w:val="nil"/>
          <w:left w:val="nil"/>
          <w:bottom w:val="nil"/>
          <w:right w:val="nil"/>
          <w:between w:val="nil"/>
          <w:bar w:val="nil"/>
        </w:pBdr>
        <w:spacing w:before="0" w:after="240"/>
        <w:rPr>
          <w:noProof/>
        </w:rPr>
      </w:pPr>
      <w:r>
        <w:rPr>
          <w:noProof/>
        </w:rPr>
        <w:t>Регламент (ЕС) 2015/323 на Съвета относно финансовия регламент, приложим за 11</w:t>
      </w:r>
      <w:r>
        <w:rPr>
          <w:noProof/>
          <w:vertAlign w:val="superscript"/>
        </w:rPr>
        <w:t>-ия</w:t>
      </w:r>
      <w:r>
        <w:rPr>
          <w:noProof/>
        </w:rPr>
        <w:t xml:space="preserve"> Европейски фонд за развитие</w:t>
      </w:r>
      <w:r>
        <w:rPr>
          <w:rStyle w:val="FootnoteReference"/>
          <w:noProof/>
        </w:rPr>
        <w:footnoteReference w:id="3"/>
      </w:r>
      <w:r>
        <w:rPr>
          <w:noProof/>
        </w:rPr>
        <w:t xml:space="preserve"> („Финансовият регламент за 11</w:t>
      </w:r>
      <w:r>
        <w:rPr>
          <w:noProof/>
          <w:vertAlign w:val="superscript"/>
        </w:rPr>
        <w:t>-ия</w:t>
      </w:r>
      <w:r>
        <w:rPr>
          <w:noProof/>
        </w:rPr>
        <w:t xml:space="preserve"> ЕФР“).</w:t>
      </w:r>
    </w:p>
    <w:p>
      <w:pPr>
        <w:pBdr>
          <w:top w:val="nil"/>
          <w:left w:val="nil"/>
          <w:bottom w:val="nil"/>
          <w:right w:val="nil"/>
          <w:between w:val="nil"/>
          <w:bar w:val="nil"/>
        </w:pBdr>
        <w:spacing w:before="0" w:after="240"/>
        <w:rPr>
          <w:noProof/>
        </w:rPr>
      </w:pPr>
      <w:r>
        <w:rPr>
          <w:noProof/>
        </w:rPr>
        <w:t>Посочените по-горе документи съдържат многогодишни поети задължения от страна на държавите членки за финансова подкрепа на ЕФР. Във Финансовия регламент за 11</w:t>
      </w:r>
      <w:r>
        <w:rPr>
          <w:noProof/>
          <w:vertAlign w:val="superscript"/>
        </w:rPr>
        <w:t>-ия</w:t>
      </w:r>
      <w:r>
        <w:rPr>
          <w:noProof/>
        </w:rPr>
        <w:t xml:space="preserve"> ЕФР се предвиждат редовни вноски на държавите членки за ЕФР по предварително определени финансови задължения. Редовните вноски се задействат с технически решения на Съвета, които отразяват изпълнението на поетите финансови задължения, за които е взето решение предварително.</w:t>
      </w:r>
    </w:p>
    <w:p>
      <w:pPr>
        <w:pBdr>
          <w:top w:val="nil"/>
          <w:left w:val="nil"/>
          <w:bottom w:val="nil"/>
          <w:right w:val="nil"/>
          <w:between w:val="nil"/>
          <w:bar w:val="nil"/>
        </w:pBdr>
        <w:spacing w:before="0" w:after="240"/>
        <w:rPr>
          <w:rFonts w:eastAsia="Arial Unicode MS"/>
          <w:noProof/>
        </w:rPr>
      </w:pPr>
      <w:r>
        <w:rPr>
          <w:noProof/>
        </w:rPr>
        <w:t>Поради това някои от позициите в обяснителния меморандум не се прилагат за поканите за редовни вноски като настоящата.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w:t>
      </w:r>
    </w:p>
    <w:p>
      <w:pPr>
        <w:pBdr>
          <w:top w:val="nil"/>
          <w:left w:val="nil"/>
          <w:bottom w:val="nil"/>
          <w:right w:val="nil"/>
          <w:between w:val="nil"/>
          <w:bar w:val="nil"/>
        </w:pBdr>
        <w:spacing w:before="0" w:after="240"/>
        <w:rPr>
          <w:rFonts w:eastAsia="Arial Unicode MS"/>
          <w:noProof/>
        </w:rPr>
      </w:pPr>
      <w:r>
        <w:rPr>
          <w:noProof/>
        </w:rPr>
        <w:t>Вж. точка 1. Основания и цели на предложението.</w:t>
      </w:r>
    </w:p>
    <w:p>
      <w:pPr>
        <w:pStyle w:val="ManualHeading2"/>
        <w:rPr>
          <w:rFonts w:eastAsia="Arial Unicode MS"/>
          <w:noProof/>
        </w:rPr>
      </w:pPr>
      <w:r>
        <w:rPr>
          <w:noProof/>
          <w:color w:val="000000"/>
          <w:u w:color="000000"/>
          <w:bdr w:val="nil"/>
        </w:rPr>
        <w:t>•</w:t>
      </w:r>
      <w:r>
        <w:rPr>
          <w:noProof/>
        </w:rPr>
        <w:tab/>
        <w:t>Съгласуваност с политики на Съюза в други области</w:t>
      </w:r>
    </w:p>
    <w:p>
      <w:pPr>
        <w:pBdr>
          <w:top w:val="nil"/>
          <w:left w:val="nil"/>
          <w:bottom w:val="nil"/>
          <w:right w:val="nil"/>
          <w:between w:val="nil"/>
          <w:bar w:val="nil"/>
        </w:pBdr>
        <w:spacing w:before="0" w:after="240"/>
        <w:rPr>
          <w:rFonts w:eastAsia="Arial Unicode MS"/>
          <w:noProof/>
        </w:rPr>
      </w:pPr>
      <w:r>
        <w:rPr>
          <w:noProof/>
        </w:rPr>
        <w:t>Вж. точка 1. Основания и цели на предложението.</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Съгласно член 21, параграф 7 от Финансовия регламент за 11</w:t>
      </w:r>
      <w:r>
        <w:rPr>
          <w:noProof/>
          <w:vertAlign w:val="superscript"/>
        </w:rPr>
        <w:t>-ия</w:t>
      </w:r>
      <w:r>
        <w:rPr>
          <w:noProof/>
        </w:rPr>
        <w:t xml:space="preserve"> ЕФР сумата, управлявана от Комисията, и сумата, управлявана от Европейската инвестиционна банка (ЕИБ), се определят поотделно.</w:t>
      </w:r>
    </w:p>
    <w:p>
      <w:pPr>
        <w:pBdr>
          <w:top w:val="nil"/>
          <w:left w:val="nil"/>
          <w:bottom w:val="nil"/>
          <w:right w:val="nil"/>
          <w:between w:val="nil"/>
          <w:bar w:val="nil"/>
        </w:pBdr>
        <w:spacing w:before="0" w:after="240"/>
        <w:rPr>
          <w:rFonts w:eastAsia="Arial Unicode MS"/>
          <w:noProof/>
        </w:rPr>
      </w:pPr>
      <w:r>
        <w:rPr>
          <w:noProof/>
        </w:rPr>
        <w:t>Съгласно член 52 от Финансовия регламент за 11</w:t>
      </w:r>
      <w:r>
        <w:rPr>
          <w:noProof/>
          <w:vertAlign w:val="superscript"/>
        </w:rPr>
        <w:t>-ия</w:t>
      </w:r>
      <w:r>
        <w:rPr>
          <w:noProof/>
        </w:rPr>
        <w:t xml:space="preserve"> ЕФР ЕИБ изпрати на Комисията актуализираните си прогнози за поетите задължения и за плащанията по инструментите, които управлява.</w:t>
      </w:r>
    </w:p>
    <w:p>
      <w:pPr>
        <w:pBdr>
          <w:top w:val="nil"/>
          <w:left w:val="nil"/>
          <w:bottom w:val="nil"/>
          <w:right w:val="nil"/>
          <w:between w:val="nil"/>
          <w:bar w:val="nil"/>
        </w:pBdr>
        <w:spacing w:before="0" w:after="240"/>
        <w:rPr>
          <w:rFonts w:eastAsia="Arial Unicode MS"/>
          <w:noProof/>
        </w:rPr>
      </w:pPr>
      <w:r>
        <w:rPr>
          <w:noProof/>
        </w:rPr>
        <w:t>Съгласно член 22, параграф 1 от Финансовия регламент за 11</w:t>
      </w:r>
      <w:r>
        <w:rPr>
          <w:noProof/>
          <w:vertAlign w:val="superscript"/>
        </w:rPr>
        <w:t>-ия</w:t>
      </w:r>
      <w:r>
        <w:rPr>
          <w:noProof/>
        </w:rPr>
        <w:t xml:space="preserve"> ЕФР поканите за вноски първо оползотворяват една след друга сумите, предвидени за предходни ЕФР. Поради това поканите за вноски в настоящото предложение се отнасят — както за ЕИБ, така и за Комисията — за суми по 10</w:t>
      </w:r>
      <w:r>
        <w:rPr>
          <w:noProof/>
          <w:vertAlign w:val="superscript"/>
        </w:rPr>
        <w:t xml:space="preserve">-ия </w:t>
      </w:r>
      <w:r>
        <w:rPr>
          <w:noProof/>
        </w:rPr>
        <w:t>ЕФР.</w:t>
      </w:r>
    </w:p>
    <w:p>
      <w:pPr>
        <w:pBdr>
          <w:top w:val="nil"/>
          <w:left w:val="nil"/>
          <w:bottom w:val="nil"/>
          <w:right w:val="nil"/>
          <w:between w:val="nil"/>
          <w:bar w:val="nil"/>
        </w:pBdr>
        <w:spacing w:before="0" w:after="240"/>
        <w:rPr>
          <w:rFonts w:eastAsia="Arial Unicode MS"/>
          <w:noProof/>
        </w:rPr>
      </w:pPr>
      <w:r>
        <w:rPr>
          <w:noProof/>
        </w:rPr>
        <w:t>Съгласно член 21, параграф 5 от Финансовия регламент за 11</w:t>
      </w:r>
      <w:r>
        <w:rPr>
          <w:noProof/>
          <w:vertAlign w:val="superscript"/>
        </w:rPr>
        <w:t>-ия</w:t>
      </w:r>
      <w:r>
        <w:rPr>
          <w:noProof/>
        </w:rPr>
        <w:t xml:space="preserve"> ЕФР Съветът трябва да се произнесе по настоящото предложение най-късно 21 календарни дни, след като Комисията представи предложението си.</w:t>
      </w:r>
    </w:p>
    <w:p>
      <w:pPr>
        <w:pBdr>
          <w:top w:val="nil"/>
          <w:left w:val="nil"/>
          <w:bottom w:val="nil"/>
          <w:right w:val="nil"/>
          <w:between w:val="nil"/>
          <w:bar w:val="nil"/>
        </w:pBdr>
        <w:spacing w:before="0" w:after="240"/>
        <w:rPr>
          <w:rFonts w:eastAsia="Arial Unicode MS"/>
          <w:noProof/>
        </w:rPr>
      </w:pPr>
      <w:r>
        <w:rPr>
          <w:noProof/>
        </w:rPr>
        <w:t>Съгласно член 1 от Решение 2013/759/EС на Съвета за установяване на преходния инструмент</w:t>
      </w:r>
      <w:r>
        <w:rPr>
          <w:rStyle w:val="FootnoteReference"/>
          <w:noProof/>
        </w:rPr>
        <w:footnoteReference w:id="4"/>
      </w:r>
      <w:r>
        <w:rPr>
          <w:noProof/>
        </w:rPr>
        <w:t xml:space="preserve"> вноските на държавите членки, посочени в член 1, параграф 2, буква а) от вътрешните споразумения за 8</w:t>
      </w:r>
      <w:r>
        <w:rPr>
          <w:noProof/>
          <w:vertAlign w:val="superscript"/>
        </w:rPr>
        <w:t>-ия</w:t>
      </w:r>
      <w:r>
        <w:rPr>
          <w:noProof/>
        </w:rPr>
        <w:t>, 9</w:t>
      </w:r>
      <w:r>
        <w:rPr>
          <w:noProof/>
          <w:vertAlign w:val="superscript"/>
        </w:rPr>
        <w:t>-ия</w:t>
      </w:r>
      <w:r>
        <w:rPr>
          <w:noProof/>
        </w:rPr>
        <w:t xml:space="preserve"> и 10</w:t>
      </w:r>
      <w:r>
        <w:rPr>
          <w:noProof/>
          <w:vertAlign w:val="superscript"/>
        </w:rPr>
        <w:t>-ия</w:t>
      </w:r>
      <w:r>
        <w:rPr>
          <w:noProof/>
        </w:rPr>
        <w:t xml:space="preserve"> ЕФР, съответно се намаляват след влизането в сила на Вътрешното споразумение за 11</w:t>
      </w:r>
      <w:r>
        <w:rPr>
          <w:noProof/>
          <w:vertAlign w:val="superscript"/>
        </w:rPr>
        <w:t>-ия</w:t>
      </w:r>
      <w:r>
        <w:rPr>
          <w:noProof/>
        </w:rPr>
        <w:t xml:space="preserve"> ЕФР. Намалението ще има въздействие върху вноските на държавите членки за 2015 г., 2016 г. и 2017 г. съгласно варианта за корекция, избран от всяка държава членка.</w:t>
      </w:r>
    </w:p>
    <w:p>
      <w:pPr>
        <w:pBdr>
          <w:top w:val="nil"/>
          <w:left w:val="nil"/>
          <w:bottom w:val="nil"/>
          <w:right w:val="nil"/>
          <w:between w:val="nil"/>
          <w:bar w:val="nil"/>
        </w:pBdr>
        <w:spacing w:before="0" w:after="240"/>
        <w:rPr>
          <w:rFonts w:eastAsia="Arial Unicode MS"/>
          <w:noProof/>
        </w:rPr>
      </w:pPr>
      <w:r>
        <w:rPr>
          <w:noProof/>
        </w:rPr>
        <w:t>В член 23, параграф 1 от Финансовия регламент за 11</w:t>
      </w:r>
      <w:r>
        <w:rPr>
          <w:noProof/>
          <w:vertAlign w:val="superscript"/>
        </w:rPr>
        <w:t>-ия</w:t>
      </w:r>
      <w:r>
        <w:rPr>
          <w:noProof/>
        </w:rPr>
        <w:t xml:space="preserve"> ЕФР се предвижда, че когато държава членка не плати дължимата част от вноската до определения краен срок, от нея се изисква да плати лихва върху неизплатената сума. Условията на плащане на лихвата са посочени в същия член.</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Вж. точка 1. Основания и цели на предложението.</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Вж. точка 1. Основания и цели на предложението.</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Вж. точка 1. Основания и цели на предложението.</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Пригодност на правната уредба и опростяване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мерки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Подробно разяснение на конкретни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Не се прилага.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2016/0318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финансовите вноски, които трябва да бъдат платени от държавите членки за финансиране на Европейския фонд за развитие, включително третата част от вноската за 2016 г.</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Договора за функционирането на Европейския съюз,</w:t>
      </w:r>
    </w:p>
    <w:p>
      <w:pPr>
        <w:rPr>
          <w:noProof/>
        </w:rPr>
      </w:pPr>
      <w:r>
        <w:rPr>
          <w:noProof/>
        </w:rPr>
        <w:t>като взе предвид Споразумението за партньорство между членовете на групата държави от Африка, Карибите и Тихоокеанския басейн, от една страна, и Европейската общност и нейните държави членки, от друга страна, с последните му изменения</w:t>
      </w:r>
      <w:r>
        <w:rPr>
          <w:rStyle w:val="FootnoteReference"/>
          <w:noProof/>
        </w:rPr>
        <w:footnoteReference w:id="5"/>
      </w:r>
      <w:r>
        <w:rPr>
          <w:noProof/>
        </w:rPr>
        <w:t xml:space="preserve"> („Споразумението за партньорство АКТБ—ЕС“),</w:t>
      </w:r>
    </w:p>
    <w:p>
      <w:pPr>
        <w:rPr>
          <w:noProof/>
        </w:rPr>
      </w:pPr>
      <w:r>
        <w:rPr>
          <w:noProof/>
        </w:rPr>
        <w:t>като взе предвид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w:t>
      </w:r>
      <w:r>
        <w:rPr>
          <w:rStyle w:val="FootnoteReference"/>
          <w:noProof/>
        </w:rPr>
        <w:footnoteReference w:id="6"/>
      </w:r>
      <w:r>
        <w:rPr>
          <w:noProof/>
        </w:rPr>
        <w:t xml:space="preserve"> („Вътрешното споразумение“), и по-специално член 7, параграф 2 от него,</w:t>
      </w:r>
    </w:p>
    <w:p>
      <w:pPr>
        <w:rPr>
          <w:noProof/>
        </w:rPr>
      </w:pPr>
      <w:r>
        <w:rPr>
          <w:noProof/>
        </w:rPr>
        <w:t>като взе предвид Регламент (ЕС) 2015/323 на Съвета от 2 март 2015 г. относно финансовия регламент, приложим за 11</w:t>
      </w:r>
      <w:r>
        <w:rPr>
          <w:noProof/>
          <w:vertAlign w:val="superscript"/>
        </w:rPr>
        <w:t>-ия</w:t>
      </w:r>
      <w:r>
        <w:rPr>
          <w:noProof/>
        </w:rPr>
        <w:t xml:space="preserve"> Европейски фонд за развитие („Финансовият регламент за 11</w:t>
      </w:r>
      <w:r>
        <w:rPr>
          <w:noProof/>
          <w:vertAlign w:val="superscript"/>
        </w:rPr>
        <w:t>-ия</w:t>
      </w:r>
      <w:r>
        <w:rPr>
          <w:noProof/>
        </w:rPr>
        <w:t xml:space="preserve"> ЕФР“)</w:t>
      </w:r>
      <w:r>
        <w:rPr>
          <w:rStyle w:val="FootnoteReference"/>
          <w:noProof/>
        </w:rPr>
        <w:footnoteReference w:id="7"/>
      </w:r>
      <w:r>
        <w:rPr>
          <w:noProof/>
        </w:rPr>
        <w:t>, и по-специално член 21,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Съгласно процедурата, предвидена в член 21, параграф 5 от Финансовия регламент за 11</w:t>
      </w:r>
      <w:r>
        <w:rPr>
          <w:noProof/>
          <w:vertAlign w:val="superscript"/>
        </w:rPr>
        <w:t>-ия</w:t>
      </w:r>
      <w:r>
        <w:rPr>
          <w:noProof/>
        </w:rPr>
        <w:t xml:space="preserve"> ЕФР, в срок до 10 октомври 2016 г. Комисията представя предложение, в което се определят: а) размерът на третата част от вноската за 2016 г. и б) преразгледан годишен размер на вноската за 2016 г. в случаите, когато сумата се отклонява от действителните потребности.</w:t>
      </w:r>
    </w:p>
    <w:p>
      <w:pPr>
        <w:pStyle w:val="ManualConsidrant"/>
        <w:rPr>
          <w:noProof/>
        </w:rPr>
      </w:pPr>
      <w:r>
        <w:t>(2)</w:t>
      </w:r>
      <w:r>
        <w:tab/>
      </w:r>
      <w:r>
        <w:rPr>
          <w:noProof/>
        </w:rPr>
        <w:t>Съгласно член 52 от Финансовия регламент за 11</w:t>
      </w:r>
      <w:r>
        <w:rPr>
          <w:noProof/>
          <w:vertAlign w:val="superscript"/>
        </w:rPr>
        <w:t>-ия</w:t>
      </w:r>
      <w:r>
        <w:rPr>
          <w:noProof/>
        </w:rPr>
        <w:t xml:space="preserve"> ЕФР на 28 юли 2016 г. Европейската инвестиционна банка (ЕИБ) изпрати на Комисията актуализираните си прогнози за поетите задължения и за плащанията по инструментите, които управлява.</w:t>
      </w:r>
    </w:p>
    <w:p>
      <w:pPr>
        <w:pStyle w:val="ManualConsidrant"/>
        <w:rPr>
          <w:noProof/>
        </w:rPr>
      </w:pPr>
      <w:r>
        <w:t>(3)</w:t>
      </w:r>
      <w:r>
        <w:tab/>
      </w:r>
      <w:r>
        <w:rPr>
          <w:noProof/>
        </w:rPr>
        <w:t>В член 22, параграф 1 от Финансовия регламент за 11</w:t>
      </w:r>
      <w:r>
        <w:rPr>
          <w:noProof/>
          <w:vertAlign w:val="superscript"/>
        </w:rPr>
        <w:t>-ия</w:t>
      </w:r>
      <w:r>
        <w:rPr>
          <w:noProof/>
        </w:rPr>
        <w:t xml:space="preserve"> ЕФР се предвижда, че поканите за вноски първо оползотворяват сумите, предвидени за предходни ЕФР. Следователно трябва да се отправи покана за внасяне на средства по 10</w:t>
      </w:r>
      <w:r>
        <w:rPr>
          <w:noProof/>
          <w:vertAlign w:val="superscript"/>
        </w:rPr>
        <w:t>-ия</w:t>
      </w:r>
      <w:r>
        <w:rPr>
          <w:noProof/>
        </w:rPr>
        <w:t xml:space="preserve"> ЕФР.</w:t>
      </w:r>
    </w:p>
    <w:p>
      <w:pPr>
        <w:pStyle w:val="ManualConsidrant"/>
        <w:rPr>
          <w:noProof/>
          <w:szCs w:val="24"/>
        </w:rPr>
      </w:pPr>
      <w:r>
        <w:t>(4)</w:t>
      </w:r>
      <w:r>
        <w:tab/>
      </w:r>
      <w:r>
        <w:rPr>
          <w:noProof/>
        </w:rPr>
        <w:t>По предложение на Комисията Съветът прие на 24 ноември 2015 г. решение, с което определи горната граница на годишния размер на вноските на държавите членки за ЕФР за 2016 г. на 3 450 000 000 EUR за Комисията и на 150 000 000 EUR за Европейската инвестиционна банка</w:t>
      </w:r>
      <w:r>
        <w:rPr>
          <w:rStyle w:val="FootnoteReference"/>
          <w:noProof/>
        </w:rPr>
        <w:footnoteReference w:id="8"/>
      </w:r>
      <w:r>
        <w:rPr>
          <w:noProof/>
        </w:rPr>
        <w:t xml:space="preserve">. </w:t>
      </w:r>
    </w:p>
    <w:p>
      <w:pPr>
        <w:pStyle w:val="ManualConsidrant"/>
        <w:rPr>
          <w:noProof/>
          <w:szCs w:val="24"/>
        </w:rPr>
      </w:pPr>
      <w:r>
        <w:t>(5)</w:t>
      </w:r>
      <w:r>
        <w:tab/>
      </w:r>
      <w:r>
        <w:rPr>
          <w:noProof/>
        </w:rPr>
        <w:t>На 12 декември 2013 г. Съветът прие създаването на преходния инструмент, свързан с преходни мерки за управление на ЕФР за периода от 1 януари 2014 г. до влизането в сила на 11</w:t>
      </w:r>
      <w:r>
        <w:rPr>
          <w:noProof/>
          <w:vertAlign w:val="superscript"/>
        </w:rPr>
        <w:t>-ия</w:t>
      </w:r>
      <w:r>
        <w:rPr>
          <w:noProof/>
        </w:rPr>
        <w:t xml:space="preserve"> Европейски фонд за развитие</w:t>
      </w:r>
      <w:r>
        <w:rPr>
          <w:rStyle w:val="FootnoteReference"/>
          <w:noProof/>
        </w:rPr>
        <w:footnoteReference w:id="9"/>
      </w:r>
      <w:r>
        <w:rPr>
          <w:noProof/>
        </w:rPr>
        <w:t xml:space="preserve">. </w:t>
      </w:r>
    </w:p>
    <w:p>
      <w:pPr>
        <w:pStyle w:val="Formuledadoption"/>
        <w:spacing w:before="480"/>
        <w:rPr>
          <w:noProof/>
        </w:rPr>
      </w:pPr>
      <w:r>
        <w:rPr>
          <w:noProof/>
        </w:rPr>
        <w:t xml:space="preserve">ПРИЕ НАСТОЯЩОТО РЕШЕНИЕ: </w:t>
      </w:r>
    </w:p>
    <w:p>
      <w:pPr>
        <w:pStyle w:val="Titrearticle"/>
        <w:rPr>
          <w:noProof/>
        </w:rPr>
      </w:pPr>
      <w:r>
        <w:rPr>
          <w:noProof/>
        </w:rPr>
        <w:t>Член 1</w:t>
      </w:r>
    </w:p>
    <w:p>
      <w:pPr>
        <w:rPr>
          <w:noProof/>
        </w:rPr>
      </w:pPr>
      <w:r>
        <w:rPr>
          <w:noProof/>
        </w:rPr>
        <w:t>Отделните вноски за Европейския фонд за развитие, които държавите членки трябва да платят на Европейската комисия и на Европейската инвестиционна банка като трета част от вноската за 2016 г., са посочени в таблицата в приложение 1.</w:t>
      </w:r>
    </w:p>
    <w:p>
      <w:pPr>
        <w:rPr>
          <w:noProof/>
        </w:rPr>
      </w:pPr>
      <w:r>
        <w:rPr>
          <w:noProof/>
        </w:rPr>
        <w:t>Плащанията на посочените вноски могат да бъдат комбинирани с корекции, свързани с прилагането на приспадането на средствата, за които са поети задължения по преходния инструмент, в съответствие с план за корекции, съобщен на Комисията от всяка държава членка при приемането на третата част от вноската за 2015 г.</w:t>
      </w:r>
    </w:p>
    <w:p>
      <w:pPr>
        <w:pStyle w:val="Titrearticle"/>
        <w:keepNext w:val="0"/>
        <w:rPr>
          <w:noProof/>
        </w:rPr>
      </w:pPr>
      <w:r>
        <w:rPr>
          <w:noProof/>
        </w:rPr>
        <w:t>Член 2</w:t>
      </w:r>
    </w:p>
    <w:p>
      <w:pPr>
        <w:rPr>
          <w:noProof/>
        </w:rPr>
      </w:pPr>
      <w:r>
        <w:rPr>
          <w:noProof/>
        </w:rPr>
        <w:t>Адресати на настоящото решение са държавите членки.</w:t>
      </w:r>
    </w:p>
    <w:p>
      <w:pPr>
        <w:rPr>
          <w:noProof/>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317, 15.12.2000 г., стр. 3.</w:t>
      </w:r>
    </w:p>
  </w:footnote>
  <w:footnote w:id="2">
    <w:p>
      <w:pPr>
        <w:pStyle w:val="FootnoteText"/>
        <w:rPr>
          <w:lang w:val="pl-PL"/>
        </w:rPr>
      </w:pPr>
      <w:r>
        <w:rPr>
          <w:rStyle w:val="FootnoteReference"/>
        </w:rPr>
        <w:footnoteRef/>
      </w:r>
      <w:r>
        <w:tab/>
        <w:t>ОВ L 210, 6.8.2013 г., стр. 1.</w:t>
      </w:r>
    </w:p>
  </w:footnote>
  <w:footnote w:id="3">
    <w:p>
      <w:pPr>
        <w:pStyle w:val="FootnoteText"/>
        <w:rPr>
          <w:lang w:val="pl-PL"/>
        </w:rPr>
      </w:pPr>
      <w:r>
        <w:rPr>
          <w:rStyle w:val="FootnoteReference"/>
        </w:rPr>
        <w:footnoteRef/>
      </w:r>
      <w:r>
        <w:tab/>
        <w:t>ОВ L 58, 3.3.2015 г., стр. 17—38.</w:t>
      </w:r>
    </w:p>
  </w:footnote>
  <w:footnote w:id="4">
    <w:p>
      <w:pPr>
        <w:pStyle w:val="FootnoteText"/>
        <w:rPr>
          <w:lang w:val="pl-PL"/>
        </w:rPr>
      </w:pPr>
      <w:r>
        <w:rPr>
          <w:rStyle w:val="FootnoteReference"/>
        </w:rPr>
        <w:footnoteRef/>
      </w:r>
      <w:r>
        <w:tab/>
        <w:t>ОВ L 335, 14.12.2013 г., стр. 48—49.</w:t>
      </w:r>
    </w:p>
  </w:footnote>
  <w:footnote w:id="5">
    <w:p>
      <w:pPr>
        <w:pStyle w:val="FootnoteText"/>
        <w:rPr>
          <w:lang w:val="pl-PL"/>
        </w:rPr>
      </w:pPr>
      <w:r>
        <w:rPr>
          <w:rStyle w:val="FootnoteReference"/>
        </w:rPr>
        <w:footnoteRef/>
      </w:r>
      <w:r>
        <w:tab/>
        <w:t>ОВ L 317, 15.12.2000 г., стр. 3.</w:t>
      </w:r>
    </w:p>
  </w:footnote>
  <w:footnote w:id="6">
    <w:p>
      <w:pPr>
        <w:pStyle w:val="FootnoteText"/>
        <w:rPr>
          <w:lang w:val="pl-PL"/>
        </w:rPr>
      </w:pPr>
      <w:r>
        <w:rPr>
          <w:rStyle w:val="FootnoteReference"/>
        </w:rPr>
        <w:footnoteRef/>
      </w:r>
      <w:r>
        <w:tab/>
        <w:t>ОВ L 210, 6.8.2013 г., стр. 1.</w:t>
      </w:r>
    </w:p>
  </w:footnote>
  <w:footnote w:id="7">
    <w:p>
      <w:pPr>
        <w:pStyle w:val="FootnoteText"/>
      </w:pPr>
      <w:r>
        <w:rPr>
          <w:rStyle w:val="FootnoteReference"/>
        </w:rPr>
        <w:footnoteRef/>
      </w:r>
      <w:r>
        <w:tab/>
        <w:t>ОВ L 58, 3.3.2015 г., стр. 17—38.</w:t>
      </w:r>
    </w:p>
  </w:footnote>
  <w:footnote w:id="8">
    <w:p>
      <w:pPr>
        <w:pStyle w:val="FootnoteText"/>
      </w:pPr>
      <w:r>
        <w:rPr>
          <w:rStyle w:val="FootnoteReference"/>
        </w:rPr>
        <w:footnoteRef/>
      </w:r>
      <w:r>
        <w:tab/>
        <w:t>COM/2015/0524 — Междуинституционално досие 2015/0248 (NLE) — CELEX приети актове: 32015D2288.</w:t>
      </w:r>
    </w:p>
  </w:footnote>
  <w:footnote w:id="9">
    <w:p>
      <w:pPr>
        <w:pStyle w:val="FootnoteText"/>
      </w:pPr>
      <w:r>
        <w:rPr>
          <w:rStyle w:val="FootnoteReference"/>
        </w:rPr>
        <w:footnoteRef/>
      </w:r>
      <w:r>
        <w:tab/>
        <w:t>OВ L 335, 14.12.2013 г., Регламент (ЕС) 2015/322 на Съвета от 2 март 2015 г. относно изпълнението на 11–ия европейски фонд за развитие.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568AE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686B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32EA1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90EE76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D8B72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A1E02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1166E82"/>
    <w:lvl w:ilvl="0">
      <w:start w:val="1"/>
      <w:numFmt w:val="decimal"/>
      <w:pStyle w:val="ListNumber"/>
      <w:lvlText w:val="%1."/>
      <w:lvlJc w:val="left"/>
      <w:pPr>
        <w:tabs>
          <w:tab w:val="num" w:pos="360"/>
        </w:tabs>
        <w:ind w:left="360" w:hanging="360"/>
      </w:pPr>
    </w:lvl>
  </w:abstractNum>
  <w:abstractNum w:abstractNumId="7">
    <w:nsid w:val="FFFFFF89"/>
    <w:multiLevelType w:val="singleLevel"/>
    <w:tmpl w:val="F21251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1 12:22: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49C18AD36FB4DBD970DDDBA15AD59B0"/>
    <w:docVar w:name="LW_CROSSREFERENCE" w:val="&lt;UNUSED&gt;"/>
    <w:docVar w:name="LW_DocType" w:val="COM"/>
    <w:docVar w:name="LW_EMISSION" w:val="10.10.2016"/>
    <w:docVar w:name="LW_EMISSION_ISODATE" w:val="2016-10-10"/>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18"/>
    <w:docVar w:name="LW_REF.II.NEW.CP_YEAR" w:val="2016"/>
    <w:docVar w:name="LW_REF.INST.NEW" w:val="COM"/>
    <w:docVar w:name="LW_REF.INST.NEW_ADOPTED" w:val="final"/>
    <w:docVar w:name="LW_REF.INST.NEW_TEXT" w:val="(2016) 651"/>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92?\u1080?\u1085?\u1072?\u1085?\u1089?\u1086?\u1074?\u1080?\u1090?\u1077? \u1074?\u1085?\u1086?\u1089?\u1082?\u1080?, \u1082?\u1086?\u1080?\u1090?\u1086? \u1090?\u1088?\u1103?\u1073?\u1074?\u1072? \u1076?\u1072? \u1073?\u1098?\u1076?\u1072?\u1090? \u1087?\u1083?\u1072?\u1090?\u1077?\u1085?\u1080? \u1086?\u1090? \u1076?\u1098?\u1088?\u1078?\u1072?\u1074?\u1080?\u1090?\u1077? \u1095?\u1083?\u1077?\u1085?\u1082?\u1080? \u1079?\u1072? \u1092?\u1080?\u1085?\u1072?\u1085?\u1089?\u1080?\u1088?\u1072?\u1085?\u1077? \u1085?\u1072? \u1045?\u1074?\u1088?\u1086?\u1087?\u1077?\u1081?\u1089?\u1082?\u1080?\u1103? \u1092?\u1086?\u1085?\u1076? \u1079?\u1072? \u1088?\u1072?\u1079?\u1074?\u1080?\u1090?\u1080?\u1077?, \u1074?\u1082?\u1083?\u1102?\u1095?\u1080?\u1090?\u1077?\u1083?\u1085?\u1086? \u1090?\u1088?\u1077?\u1090?\u1072?\u1090?\u1072? \u1095?\u1072?\u1089?\u1090? \u1086?\u1090? \u1074?\u1085?\u1086?\u1089?\u1082?\u1072?\u1090?\u1072? \u1079?\u1072? 2016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23679">
      <w:bodyDiv w:val="1"/>
      <w:marLeft w:val="0"/>
      <w:marRight w:val="0"/>
      <w:marTop w:val="0"/>
      <w:marBottom w:val="0"/>
      <w:divBdr>
        <w:top w:val="none" w:sz="0" w:space="0" w:color="auto"/>
        <w:left w:val="none" w:sz="0" w:space="0" w:color="auto"/>
        <w:bottom w:val="none" w:sz="0" w:space="0" w:color="auto"/>
        <w:right w:val="none" w:sz="0" w:space="0" w:color="auto"/>
      </w:divBdr>
    </w:div>
    <w:div w:id="682711051">
      <w:bodyDiv w:val="1"/>
      <w:marLeft w:val="0"/>
      <w:marRight w:val="0"/>
      <w:marTop w:val="0"/>
      <w:marBottom w:val="0"/>
      <w:divBdr>
        <w:top w:val="none" w:sz="0" w:space="0" w:color="auto"/>
        <w:left w:val="none" w:sz="0" w:space="0" w:color="auto"/>
        <w:bottom w:val="none" w:sz="0" w:space="0" w:color="auto"/>
        <w:right w:val="none" w:sz="0" w:space="0" w:color="auto"/>
      </w:divBdr>
    </w:div>
    <w:div w:id="1137072034">
      <w:bodyDiv w:val="1"/>
      <w:marLeft w:val="0"/>
      <w:marRight w:val="0"/>
      <w:marTop w:val="0"/>
      <w:marBottom w:val="0"/>
      <w:divBdr>
        <w:top w:val="none" w:sz="0" w:space="0" w:color="auto"/>
        <w:left w:val="none" w:sz="0" w:space="0" w:color="auto"/>
        <w:bottom w:val="none" w:sz="0" w:space="0" w:color="auto"/>
        <w:right w:val="none" w:sz="0" w:space="0" w:color="auto"/>
      </w:divBdr>
    </w:div>
    <w:div w:id="173653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6D033-DB17-4501-885C-08D8AB16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1232</Words>
  <Characters>7036</Characters>
  <Application>Microsoft Office Word</Application>
  <DocSecurity>0</DocSecurity>
  <Lines>152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2016-10-10T13:15:00Z</dcterms:created>
  <dcterms:modified xsi:type="dcterms:W3CDTF">2016-10-11T10:22:00Z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20141001</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