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AF5C8D276A04B53A4AB063A4E89944B" style="width:450.75pt;height:423.7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ind w:right="86"/>
        <w:rPr>
          <w:noProof/>
        </w:rPr>
      </w:pPr>
    </w:p>
    <w:p>
      <w:pPr>
        <w:pStyle w:val="ManualHeading1"/>
        <w:rPr>
          <w:noProof/>
        </w:rPr>
      </w:pPr>
      <w:r>
        <w:rPr>
          <w:noProof/>
        </w:rPr>
        <w:t>1.</w:t>
      </w:r>
      <w:r>
        <w:rPr>
          <w:noProof/>
        </w:rPr>
        <w:tab/>
        <w:t>КОНТЕКСТ НА ПРЕДЛОЖЕНИЕТО</w:t>
      </w:r>
    </w:p>
    <w:p>
      <w:pPr>
        <w:pStyle w:val="Text1"/>
        <w:rPr>
          <w:noProof/>
        </w:rPr>
      </w:pPr>
    </w:p>
    <w:p>
      <w:pPr>
        <w:pStyle w:val="ManualHeading2"/>
        <w:rPr>
          <w:rFonts w:eastAsia="Arial Unicode MS"/>
          <w:noProof/>
          <w:u w:color="000000"/>
          <w:bdr w:val="nil"/>
        </w:rPr>
      </w:pPr>
      <w:r>
        <w:rPr>
          <w:noProof/>
        </w:rPr>
        <w:t>Основания за предложението:</w:t>
      </w:r>
    </w:p>
    <w:p>
      <w:pPr>
        <w:widowControl w:val="0"/>
        <w:shd w:val="clear" w:color="auto" w:fill="FFFFFF"/>
        <w:autoSpaceDE w:val="0"/>
        <w:autoSpaceDN w:val="0"/>
        <w:adjustRightInd w:val="0"/>
        <w:spacing w:before="230" w:after="0" w:line="269" w:lineRule="exact"/>
        <w:ind w:right="86"/>
        <w:rPr>
          <w:noProof/>
        </w:rPr>
      </w:pPr>
      <w:r>
        <w:rPr>
          <w:noProof/>
        </w:rPr>
        <w:t xml:space="preserve">Регламент (ЕС) № 1286/2014 беше приет на 26 ноември 2014 г. с цел повишаване на защитата на инвеститорите на дребно, които инвестират в пакети с инвестиционни продукти на дребно и в основаващи се на застраховане инвестиционни продукти  (ПИПДОЗИП). С него се цели освен това да се възстанови доверието на потребителите в сектора на финансовите услуги след финансовата криза. </w:t>
      </w:r>
    </w:p>
    <w:p>
      <w:pPr>
        <w:widowControl w:val="0"/>
        <w:shd w:val="clear" w:color="auto" w:fill="FFFFFF"/>
        <w:autoSpaceDE w:val="0"/>
        <w:autoSpaceDN w:val="0"/>
        <w:adjustRightInd w:val="0"/>
        <w:spacing w:before="230" w:after="0" w:line="269" w:lineRule="exact"/>
        <w:ind w:right="86"/>
        <w:rPr>
          <w:noProof/>
        </w:rPr>
      </w:pPr>
      <w:r>
        <w:rPr>
          <w:noProof/>
        </w:rPr>
        <w:t xml:space="preserve">За целта с Регламент (ЕС) № 1286/2014 се въвежда задължение създателите на ПИПДОЗИП да спазват единен набор от изисквания за оповестяване на продуктова информация, а инвеститорите на дребно да получават основен информационен документ (ОИД) относно предложените ПИПДОЗИП. Оповестената информация следва да даде възможност на инвеститорите на дребно да разберат по-добре икономическото естество и рисковете от даден продукт и да сравняват различните предложения. Освен това повече прозрачност и хармонизация ще бъде от полза и за вътрешния пазар на финансови услуги, тъй като ще се създадат равнопоставени условия на конкуренция между различните продукти и канали за дистрибуция. </w:t>
      </w:r>
    </w:p>
    <w:p>
      <w:pPr>
        <w:rPr>
          <w:noProof/>
        </w:rPr>
      </w:pPr>
      <w:r>
        <w:rPr>
          <w:noProof/>
        </w:rPr>
        <w:t>С Регламент (ЕС) № 1286/2014 се определят формата и съдържанието на ОИД. С цел допълнително да се стандартизират различните характеристики на ОИД и да бъдат отразени важни различия между отделните видове ПИПДОЗИП, на европейските надзорни органи („ЕНО“: Европейския орган за застраховане и професионално пенсионно осигуряване, Европейския банков органи и Европейския орган за ценни книжа и пазари) беше възложено да изготвят регулаторни технически стандарти, в който се определят представянето и съдържанието на основния информационен документ, стандартизираният формат на основния информационен документ, методиката, залегнала в основата на представянето на риска и възвръщаемостта и изчисляването на разходите, както и условията и минималната честота на преразглеждане на информацията, която се съдържа в основния информационен документ, и условията за изпълнението на изискването за предоставяне на основния информационен документ на инвеститорите на дребно.</w:t>
      </w:r>
    </w:p>
    <w:p>
      <w:pPr>
        <w:rPr>
          <w:noProof/>
        </w:rPr>
      </w:pPr>
      <w:r>
        <w:rPr>
          <w:noProof/>
        </w:rPr>
        <w:t>На 6 април 2016 г. ЕНО съвместно представиха на Комисията проект на регулаторни технически стандарти за основния информационен документ за ПИПДОЗИП. Проектът на регулаторни технически стандарти беше одобрен от Комисията на 30 юни 2016 г. с приемането на Делегиран регламент относно ОИД</w:t>
      </w:r>
      <w:r>
        <w:rPr>
          <w:rStyle w:val="FootnoteReference"/>
          <w:noProof/>
        </w:rPr>
        <w:footnoteReference w:id="1"/>
      </w:r>
      <w:r>
        <w:rPr>
          <w:noProof/>
        </w:rPr>
        <w:t>.</w:t>
      </w:r>
    </w:p>
    <w:p>
      <w:pPr>
        <w:rPr>
          <w:noProof/>
        </w:rPr>
      </w:pPr>
      <w:r>
        <w:rPr>
          <w:noProof/>
        </w:rPr>
        <w:t>По време на периода за контрол Съветът не представи възражение срещу делегирания регламент на Комисията. Той обаче беше отхвърлен от Европейския парламент на 14 септември 2016 г</w:t>
      </w:r>
      <w:r>
        <w:rPr>
          <w:rStyle w:val="FootnoteReference"/>
          <w:noProof/>
        </w:rPr>
        <w:footnoteReference w:id="2"/>
      </w:r>
      <w:r>
        <w:rPr>
          <w:noProof/>
        </w:rPr>
        <w:t xml:space="preserve">. Европейският парламент призова Комисията да преразгледа </w:t>
      </w:r>
      <w:r>
        <w:rPr>
          <w:noProof/>
        </w:rPr>
        <w:lastRenderedPageBreak/>
        <w:t>разпоредбите, свързани с ПИПДОЗИП, включващи набор от възможности, със сценариите за резултатите, както и с предупреждението относно разбирането. Освен това Европейският парламент и мнозинството от държавите членки поискаха от Комисията да отложи датата на прилагането на Регламент (ЕС) № 1286/2014 с аргумента, че липсата на технически стандарти би възпрепятствала неговото ефективно прилагане.</w:t>
      </w:r>
    </w:p>
    <w:p>
      <w:pPr>
        <w:rPr>
          <w:noProof/>
        </w:rPr>
      </w:pPr>
      <w:r>
        <w:rPr>
          <w:noProof/>
        </w:rPr>
        <w:t>Регламент (ЕС) № 1286/2014 е пряко приложим, считано от 31 декември 2016 г., и не обвързва изготвянето на ОИД с приемането на делегирания акт. Въпреки че разпоредбите на регламента биха могли да се прилагат от създателите на ПИПДОЗИП, а компетентните органи да следят за тяхното спазване без приемането на делегирания регламент, желателно е да се осигури възможно най-голяма яснота относно техническите стандарти, с които се уточнява съдържанието на някои правила.</w:t>
      </w:r>
    </w:p>
    <w:p>
      <w:pPr>
        <w:rPr>
          <w:noProof/>
        </w:rPr>
      </w:pPr>
      <w:r>
        <w:rPr>
          <w:noProof/>
        </w:rPr>
        <w:t xml:space="preserve">Поради извънредните обстоятелства, довели до закъснение в приемането на делегирания регламент, Комисията предлага датата на прилагане на Регламент (ЕС) № 1286/2014 да се отложи с 12 месеца, за да се намали правната несигурност и да се даде повече време на създателите на ПИПДОЗИП да се подготвят за прилагането на новите правила. </w:t>
      </w:r>
    </w:p>
    <w:p>
      <w:pPr>
        <w:rPr>
          <w:noProof/>
        </w:rPr>
      </w:pPr>
    </w:p>
    <w:p>
      <w:pPr>
        <w:pStyle w:val="ManualHeading2"/>
        <w:rPr>
          <w:rFonts w:eastAsia="Arial Unicode MS"/>
          <w:noProof/>
          <w:u w:color="000000"/>
          <w:bdr w:val="nil"/>
        </w:rPr>
      </w:pPr>
      <w:r>
        <w:rPr>
          <w:noProof/>
        </w:rPr>
        <w:t>Срок на отлагането</w:t>
      </w:r>
    </w:p>
    <w:p>
      <w:pPr>
        <w:widowControl w:val="0"/>
        <w:shd w:val="clear" w:color="auto" w:fill="FFFFFF"/>
        <w:autoSpaceDE w:val="0"/>
        <w:autoSpaceDN w:val="0"/>
        <w:adjustRightInd w:val="0"/>
        <w:spacing w:before="230" w:after="0" w:line="269" w:lineRule="exact"/>
        <w:ind w:right="86"/>
        <w:rPr>
          <w:noProof/>
        </w:rPr>
      </w:pPr>
      <w:r>
        <w:rPr>
          <w:noProof/>
        </w:rPr>
        <w:t xml:space="preserve">Отлагането с дванадесет месеца би осигурило достатъчно време на компетентните органи и на създателите на ПИПДОЗИП да се подготвят за прилагането на тези нови правила. </w:t>
      </w:r>
    </w:p>
    <w:p>
      <w:pPr>
        <w:widowControl w:val="0"/>
        <w:shd w:val="clear" w:color="auto" w:fill="FFFFFF"/>
        <w:autoSpaceDE w:val="0"/>
        <w:autoSpaceDN w:val="0"/>
        <w:adjustRightInd w:val="0"/>
        <w:spacing w:before="230" w:after="0" w:line="269" w:lineRule="exact"/>
        <w:ind w:right="86"/>
        <w:rPr>
          <w:noProof/>
        </w:rPr>
      </w:pP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p>
    <w:p>
      <w:pPr>
        <w:pStyle w:val="ManualHeading2"/>
        <w:rPr>
          <w:rFonts w:eastAsia="Arial Unicode MS"/>
          <w:noProof/>
          <w:u w:color="000000"/>
          <w:bdr w:val="nil"/>
        </w:rPr>
      </w:pPr>
      <w:r>
        <w:rPr>
          <w:noProof/>
        </w:rPr>
        <w:t>Правно основание</w:t>
      </w:r>
    </w:p>
    <w:p>
      <w:pPr>
        <w:widowControl w:val="0"/>
        <w:shd w:val="clear" w:color="auto" w:fill="FFFFFF"/>
        <w:autoSpaceDE w:val="0"/>
        <w:autoSpaceDN w:val="0"/>
        <w:adjustRightInd w:val="0"/>
        <w:spacing w:before="230" w:after="0" w:line="269" w:lineRule="exact"/>
        <w:ind w:right="86"/>
        <w:rPr>
          <w:noProof/>
        </w:rPr>
      </w:pPr>
      <w:r>
        <w:rPr>
          <w:noProof/>
        </w:rPr>
        <w:t xml:space="preserve">Както настоящото предложение, така и Регламент (ЕС) № 1286/2014, който настоящото предложение има за цел да измени, се основават на член 114 от Договора за функционирането на Европейския съюз.  </w:t>
      </w:r>
    </w:p>
    <w:p>
      <w:pPr>
        <w:widowControl w:val="0"/>
        <w:shd w:val="clear" w:color="auto" w:fill="FFFFFF"/>
        <w:autoSpaceDE w:val="0"/>
        <w:autoSpaceDN w:val="0"/>
        <w:adjustRightInd w:val="0"/>
        <w:spacing w:before="230" w:after="0" w:line="269" w:lineRule="exact"/>
        <w:ind w:right="86"/>
        <w:rPr>
          <w:noProof/>
        </w:rPr>
      </w:pPr>
    </w:p>
    <w:p>
      <w:pPr>
        <w:pStyle w:val="ManualHeading2"/>
        <w:rPr>
          <w:rFonts w:eastAsia="Arial Unicode MS"/>
          <w:noProof/>
          <w:u w:color="000000"/>
          <w:bdr w:val="nil"/>
        </w:rPr>
      </w:pPr>
      <w:r>
        <w:rPr>
          <w:noProof/>
        </w:rPr>
        <w:t xml:space="preserve">Субсидиарност (при неизключителна компетентност) </w:t>
      </w:r>
    </w:p>
    <w:p>
      <w:pPr>
        <w:widowControl w:val="0"/>
        <w:shd w:val="clear" w:color="auto" w:fill="FFFFFF"/>
        <w:autoSpaceDE w:val="0"/>
        <w:autoSpaceDN w:val="0"/>
        <w:adjustRightInd w:val="0"/>
        <w:spacing w:before="230" w:after="0" w:line="269" w:lineRule="exact"/>
        <w:ind w:right="86"/>
        <w:rPr>
          <w:noProof/>
        </w:rPr>
      </w:pPr>
      <w:r>
        <w:rPr>
          <w:noProof/>
        </w:rPr>
        <w:t>Съгласно принципа на субсидиарност действия на равнището на Съюза могат да бъдат предприети само когато поставените цели не могат да бъдат постигнати индивидуално от държавите членки. Действие на Съюза е необходимо, за да се премахнат пречките пред вътрешния пазар на финансови услуги и продукти, като се въведе уеднаквен подход към оповестяванeто във връзка с ПИПДОЗИП. В това отношение законодателните актове, които се изменят, се приемат в пълно съответствие с принципа на субсидиарност и всяко тяхно изменение трябва да се извършва чрез предложение на Комисията.</w:t>
      </w:r>
    </w:p>
    <w:p>
      <w:pPr>
        <w:pStyle w:val="ManualHeading2"/>
        <w:rPr>
          <w:rFonts w:eastAsia="Arial Unicode MS"/>
          <w:noProof/>
          <w:u w:color="000000"/>
          <w:bdr w:val="nil"/>
        </w:rPr>
      </w:pPr>
    </w:p>
    <w:p>
      <w:pPr>
        <w:pStyle w:val="ManualHeading2"/>
        <w:rPr>
          <w:rFonts w:eastAsia="Arial Unicode MS"/>
          <w:noProof/>
          <w:u w:color="000000"/>
          <w:bdr w:val="nil"/>
        </w:rPr>
      </w:pPr>
      <w:r>
        <w:rPr>
          <w:noProof/>
        </w:rPr>
        <w:t>Пропорционалност</w:t>
      </w:r>
    </w:p>
    <w:p>
      <w:pPr>
        <w:widowControl w:val="0"/>
        <w:shd w:val="clear" w:color="auto" w:fill="FFFFFF"/>
        <w:autoSpaceDE w:val="0"/>
        <w:autoSpaceDN w:val="0"/>
        <w:adjustRightInd w:val="0"/>
        <w:spacing w:before="230" w:after="0" w:line="269" w:lineRule="exact"/>
        <w:ind w:right="86"/>
        <w:rPr>
          <w:noProof/>
        </w:rPr>
      </w:pPr>
      <w:r>
        <w:rPr>
          <w:noProof/>
        </w:rPr>
        <w:t>Това действие на Съюза е необходимо за постигането на целта за ефективно прилагане на правилата за ПИПДОЗИП от компетентните органи и от създателите на ПИПДОЗИП. Поради това настоящото предложение ще осигури постигането на целите на Регламент (ЕС) № 1286/2014 в рамките на вътрешния пазар, като се постигне високо равнище на прозрачност на пазара и защита на инвеститорите на дребно.</w:t>
      </w:r>
    </w:p>
    <w:p>
      <w:pPr>
        <w:widowControl w:val="0"/>
        <w:shd w:val="clear" w:color="auto" w:fill="FFFFFF"/>
        <w:autoSpaceDE w:val="0"/>
        <w:autoSpaceDN w:val="0"/>
        <w:adjustRightInd w:val="0"/>
        <w:spacing w:before="230" w:after="0" w:line="269" w:lineRule="exact"/>
        <w:ind w:right="86"/>
        <w:rPr>
          <w:noProof/>
        </w:rPr>
      </w:pP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Text1"/>
        <w:rPr>
          <w:noProof/>
        </w:rPr>
      </w:pPr>
    </w:p>
    <w:p>
      <w:pPr>
        <w:widowControl w:val="0"/>
        <w:shd w:val="clear" w:color="auto" w:fill="FFFFFF"/>
        <w:autoSpaceDE w:val="0"/>
        <w:autoSpaceDN w:val="0"/>
        <w:adjustRightInd w:val="0"/>
        <w:spacing w:before="230" w:after="0" w:line="269" w:lineRule="exact"/>
        <w:ind w:right="86"/>
        <w:rPr>
          <w:noProof/>
        </w:rPr>
      </w:pPr>
      <w:r>
        <w:rPr>
          <w:noProof/>
        </w:rPr>
        <w:t>Към настоящото предложение не е приложена оценка на въздействието, тъй като такава беше вече извършена във връзка с Регламент (ЕС) № 1286/2014. Настоящото предложение не променя същността на регламента и не създава нови задължения за пазарните участници, които попадат в неговия обхват. То се отнася само за отлагане с 12 месеца на датата на влизане в сила на Регламент (ЕС) № 1286/2014 с цел да се осигури правна сигурност за сектора и да се позволи на компетентните органи да се подготвят за новите правила.</w:t>
      </w:r>
    </w:p>
    <w:p>
      <w:pPr>
        <w:pBdr>
          <w:top w:val="nil"/>
          <w:left w:val="nil"/>
          <w:bottom w:val="nil"/>
          <w:right w:val="nil"/>
          <w:between w:val="nil"/>
          <w:bar w:val="nil"/>
        </w:pBdr>
        <w:spacing w:before="0" w:after="240"/>
        <w:rPr>
          <w:rFonts w:eastAsia="Arial Unicode MS"/>
          <w:noProof/>
          <w:u w:color="000000"/>
          <w:bdr w:val="nil"/>
        </w:rPr>
      </w:pPr>
      <w:r>
        <w:rPr>
          <w:noProof/>
        </w:rPr>
        <w:t xml:space="preserve"> </w:t>
      </w:r>
    </w:p>
    <w:p>
      <w:pPr>
        <w:pStyle w:val="ManualHeading1"/>
        <w:rPr>
          <w:noProof/>
        </w:rPr>
      </w:pPr>
      <w:r>
        <w:rPr>
          <w:noProof/>
        </w:rPr>
        <w:t>4.</w:t>
      </w:r>
      <w:r>
        <w:rPr>
          <w:noProof/>
        </w:rPr>
        <w:tab/>
        <w:t>ОТРАЖЕНИЕ ВЪРХУ БЮДЖЕТА</w:t>
      </w:r>
    </w:p>
    <w:p>
      <w:pPr>
        <w:widowControl w:val="0"/>
        <w:shd w:val="clear" w:color="auto" w:fill="FFFFFF"/>
        <w:autoSpaceDE w:val="0"/>
        <w:autoSpaceDN w:val="0"/>
        <w:adjustRightInd w:val="0"/>
        <w:spacing w:before="230" w:after="0" w:line="269" w:lineRule="exact"/>
        <w:ind w:right="86"/>
        <w:rPr>
          <w:noProof/>
        </w:rPr>
      </w:pPr>
      <w:r>
        <w:rPr>
          <w:noProof/>
        </w:rPr>
        <w:t>Предложението няма въздействие върху бюджета на Европейската комисия.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2016/0355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1286/2014 на Европейския парламент и на Съвета относно основните информационни документи за пакети с инвестиционни продукти на дребно и основаващи се на застраховане инвестиционни продукти, по отношение на датата на прилагане на регламента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 предвид Договора за функционирането на Европейския съюз, и по-специално член 114 от него,</w:t>
      </w:r>
    </w:p>
    <w:p>
      <w:pPr>
        <w:rPr>
          <w:noProof/>
        </w:rPr>
      </w:pPr>
      <w:r>
        <w:rPr>
          <w:noProof/>
        </w:rPr>
        <w:t>като взе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Европейската централна банка,</w:t>
      </w:r>
    </w:p>
    <w:p>
      <w:pPr>
        <w:rPr>
          <w:noProof/>
        </w:rPr>
      </w:pPr>
      <w:r>
        <w:rPr>
          <w:noProof/>
        </w:rPr>
        <w:t>като взеха предвид становището на Европейския икономически и социален комитет,</w:t>
      </w:r>
    </w:p>
    <w:p>
      <w:pPr>
        <w:rPr>
          <w:noProof/>
        </w:rPr>
      </w:pPr>
      <w:r>
        <w:rPr>
          <w:noProof/>
        </w:rPr>
        <w:t>в съответствие с обикновената законодателна процедура,</w:t>
      </w:r>
    </w:p>
    <w:p>
      <w:pPr>
        <w:rPr>
          <w:noProof/>
        </w:rPr>
      </w:pPr>
      <w:r>
        <w:rPr>
          <w:noProof/>
        </w:rPr>
        <w:t>като има предвид, че:</w:t>
      </w:r>
    </w:p>
    <w:p>
      <w:pPr>
        <w:pStyle w:val="ManualConsidrant"/>
        <w:rPr>
          <w:noProof/>
        </w:rPr>
      </w:pPr>
      <w:r>
        <w:t>(1)</w:t>
      </w:r>
      <w:r>
        <w:tab/>
      </w:r>
      <w:r>
        <w:rPr>
          <w:noProof/>
        </w:rPr>
        <w:t>С Регламент (ЕС) № 1286/2014 на Европейския парламент и на Съвета</w:t>
      </w:r>
      <w:r>
        <w:rPr>
          <w:rStyle w:val="FootnoteReference"/>
          <w:noProof/>
        </w:rPr>
        <w:footnoteReference w:id="3"/>
      </w:r>
      <w:r>
        <w:rPr>
          <w:noProof/>
        </w:rPr>
        <w:t xml:space="preserve"> бяха въведени редица мерки за подобряване на защитата на инвеститорите и възстановяване на доверието на потребителите в сектора на финансовите услуги чрез повишаване на прозрачността на пазара за инвестиционни продукти на дребно. С него се въвежда задължението създателите на пакети с инвестиционни продукти на дребно и основаващи се на застраховане инвестиционни продукти (ПИПДОЗИП) да изготвят основен информационен документ (ОИД).</w:t>
      </w:r>
    </w:p>
    <w:p>
      <w:pPr>
        <w:pStyle w:val="ManualConsidrant"/>
        <w:rPr>
          <w:noProof/>
        </w:rPr>
      </w:pPr>
      <w:r>
        <w:t>(2)</w:t>
      </w:r>
      <w:r>
        <w:tab/>
      </w:r>
      <w:r>
        <w:rPr>
          <w:noProof/>
        </w:rPr>
        <w:t>С Регламент (ЕС) № 1286/2014 на европейските надзорни органи се предоставят правомощия да изготвят регулаторни технически стандарти, с които се уточняват елементите на ОИД.</w:t>
      </w:r>
    </w:p>
    <w:p>
      <w:pPr>
        <w:pStyle w:val="ManualConsidrant"/>
        <w:rPr>
          <w:noProof/>
        </w:rPr>
      </w:pPr>
      <w:r>
        <w:t>(3)</w:t>
      </w:r>
      <w:r>
        <w:tab/>
      </w:r>
      <w:r>
        <w:rPr>
          <w:noProof/>
        </w:rPr>
        <w:t>На 30 юни 2016 г. Комисията прие делегиран регламент</w:t>
      </w:r>
      <w:r>
        <w:rPr>
          <w:rStyle w:val="FootnoteReference"/>
          <w:noProof/>
        </w:rPr>
        <w:footnoteReference w:id="4"/>
      </w:r>
      <w:r>
        <w:rPr>
          <w:noProof/>
        </w:rPr>
        <w:t>, в който се определя представянето и съдържанието на основния информационен документ, стандартизираният формат на основния информационен документ, методиката, залегнала в основата на представянето на риска и възвръщаемостта и изчисляването на разходите, както и условията и минималната честота на преразглеждане на информацията, която се съдържа в основния информационен документ, и условията за изпълнението на изискването за предоставяне на основния информационен документ на инвеститорите на дребно.</w:t>
      </w:r>
    </w:p>
    <w:p>
      <w:pPr>
        <w:pStyle w:val="ManualConsidrant"/>
        <w:rPr>
          <w:noProof/>
        </w:rPr>
      </w:pPr>
      <w:r>
        <w:t>(4)</w:t>
      </w:r>
      <w:r>
        <w:tab/>
      </w:r>
      <w:r>
        <w:rPr>
          <w:noProof/>
        </w:rPr>
        <w:t xml:space="preserve">Европейският парламент отхвърли делегирания регламент, приет от Комисията на 30 юни 2016 г., и призова, както и мнозинството от държавите членки, за отлагане на датата на прилагане на Регламент (ЕС) № 1286/2014. </w:t>
      </w:r>
    </w:p>
    <w:p>
      <w:pPr>
        <w:pStyle w:val="ManualConsidrant"/>
        <w:rPr>
          <w:noProof/>
        </w:rPr>
      </w:pPr>
      <w:r>
        <w:t>(5)</w:t>
      </w:r>
      <w:r>
        <w:tab/>
      </w:r>
      <w:r>
        <w:rPr>
          <w:noProof/>
        </w:rPr>
        <w:t xml:space="preserve">Отлагането с дванадесет месеца ще даде допълнително време на засегнатите страни да се подготвят за спазването на новите изисквания. С оглед на тези извънредни обстоятелства е подходящо и обосновано Регламент (ЕС) № 1286/2014 да бъде съответно изменен. </w:t>
      </w:r>
    </w:p>
    <w:p>
      <w:pPr>
        <w:pStyle w:val="ManualConsidrant"/>
        <w:rPr>
          <w:noProof/>
        </w:rPr>
      </w:pPr>
      <w:r>
        <w:t>(6)</w:t>
      </w:r>
      <w:r>
        <w:tab/>
      </w:r>
      <w:r>
        <w:rPr>
          <w:noProof/>
        </w:rPr>
        <w:t xml:space="preserve">Предвид много краткия период, оставащ преди началната дата на прилагане на разпоредбите, установена в Регламент (ЕС) № 1286/2014, настоящият регламент следва да влезе в сила незабавно. </w:t>
      </w:r>
    </w:p>
    <w:p>
      <w:pPr>
        <w:pStyle w:val="ManualConsidrant"/>
        <w:rPr>
          <w:noProof/>
        </w:rPr>
      </w:pPr>
      <w:r>
        <w:t>(7)</w:t>
      </w:r>
      <w:r>
        <w:tab/>
      </w:r>
      <w:r>
        <w:rPr>
          <w:noProof/>
        </w:rPr>
        <w:t>Следователно в този случай е оправдано да се приложи изключението за неотложни случаи, предвидено в член 4 от Протокол № 1 относно ролята на националните парламенти в Европейския съюз,</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Член 34, втора алинея от Регламент (ЕС) № 1286/2014 се заменя както следва:</w:t>
      </w:r>
    </w:p>
    <w:p>
      <w:pPr>
        <w:ind w:firstLine="720"/>
        <w:rPr>
          <w:noProof/>
        </w:rPr>
      </w:pPr>
      <w:r>
        <w:rPr>
          <w:noProof/>
        </w:rPr>
        <w:t>„Той се прилага от 1 януари 2018 г.“</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keepNext/>
        <w:rPr>
          <w:noProof/>
        </w:rPr>
      </w:pPr>
      <w:r>
        <w:rPr>
          <w:noProof/>
        </w:rPr>
        <w:t>Председател</w:t>
      </w:r>
      <w:r>
        <w:rPr>
          <w:noProof/>
        </w:rPr>
        <w:tab/>
        <w:t>Председател</w:t>
      </w:r>
    </w:p>
    <w:p>
      <w:pPr>
        <w:pStyle w:val="Personnequisigne"/>
        <w:rPr>
          <w:noProof/>
        </w:rPr>
      </w:pPr>
      <w:r>
        <w:rPr>
          <w:noProof/>
        </w:rPr>
        <w:t>Мартин Шулц</w:t>
      </w:r>
      <w:r>
        <w:rPr>
          <w:noProof/>
        </w:rPr>
        <w:tab/>
      </w:r>
      <w:bookmarkStart w:id="1" w:name="_InMacro_"/>
      <w:bookmarkEnd w:id="1"/>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С(2016) 3999 final.</w:t>
      </w:r>
    </w:p>
  </w:footnote>
  <w:footnote w:id="2">
    <w:p>
      <w:pPr>
        <w:pStyle w:val="FootnoteText"/>
      </w:pPr>
      <w:r>
        <w:rPr>
          <w:rStyle w:val="FootnoteReference"/>
        </w:rPr>
        <w:footnoteRef/>
      </w:r>
      <w:r>
        <w:tab/>
        <w:t xml:space="preserve">Резолюция на Европейския парламент от 14 септември 2016 г. относно Делегиран регламент на Комисията от 30 юни 2016 г. за допълване на (ЕС) № 1286/2014 на Европейския парламент и на </w:t>
      </w:r>
      <w:r>
        <w:br/>
        <w:t xml:space="preserve">Съвета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чрез определяне на регулаторните технически стандарти за представянето, съдържанието, преразглеждането и изменението на основните </w:t>
      </w:r>
      <w:r>
        <w:br/>
        <w:t>информационни документи, както и за условията за изпълнение на изискването за предоставяне на тези документи  (C(2016)03999 – 2016/2816(DEA)</w:t>
      </w:r>
    </w:p>
  </w:footnote>
  <w:footnote w:id="3">
    <w:p>
      <w:pPr>
        <w:pStyle w:val="FootnoteText"/>
      </w:pPr>
      <w:r>
        <w:rPr>
          <w:rStyle w:val="FootnoteReference"/>
        </w:rPr>
        <w:footnoteRef/>
      </w:r>
      <w:r>
        <w:tab/>
        <w:t>Регламент (ЕС) № 1286/2014 на Европейския парламент и на Съвета от 26 ноември 2014 г.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(ОВ L 352, 9.12.2014 г., стр. 1).</w:t>
      </w:r>
    </w:p>
  </w:footnote>
  <w:footnote w:id="4">
    <w:p>
      <w:pPr>
        <w:pStyle w:val="FootnoteText"/>
      </w:pPr>
      <w:r>
        <w:rPr>
          <w:rStyle w:val="FootnoteReference"/>
        </w:rPr>
        <w:footnoteRef/>
      </w:r>
      <w:r>
        <w:tab/>
        <w:t>С(2016) 3999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F458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A035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26AB6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A02A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B85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10A2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BA9B58"/>
    <w:lvl w:ilvl="0">
      <w:start w:val="1"/>
      <w:numFmt w:val="decimal"/>
      <w:pStyle w:val="ListNumber"/>
      <w:lvlText w:val="%1."/>
      <w:lvlJc w:val="left"/>
      <w:pPr>
        <w:tabs>
          <w:tab w:val="num" w:pos="360"/>
        </w:tabs>
        <w:ind w:left="360" w:hanging="360"/>
      </w:pPr>
    </w:lvl>
  </w:abstractNum>
  <w:abstractNum w:abstractNumId="7">
    <w:nsid w:val="FFFFFF89"/>
    <w:multiLevelType w:val="singleLevel"/>
    <w:tmpl w:val="7B82CD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11 16:29: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AF5C8D276A04B53A4AB063A4E89944B"/>
    <w:docVar w:name="LW_CROSSREFERENCE" w:val="&lt;UNUSED&gt;"/>
    <w:docVar w:name="LW_DocType" w:val="COM"/>
    <w:docVar w:name="LW_EMISSION" w:val="9.11.2016"/>
    <w:docVar w:name="LW_EMISSION_ISODATE" w:val="2016-11-0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5"/>
    <w:docVar w:name="LW_REF.II.NEW.CP_YEAR" w:val="2016"/>
    <w:docVar w:name="LW_REF.INST.NEW" w:val="COM"/>
    <w:docVar w:name="LW_REF.INST.NEW_ADOPTED" w:val="final"/>
    <w:docVar w:name="LW_REF.INST.NEW_TEXT" w:val="(2016) 709"/>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286/2014 \u1085?\u1072? \u1045?\u1074?\u1088?\u1086?\u1087?\u1077?\u1081?\u1089?\u1082?\u1080?\u1103? \u1087?\u1072?\u1088?\u1083?\u1072?\u1084?\u1077?\u1085?\u1090? \u1080? \u1085?\u1072? \u1057?\u1098?\u1074?\u1077?\u1090?\u1072? \u1086?\u1090?\u1085?\u1086?\u1089?\u1085?\u1086? \u1086?\u1089?\u1085?\u1086?\u1074?\u1085?\u1080?\u1090?\u1077? \u1080?\u1085?\u1092?\u1086?\u1088?\u1084?\u1072?\u1094?\u1080?\u1086?\u1085?\u1085?\u1080? \u1076?\u1086?\u1082?\u1091?\u1084?\u1077?\u1085?\u1090?\u1080? \u1079?\u1072? \u1087?\u1072?\u1082?\u1077?\u1090?\u1080? \u1089? \u1080?\u1085?\u1074?\u1077?\u1089?\u1090?\u1080?\u1094?\u1080?\u1086?\u1085?\u1085?\u1080? \u1087?\u1088?\u1086?\u1076?\u1091?\u1082?\u1090?\u1080? \u1085?\u1072? \u1076?\u1088?\u1077?\u1073?\u1085?\u1086? \u1080? \u1086?\u1089?\u1085?\u1086?\u1074?\u1072?\u1074?\u1072?\u1097?\u1080? \u1089?\u1077? \u1085?\u1072? \u1079?\u1072?\u1089?\u1090?\u1088?\u1072?\u1093?\u1086?\u1074?\u1072?\u1085?\u1077? \u1080?\u1085?\u1074?\u1077?\u1089?\u1090?\u1080?\u1094?\u1080?\u1086?\u1085?\u1085?\u1080? \u1087?\u1088?\u1086?\u1076?\u1091?\u1082?\u1090?\u1080?, \u1087?\u1086? \u1086?\u1090?\u1085?\u1086?\u1096?\u1077?\u1085?\u1080?\u1077? \u1085?\u1072? \u1076?\u1072?\u1090?\u1072?\u1090?\u1072? \u1085?\u1072? \u1087?\u1088?\u1080?\u1083?\u1072?\u1075?\u1072?\u1085?\u1077? \u1085?\u1072? \u1088?\u1077?\u1075?\u1083?\u1072?\u1084?\u1077?\u1085?\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before="0" w:after="240"/>
      <w:ind w:left="720"/>
      <w:contextualSpacing/>
    </w:pPr>
    <w:rPr>
      <w:rFonts w:eastAsia="Times New Roman"/>
      <w:szCs w:val="20"/>
    </w:rPr>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first-name">
    <w:name w:val="first-name"/>
    <w:basedOn w:val="DefaultParagraphFont"/>
  </w:style>
  <w:style w:type="character" w:customStyle="1" w:styleId="last-name">
    <w:name w:val="last-name"/>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before="0" w:after="240"/>
      <w:ind w:left="720"/>
      <w:contextualSpacing/>
    </w:pPr>
    <w:rPr>
      <w:rFonts w:eastAsia="Times New Roman"/>
      <w:szCs w:val="20"/>
    </w:rPr>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first-name">
    <w:name w:val="first-name"/>
    <w:basedOn w:val="DefaultParagraphFont"/>
  </w:style>
  <w:style w:type="character" w:customStyle="1" w:styleId="last-name">
    <w:name w:val="last-name"/>
    <w:basedOn w:val="DefaultParagraphFon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F4E42-CBA2-4ADA-B04B-983844E1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1363</Words>
  <Characters>8101</Characters>
  <Application>Microsoft Office Word</Application>
  <DocSecurity>0</DocSecurity>
  <Lines>168</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2016-10-21T09:38:00Z</cp:lastPrinted>
  <dcterms:created xsi:type="dcterms:W3CDTF">2016-11-11T11:16:00Z</dcterms:created>
  <dcterms:modified xsi:type="dcterms:W3CDTF">2016-11-11T15:29:00Z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