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B392D71F5E47B5B7E49AB6840C3A4A" style="width:450.35pt;height:321.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СЪДЪРЖАНИЕ</w:t>
      </w:r>
    </w:p>
    <w:p>
      <w:pPr>
        <w:spacing w:after="0"/>
        <w:rPr>
          <w:rFonts w:ascii="Times New Roman" w:hAnsi="Times New Roman"/>
          <w:noProof/>
          <w:sz w:val="24"/>
          <w:szCs w:val="24"/>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65332572"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_Toc465332572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332573"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_Toc465332573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332574"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Коментар относно предварителните данни за изпълнението на бюджета на ЕФГЗ за 2016 г.</w:t>
        </w:r>
        <w:r>
          <w:rPr>
            <w:noProof/>
            <w:webHidden/>
          </w:rPr>
          <w:tab/>
        </w:r>
        <w:r>
          <w:rPr>
            <w:noProof/>
            <w:webHidden/>
          </w:rPr>
          <w:fldChar w:fldCharType="begin"/>
        </w:r>
        <w:r>
          <w:rPr>
            <w:noProof/>
            <w:webHidden/>
          </w:rPr>
          <w:instrText xml:space="preserve"> PAGEREF _Toc465332574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332575"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Усвояване на целевите приходи, предназначени за ЕФГЗ</w:t>
        </w:r>
        <w:r>
          <w:rPr>
            <w:noProof/>
            <w:webHidden/>
          </w:rPr>
          <w:tab/>
        </w:r>
        <w:r>
          <w:rPr>
            <w:noProof/>
            <w:webHidden/>
          </w:rPr>
          <w:fldChar w:fldCharType="begin"/>
        </w:r>
        <w:r>
          <w:rPr>
            <w:noProof/>
            <w:webHidden/>
          </w:rPr>
          <w:instrText xml:space="preserve"> PAGEREF _Toc465332575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332576"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_Toc465332576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Приложение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 xml:space="preserve">Предварителни данни за усвояването на бюджетни кредити по линия на ЕФГЗ към 31.8.2016 </w:t>
            </w:r>
            <w:r>
              <w:rPr>
                <w:rFonts w:ascii="Times New Roman" w:hAnsi="Times New Roman"/>
                <w:smallCaps/>
                <w:noProof/>
                <w:sz w:val="16"/>
                <w:szCs w:val="16"/>
              </w:rPr>
              <w:t>г</w:t>
            </w:r>
            <w:r>
              <w:rPr>
                <w:rFonts w:ascii="Times New Roman" w:hAnsi="Times New Roman"/>
                <w:smallCaps/>
                <w:noProof/>
              </w:rPr>
              <w:t>.</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54380089"/>
      <w:bookmarkStart w:id="3" w:name="_Toc465332572"/>
      <w:bookmarkStart w:id="4" w:name="_Toc244054013"/>
      <w:r>
        <w:rPr>
          <w:noProof/>
        </w:rPr>
        <w:t>Въведение</w:t>
      </w:r>
      <w:bookmarkEnd w:id="2"/>
      <w:bookmarkEnd w:id="3"/>
    </w:p>
    <w:p>
      <w:pPr>
        <w:pStyle w:val="Text1"/>
        <w:rPr>
          <w:noProof/>
        </w:rPr>
      </w:pPr>
      <w:r>
        <w:rPr>
          <w:noProof/>
        </w:rPr>
        <w:t>В настоящия доклад е представена актуализация на предварителните данни за изпълнението на бюджета по линия на Европейския фонд за гарантиране на земеделието (ЕФГЗ) за 2016 г. По-специално в приложение 1 се съдържа сравнение между реалното равнище на изпълнението на бюджета на ЕФГЗ за периода от 16 октомври 2015 г. до 31 август 2016 г. и прогнозния профил на разходите. Този профил е получен чрез прилагане на показателя към равнището на бюджетните кредити. Показателят е установен въз основа на разпоредбите на член 28 от Регламент (ЕС) № 1306/2013 относно финансирането, управлението и мониторинга на общата селскостопанска политика</w:t>
      </w:r>
      <w:r>
        <w:rPr>
          <w:rStyle w:val="FootnoteReference"/>
          <w:noProof/>
        </w:rPr>
        <w:footnoteReference w:id="1"/>
      </w:r>
      <w:r>
        <w:rPr>
          <w:noProof/>
        </w:rPr>
        <w:t xml:space="preserve">. </w:t>
      </w:r>
    </w:p>
    <w:p>
      <w:pPr>
        <w:pStyle w:val="Heading1"/>
        <w:rPr>
          <w:noProof/>
        </w:rPr>
      </w:pPr>
      <w:bookmarkStart w:id="5" w:name="_Toc454380090"/>
      <w:bookmarkStart w:id="6" w:name="_Toc465332573"/>
      <w:r>
        <w:rPr>
          <w:noProof/>
        </w:rPr>
        <w:t>Целеви приходи, предназначени за ЕФГЗ</w:t>
      </w:r>
      <w:bookmarkEnd w:id="4"/>
      <w:bookmarkEnd w:id="5"/>
      <w:bookmarkEnd w:id="6"/>
    </w:p>
    <w:p>
      <w:pPr>
        <w:pStyle w:val="Text1"/>
        <w:rPr>
          <w:noProof/>
        </w:rPr>
      </w:pPr>
      <w:r>
        <w:rPr>
          <w:noProof/>
        </w:rPr>
        <w:t>Въз основа на разпоредбите на член 43 от Регламент (ЕС) № 1306/2013 приходите, получени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се считат за целеви приходи, предназначени за финансиране на разходите по линия на ЕФГЗ. В съответствие с посочените разпоредби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2"/>
      </w:r>
      <w:r>
        <w:rPr>
          <w:noProof/>
        </w:rPr>
        <w:t>. Следва да се отбележи, че поради изтичането на срока на действие на квотите за мляко на 31 март 2015 г. бюджетната 2016 г. е последната година, в която се събират приходи от налога в сектора на млякото.</w:t>
      </w:r>
    </w:p>
    <w:p>
      <w:pPr>
        <w:pStyle w:val="Text1"/>
        <w:spacing w:after="0"/>
        <w:ind w:left="851"/>
        <w:rPr>
          <w:noProof/>
        </w:rPr>
      </w:pPr>
      <w:r>
        <w:rPr>
          <w:noProof/>
        </w:rPr>
        <w:t xml:space="preserve">Бюджетът на ЕФГЗ за 2016 г. включва както най-актуалните прогнози на Комисията относно нуждите от финансиране на очакваните разходи в областта на пазарните мерки и директните плащания, така и прогнозите относно целевите приходи, които според очакванията е трябвало да бъдат събрани през съответната бюджетна година, и на пренесените суми от целевите приходи, останали неизползвани от предходната бюджетна година. В предложението си относно бюджетните кредити за ЕФГЗ за 2016 г. Комисията взе предвид общия размер на очакваните целеви приходи и поиска в бюджета за 2016 г. да бъдат включени кредити, изчислени чрез приспадане на прогнозните целеви приходи от прогнозните нужди. Бюджетният орган прие бюджета на ЕФГЗ, като взе предвид очакваните целеви приходи. </w:t>
      </w:r>
    </w:p>
    <w:p>
      <w:pPr>
        <w:pStyle w:val="Text1"/>
        <w:rPr>
          <w:noProof/>
        </w:rPr>
      </w:pPr>
      <w:bookmarkStart w:id="7" w:name="_Toc244054015"/>
      <w:r>
        <w:rPr>
          <w:noProof/>
        </w:rPr>
        <w:t xml:space="preserve">Според прогнозните изчисления на Комисията наличните целеви приходи към момента на изготвянето на бюджета за 2016 г. бяха 2980 млн. евро. По-конкретно: </w:t>
      </w:r>
    </w:p>
    <w:p>
      <w:pPr>
        <w:pStyle w:val="Tiret1"/>
        <w:ind w:left="1418"/>
        <w:rPr>
          <w:noProof/>
        </w:rPr>
      </w:pPr>
      <w:r>
        <w:rPr>
          <w:noProof/>
        </w:rPr>
        <w:t>Целевите приходи, които се очакваше да бъдат генерирани през бюджетната 2016 г., се изчисляваха на 2090 млн. евро. От финансови корекции във връзка с уравняването по съответствие и от възстановявания вследствие на нередности се очакваха съответно 1125 млн. евро и 155 млн. евро. Прогнозираните приходи от налога в сектора на млякото се изчисляваха на 810 млн. евро.</w:t>
      </w:r>
    </w:p>
    <w:p>
      <w:pPr>
        <w:pStyle w:val="Tiret1"/>
        <w:ind w:left="1418"/>
        <w:rPr>
          <w:noProof/>
        </w:rPr>
      </w:pPr>
      <w:r>
        <w:rPr>
          <w:noProof/>
        </w:rPr>
        <w:t>Сумата на целевите приходи, която се очакваше да бъде пренесена от бюджетната 2015 г. към бюджетната 2016 г., се изчисляваше на 890 млн. евро.</w:t>
      </w:r>
    </w:p>
    <w:p>
      <w:pPr>
        <w:pStyle w:val="Text1"/>
        <w:rPr>
          <w:noProof/>
        </w:rPr>
      </w:pPr>
      <w:r>
        <w:rPr>
          <w:noProof/>
        </w:rPr>
        <w:t xml:space="preserve">В бюджета за 2016 г. Комисията разпредели тези първоначално прогнозирани целеви приходи от 2980 млн. евро по следните схеми: </w:t>
      </w:r>
    </w:p>
    <w:p>
      <w:pPr>
        <w:pStyle w:val="Tiret1"/>
        <w:rPr>
          <w:noProof/>
        </w:rPr>
      </w:pPr>
      <w:r>
        <w:rPr>
          <w:noProof/>
        </w:rPr>
        <w:t>600 млн. евро — за оперативните фондове на организациите на производители в сектора на плодовете и зеленчуците,</w:t>
      </w:r>
    </w:p>
    <w:p>
      <w:pPr>
        <w:pStyle w:val="Tiret1"/>
        <w:rPr>
          <w:noProof/>
        </w:rPr>
      </w:pPr>
      <w:r>
        <w:rPr>
          <w:noProof/>
        </w:rPr>
        <w:t xml:space="preserve">2380 млн. евро — за схемата за основно плащане. </w:t>
      </w:r>
    </w:p>
    <w:p>
      <w:pPr>
        <w:pStyle w:val="Text1"/>
        <w:rPr>
          <w:noProof/>
        </w:rPr>
      </w:pPr>
      <w:r>
        <w:rPr>
          <w:noProof/>
        </w:rPr>
        <w:t>За тези схеми бюджетният орган в крайна сметка одобри бюджетни кредити съгласно предложението на Комисията. Сумата на одобрените бюджетни кредити и на гореспоменатите целеви приходи съответства на:</w:t>
      </w:r>
    </w:p>
    <w:p>
      <w:pPr>
        <w:pStyle w:val="Tiret1"/>
        <w:rPr>
          <w:noProof/>
        </w:rPr>
      </w:pPr>
      <w:r>
        <w:rPr>
          <w:noProof/>
        </w:rPr>
        <w:t xml:space="preserve">898 млн. евро — за оперативните фондове на организациите на производители в сектора на плодовете и зеленчуците, </w:t>
      </w:r>
    </w:p>
    <w:p>
      <w:pPr>
        <w:pStyle w:val="Tiret1"/>
        <w:rPr>
          <w:noProof/>
        </w:rPr>
      </w:pPr>
      <w:r>
        <w:rPr>
          <w:noProof/>
        </w:rPr>
        <w:t xml:space="preserve">18 307 млн. евро — за схемата за основно плащане. </w:t>
      </w:r>
      <w:r>
        <w:rPr>
          <w:i/>
          <w:noProof/>
        </w:rPr>
        <w:t xml:space="preserve"> </w:t>
      </w:r>
    </w:p>
    <w:p>
      <w:pPr>
        <w:pStyle w:val="Text1"/>
        <w:rPr>
          <w:noProof/>
        </w:rPr>
      </w:pPr>
      <w:r>
        <w:rPr>
          <w:noProof/>
        </w:rPr>
        <w:t xml:space="preserve">В приложение 1, в което се съдържат предварителните данни за изпълнението на бюджета за 2016 г. за периода до 31 август 2016 г., гореспоменатите целеви приходи не са взети предвид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611,8 млн. евро и 34 269,2 млн. евро. С включването на разпределените за тези статии целеви приходи общите суми, предвидени в бюджета за 2016 г., са 1211,8 млн. евро за сектора на плодовете и зеленчуците и 36 649,2 млн. евро за отделените от производството директни плащания. </w:t>
      </w:r>
    </w:p>
    <w:p>
      <w:pPr>
        <w:pStyle w:val="Heading1"/>
        <w:rPr>
          <w:noProof/>
        </w:rPr>
      </w:pPr>
      <w:bookmarkStart w:id="8" w:name="_Toc454380091"/>
      <w:bookmarkStart w:id="9" w:name="_Toc465332574"/>
      <w:r>
        <w:rPr>
          <w:noProof/>
        </w:rPr>
        <w:t>Коментар относно предварителните данни за изпълнението на бюджета на ЕФГЗ за 2016 г.</w:t>
      </w:r>
      <w:bookmarkEnd w:id="7"/>
      <w:bookmarkEnd w:id="8"/>
      <w:bookmarkEnd w:id="9"/>
    </w:p>
    <w:p>
      <w:pPr>
        <w:pStyle w:val="Text1"/>
        <w:rPr>
          <w:noProof/>
        </w:rPr>
      </w:pPr>
      <w:r>
        <w:rPr>
          <w:noProof/>
        </w:rPr>
        <w:t>Предварителните данни за изпълнението на бюджета за периода от 16 октомври 2015 г. до 31 август 2016 г., представени в приложение 1, са сравнени с профила на разходите, който се основава на показателя, установен в съответствие с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2016 г</w:t>
      </w:r>
      <w:bookmarkStart w:id="10" w:name="_Toc244054016"/>
      <w:r>
        <w:rPr>
          <w:noProof/>
        </w:rPr>
        <w:t>.</w:t>
      </w:r>
    </w:p>
    <w:p>
      <w:pPr>
        <w:pStyle w:val="Heading2"/>
        <w:rPr>
          <w:noProof/>
        </w:rPr>
      </w:pPr>
      <w:r>
        <w:rPr>
          <w:noProof/>
        </w:rPr>
        <w:t>Пазарни мерки</w:t>
      </w:r>
      <w:bookmarkEnd w:id="10"/>
    </w:p>
    <w:p>
      <w:pPr>
        <w:pStyle w:val="Text1"/>
        <w:rPr>
          <w:noProof/>
        </w:rPr>
      </w:pPr>
      <w:r>
        <w:rPr>
          <w:noProof/>
        </w:rPr>
        <w:t xml:space="preserve">Използваните бюджетни кредити за интервенции на селскостопанските пазари бяха със 158,6 млн.евро повече от одобрените бюджетни кредити, определени съгласно равнището на показателя към 31 август 2016 г. Тази разлика се дължи на техническия ефект на приходите, разпределени за оперативните фондове за организациите на производителите в сектора на плодовете и зеленчуците, докато показателят за периода до 31 август 2016 г. се прилага само към одобрения бюджет (забележка: повече информация се съдържа в точка 2 по-горе). </w:t>
      </w:r>
    </w:p>
    <w:p>
      <w:pPr>
        <w:pStyle w:val="Text1"/>
        <w:rPr>
          <w:noProof/>
        </w:rPr>
      </w:pPr>
      <w:r>
        <w:rPr>
          <w:noProof/>
        </w:rPr>
        <w:t>След отстраняването на този ефект ще се получи неусвояване в размер на приблизително 272,5 млн. евро, което представлява нетен ефект от тенденциите в изпълнението на бюджета  — преди всичко в сектора на плодовете и зеленчуците и на животинските продукти.</w:t>
      </w:r>
    </w:p>
    <w:p>
      <w:pPr>
        <w:pStyle w:val="Heading3"/>
        <w:rPr>
          <w:noProof/>
        </w:rPr>
      </w:pPr>
      <w:r>
        <w:rPr>
          <w:noProof/>
        </w:rPr>
        <w:t>Плодове и зеленчуци (+ 189,0 млн. евро в сравнение с одобрените бюджетни кредити)</w:t>
      </w:r>
    </w:p>
    <w:p>
      <w:pPr>
        <w:pStyle w:val="Text1"/>
        <w:rPr>
          <w:noProof/>
        </w:rPr>
      </w:pPr>
      <w:r>
        <w:rPr>
          <w:noProof/>
        </w:rPr>
        <w:t>Както беше посочено по-горе, тази степен на изпълнение се дължи предимно на разходите за оперативните фондове по схемата за организациите на производители, които се финансират както от одобрените бюджетни кредити, така и от целевите приходи.</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600 млн. евро. Ако показателят беше приложен към общия размер на очакваните налични средства по тази статия (1211,8 млн. евро), би било отчетено неусвояване в размер на – 272,6 млн. евро. </w:t>
      </w:r>
    </w:p>
    <w:p>
      <w:pPr>
        <w:pStyle w:val="Text1"/>
        <w:rPr>
          <w:noProof/>
          <w:color w:val="FF0000"/>
        </w:rPr>
      </w:pPr>
      <w:r>
        <w:rPr>
          <w:noProof/>
        </w:rPr>
        <w:t>Това е последица от по-бавното усвояване на различните схеми, финансирани по тази статия. Не беше възможно изготвянето на надеждни прогнози за профила на изпълнение на мерките при криза, които са налични в рамките на оперативните фондове за организациите на производители и другите мерки в сектора на плодовете и зеленчуците. Поради това е вероятно той да се отклонява от приетите профили на усвояване, които са основата за показателя за тези позиции.</w:t>
      </w:r>
      <w:r>
        <w:rPr>
          <w:noProof/>
          <w:color w:val="FF0000"/>
        </w:rPr>
        <w:t xml:space="preserve"> </w:t>
      </w:r>
    </w:p>
    <w:p>
      <w:pPr>
        <w:pStyle w:val="Text1"/>
        <w:rPr>
          <w:noProof/>
        </w:rPr>
      </w:pPr>
      <w:r>
        <w:rPr>
          <w:noProof/>
        </w:rPr>
        <w:t xml:space="preserve">Тъй като към настоящия момент в прогнозните разходи до края на годината все още са налице значителни суми, това положение се счита за временно. Усвояването по тази статия е обект на внимателно наблюдение от службите на Комисията. </w:t>
      </w:r>
    </w:p>
    <w:p>
      <w:pPr>
        <w:pStyle w:val="Heading3"/>
        <w:rPr>
          <w:noProof/>
        </w:rPr>
      </w:pPr>
      <w:r>
        <w:rPr>
          <w:noProof/>
        </w:rPr>
        <w:t xml:space="preserve">Мляко и млечни продукти (– 135,2 млн. евро) </w:t>
      </w:r>
    </w:p>
    <w:p>
      <w:pPr>
        <w:pStyle w:val="Heading2"/>
        <w:keepNext w:val="0"/>
        <w:numPr>
          <w:ilvl w:val="0"/>
          <w:numId w:val="0"/>
        </w:numPr>
        <w:ind w:left="851"/>
        <w:rPr>
          <w:b w:val="0"/>
          <w:bCs w:val="0"/>
          <w:iCs w:val="0"/>
          <w:noProof/>
          <w:szCs w:val="24"/>
        </w:rPr>
      </w:pPr>
      <w:bookmarkStart w:id="11" w:name="_Toc244054022"/>
      <w:r>
        <w:rPr>
          <w:b w:val="0"/>
          <w:noProof/>
        </w:rPr>
        <w:t xml:space="preserve">Степента на усвояване по тази статия може да се обясни основно с напредъка в изпълнението и прилагането на целевата помощ за секторите на животновъдството. Сумата от 420 млн. евро бюджетни кредити за схемата за целева помощ е вписана в бюджетна позиция 05 02 12 99 — други мерки (мляко и млечни продукти). Независимо от това, тъй като държавите членки решиха да използват част от тази помощ за производители от други сектори на животновъдството, усвояването на бюджетните кредити по тази статия е по-ниско с приблизително 106 млн. евро и се наложи да бъдат предвидени съответните прехвърляния за покриване на декларираните по други статии разходи. </w:t>
      </w:r>
    </w:p>
    <w:p>
      <w:pPr>
        <w:pStyle w:val="Heading2"/>
        <w:keepNext w:val="0"/>
        <w:numPr>
          <w:ilvl w:val="0"/>
          <w:numId w:val="0"/>
        </w:numPr>
        <w:ind w:left="851"/>
        <w:rPr>
          <w:b w:val="0"/>
          <w:bCs w:val="0"/>
          <w:iCs w:val="0"/>
          <w:noProof/>
          <w:szCs w:val="24"/>
        </w:rPr>
      </w:pPr>
      <w:r>
        <w:rPr>
          <w:b w:val="0"/>
          <w:noProof/>
        </w:rPr>
        <w:t xml:space="preserve">Що се отнася до общата сума на изпълнението на целевата помощ, наличните бюджетни кредити (разходи в размер на 414,7 млн. евро или 98,7 % от общите средства) бяха почти изцяло изразходвани преди 30 юни 2016 г., когато изтече крайния срок за допустимост. </w:t>
      </w:r>
    </w:p>
    <w:p>
      <w:pPr>
        <w:pStyle w:val="Text1"/>
        <w:rPr>
          <w:noProof/>
        </w:rPr>
      </w:pPr>
      <w:r>
        <w:rPr>
          <w:noProof/>
        </w:rPr>
        <w:t xml:space="preserve">Останалата част от неусвояването по тази статия се дължи на по-бавното усвояване по схемата за предлагане на мляко в училищата и по схемите за складиране. </w:t>
      </w:r>
    </w:p>
    <w:p>
      <w:pPr>
        <w:pStyle w:val="Heading3"/>
        <w:rPr>
          <w:noProof/>
        </w:rPr>
      </w:pPr>
      <w:r>
        <w:rPr>
          <w:noProof/>
        </w:rPr>
        <w:t xml:space="preserve">Говеждо и телешко месо (+ 30,1 млн. евро), овце и кози (+ 1,8 млн. евро) и свинско месо, яйца и птиче месо (+ 74,8 млн. евро) </w:t>
      </w:r>
    </w:p>
    <w:p>
      <w:pPr>
        <w:pStyle w:val="Heading2"/>
        <w:keepNext w:val="0"/>
        <w:numPr>
          <w:ilvl w:val="0"/>
          <w:numId w:val="0"/>
        </w:numPr>
        <w:ind w:left="851"/>
        <w:rPr>
          <w:b w:val="0"/>
          <w:bCs w:val="0"/>
          <w:iCs w:val="0"/>
          <w:noProof/>
          <w:szCs w:val="24"/>
        </w:rPr>
      </w:pPr>
      <w:r>
        <w:rPr>
          <w:b w:val="0"/>
          <w:noProof/>
        </w:rPr>
        <w:t xml:space="preserve">Преизпълнението по тези статии е огледален образ на по-слабото изпълнение при млякото и млечните продукти в резултат на прилагането на целевата помощ за секторите на животновъдството. Разходите, декларирани за посочените сектори, се покриват чрез прехвърляния от наличните за мярката бюджетни кредити по статия 05 02 12. </w:t>
      </w:r>
    </w:p>
    <w:p>
      <w:pPr>
        <w:pStyle w:val="Heading2"/>
        <w:rPr>
          <w:noProof/>
        </w:rPr>
      </w:pPr>
      <w:r>
        <w:rPr>
          <w:noProof/>
        </w:rPr>
        <w:t xml:space="preserve">Директни </w:t>
      </w:r>
      <w:bookmarkEnd w:id="11"/>
      <w:r>
        <w:rPr>
          <w:noProof/>
        </w:rPr>
        <w:t xml:space="preserve">плащания </w:t>
      </w:r>
    </w:p>
    <w:p>
      <w:pPr>
        <w:pStyle w:val="Text1"/>
        <w:rPr>
          <w:noProof/>
        </w:rPr>
      </w:pPr>
      <w:r>
        <w:rPr>
          <w:noProof/>
        </w:rPr>
        <w:t>Усвояването на бюджетни кредити за директни плащания беше със 4793,5 млн. евро по-малко в сравнение с равнището на показателя към 31 август 2016 г.</w:t>
      </w:r>
      <w:bookmarkStart w:id="12" w:name="_Toc244054023"/>
      <w:r>
        <w:rPr>
          <w:noProof/>
        </w:rPr>
        <w:t xml:space="preserve"> </w:t>
      </w:r>
    </w:p>
    <w:p>
      <w:pPr>
        <w:pStyle w:val="Heading3"/>
        <w:rPr>
          <w:noProof/>
        </w:rPr>
      </w:pPr>
      <w:r>
        <w:rPr>
          <w:noProof/>
        </w:rPr>
        <w:t>Отделени от производството директни плащания (– 5195,5 млн. евро в сравнение с одобрените бюджетни кредити)</w:t>
      </w:r>
    </w:p>
    <w:p>
      <w:pPr>
        <w:pStyle w:val="Text1"/>
        <w:rPr>
          <w:noProof/>
        </w:rPr>
      </w:pPr>
      <w:bookmarkStart w:id="13" w:name="_Toc244054027"/>
      <w:bookmarkEnd w:id="12"/>
      <w:r>
        <w:rPr>
          <w:noProof/>
        </w:rPr>
        <w:t xml:space="preserve">По отношение на одобрените бюджетни кредити горепосочената степен на усвояване не е съвсем показателна, тъй като разходите по схемата за основно плащане се финансират както от одобрените бюджетни кредити, така и от целевите приходи, предназначени за тази схема в бюджета за 2016 г. (забележка: повече информация се съдържа в точка 2 по-горе). Тази степен на усвояване се дължи на прилагането на показателя за периода до 31 август 2016 г. към одобрените бюджетни кредити, които не включват предназначените за тази статия целеви приходи.  </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които се очаква да бъдат налични за финансиране на отделените от производството директни плащания. Ако показателят беше приложен към общия размер на очакваните налични средства за отделените от производството директни плащания, възлизащ на 36 649,2 млн. евро, би било отчетено неизпълнение в размер на – 7573,1 млн. евро. </w:t>
      </w:r>
    </w:p>
    <w:p>
      <w:pPr>
        <w:pStyle w:val="Text1"/>
        <w:rPr>
          <w:noProof/>
        </w:rPr>
      </w:pPr>
      <w:r>
        <w:rPr>
          <w:noProof/>
        </w:rPr>
        <w:t>Значителното разминаване в степента на изпълнение на бюджета за отделените от производството директни плащания се дължи предимно на временни закъснения от административен характер в някои държави членки през първата година на прилагане на реформираните схеми за директни плащания. След 31 май 2016 г. държавите членки отбелязаха допълнителен напредък в своя модел на изпълнение при отделените от производството преки помощи, като понастоящем 79 % от наличните бюджетни кредити, включително целевите приходи, са изплатени.</w:t>
      </w:r>
    </w:p>
    <w:p>
      <w:pPr>
        <w:pStyle w:val="Text1"/>
        <w:rPr>
          <w:noProof/>
        </w:rPr>
      </w:pPr>
      <w:r>
        <w:rPr>
          <w:noProof/>
        </w:rPr>
        <w:t>Комисията продължава да наблюдава степента на изпълнение от страна на държавите членки и прогнозите за предстоящите разходи. На този етап и като се има предвид, че по изключение няма да се прилагат намаления спрямо плащанията, извършени след 30 юни, но преди 16 октомври 2016 г., Комисията е на мнение, че това отклонение е временно и очаква, че отделените от производството директни плащания ще се извършват съгласно предвиденото в бюджета за 2016 г.</w:t>
      </w:r>
    </w:p>
    <w:p>
      <w:pPr>
        <w:pStyle w:val="Heading3"/>
        <w:rPr>
          <w:noProof/>
        </w:rPr>
      </w:pPr>
      <w:r>
        <w:rPr>
          <w:noProof/>
        </w:rPr>
        <w:t>Други директни плащания (+ 402,1 млн. евро в сравнение с одобрените бюджетни кредити)</w:t>
      </w:r>
    </w:p>
    <w:p>
      <w:pPr>
        <w:pStyle w:val="Text1"/>
        <w:rPr>
          <w:noProof/>
        </w:rPr>
      </w:pPr>
      <w:r>
        <w:rPr>
          <w:noProof/>
        </w:rPr>
        <w:t xml:space="preserve">Преизпълнението при другите директни плащания в сравнение с профила на разходите на установения показател е последица от неусвояването най-вече при доброволното обвързано с производството подпомагане, нетирано с преизпълнението в схемата за дребни земеделски стопани. </w:t>
      </w:r>
    </w:p>
    <w:p>
      <w:pPr>
        <w:pStyle w:val="Text1"/>
        <w:rPr>
          <w:noProof/>
        </w:rPr>
      </w:pPr>
      <w:r>
        <w:rPr>
          <w:noProof/>
        </w:rPr>
        <w:t>През първата година от прилагането в няколко държави членки бяха установени временни закъснения от административен характер, което доведе до по-бавно усвояване при доброволното обвързано с производството подпомагане.</w:t>
      </w:r>
    </w:p>
    <w:p>
      <w:pPr>
        <w:pStyle w:val="Text1"/>
        <w:rPr>
          <w:noProof/>
        </w:rPr>
      </w:pPr>
      <w:r>
        <w:rPr>
          <w:noProof/>
        </w:rPr>
        <w:t>По отношение на схемата за дребни земеделски стопани в бюджета за 2016 г. не бяха включени бюджетни кредити за тази бюджетна позиция, тъй като не беше възможно извършването на надеждно прогнозно изчисляване на нуждите. Схемата се финансира от наличните суми за другите схеми за директни плащания. Към 31 август 2016 г. декларираните по тази позиция разходи възлизаха на приблизително 905 млн. евро и бяха покрити чрез прехвърляне от други позиции по директни плащания за финансиране на схемата.</w:t>
      </w:r>
    </w:p>
    <w:p>
      <w:pPr>
        <w:pStyle w:val="Text1"/>
        <w:rPr>
          <w:noProof/>
          <w:color w:val="FF0000"/>
        </w:rPr>
      </w:pPr>
      <w:r>
        <w:rPr>
          <w:noProof/>
        </w:rPr>
        <w:t>Усвояването на разходите при доброволното обвързано с производството подпомагане е обект на внимателно наблюдение от страна на Комисията.</w:t>
      </w:r>
    </w:p>
    <w:p>
      <w:pPr>
        <w:pStyle w:val="Heading1"/>
        <w:rPr>
          <w:noProof/>
        </w:rPr>
      </w:pPr>
      <w:bookmarkStart w:id="14" w:name="_Toc454380092"/>
      <w:bookmarkStart w:id="15" w:name="_Toc465332575"/>
      <w:r>
        <w:rPr>
          <w:noProof/>
        </w:rPr>
        <w:t>Усвояване на целевите приходи, предназначени за ЕФГЗ</w:t>
      </w:r>
      <w:bookmarkEnd w:id="13"/>
      <w:bookmarkEnd w:id="14"/>
      <w:bookmarkEnd w:id="15"/>
    </w:p>
    <w:p>
      <w:pPr>
        <w:pStyle w:val="Text1"/>
        <w:spacing w:before="90"/>
        <w:ind w:left="851"/>
        <w:rPr>
          <w:noProof/>
        </w:rPr>
      </w:pPr>
      <w:bookmarkStart w:id="16" w:name="_Toc244054028"/>
      <w:r>
        <w:rPr>
          <w:noProof/>
        </w:rPr>
        <w:t>Таблицата в приложение 1 показва, че към 31 август 2016 г. са били събрани целеви приходи в размер на 2497 млн. евро. По-конкретно:</w:t>
      </w:r>
    </w:p>
    <w:p>
      <w:pPr>
        <w:pStyle w:val="Tiret1"/>
        <w:rPr>
          <w:noProof/>
        </w:rPr>
      </w:pPr>
      <w:r>
        <w:rPr>
          <w:noProof/>
        </w:rPr>
        <w:t>приходите от финансови корекции въз основа на решения за счетоводно уравняване и за уравняване по съответствие възлизат на 1583,7 млн. евро;</w:t>
      </w:r>
    </w:p>
    <w:p>
      <w:pPr>
        <w:pStyle w:val="Tiret1"/>
        <w:rPr>
          <w:noProof/>
        </w:rPr>
      </w:pPr>
      <w:r>
        <w:rPr>
          <w:noProof/>
        </w:rPr>
        <w:t xml:space="preserve">приходите от финансови корекции вследствие на нередности са били в размер на 98,9 млн. евро, като до края на бюджетната година се очакват допълнителни суми; </w:t>
      </w:r>
    </w:p>
    <w:p>
      <w:pPr>
        <w:pStyle w:val="Tiret1"/>
        <w:rPr>
          <w:noProof/>
        </w:rPr>
      </w:pPr>
      <w:r>
        <w:rPr>
          <w:noProof/>
        </w:rPr>
        <w:t>към настоящия момент всички приходи от налога в сектора на млякото са събрани и възлизат на около 814,5 млн. евро.</w:t>
      </w:r>
    </w:p>
    <w:p>
      <w:pPr>
        <w:pStyle w:val="Text1"/>
        <w:rPr>
          <w:noProof/>
        </w:rPr>
      </w:pPr>
      <w:r>
        <w:rPr>
          <w:noProof/>
        </w:rPr>
        <w:t xml:space="preserve">И накрая, сумата на целевите приходи, окончателно пренесени от 2015 г. към 2016 г., възлиза на 896,4 млн. евро. </w:t>
      </w:r>
    </w:p>
    <w:p>
      <w:pPr>
        <w:pStyle w:val="Text1"/>
        <w:rPr>
          <w:noProof/>
        </w:rPr>
      </w:pPr>
      <w:r>
        <w:rPr>
          <w:noProof/>
        </w:rPr>
        <w:t>Така наличните целеви приходи за финансиране на разходите по ЕФГЗ към 31 август 2016 г. възлизат на 3393,4 млн. евро, като до края на бюджетната година се очаква да постъпят допълнителни суми новосъбрани целеви приходи от финансови корекции вследствие на нередности.</w:t>
      </w:r>
    </w:p>
    <w:p>
      <w:pPr>
        <w:pStyle w:val="Heading1"/>
        <w:rPr>
          <w:noProof/>
        </w:rPr>
      </w:pPr>
      <w:bookmarkStart w:id="17" w:name="_Toc244054030"/>
      <w:bookmarkStart w:id="18" w:name="_Toc454380093"/>
      <w:bookmarkStart w:id="19" w:name="_Toc465332576"/>
      <w:bookmarkEnd w:id="16"/>
      <w:r>
        <w:rPr>
          <w:noProof/>
        </w:rPr>
        <w:t>Заключения</w:t>
      </w:r>
      <w:bookmarkEnd w:id="17"/>
      <w:bookmarkEnd w:id="18"/>
      <w:bookmarkEnd w:id="19"/>
    </w:p>
    <w:p>
      <w:pPr>
        <w:pStyle w:val="Text1"/>
        <w:rPr>
          <w:noProof/>
        </w:rPr>
      </w:pPr>
      <w:r>
        <w:rPr>
          <w:noProof/>
        </w:rPr>
        <w:t xml:space="preserve">Предварителните данни за усвояването на бюджетните кредити от бюджета на ЕФГЗ за 2016 г. за периода до 31 август 2016 г. показват, че месечните възстановявания на разходите на държавите членки са по-малко с около 4572,4 млн. евро от основаващия се на показателя профил на разходите за изпълнение на бюджета. Това значително разминаване се дължи почти изцяло на временно забавяне в извършването на директните плащания за земеделските стопани. </w:t>
      </w:r>
    </w:p>
    <w:p>
      <w:pPr>
        <w:pStyle w:val="Text1"/>
        <w:rPr>
          <w:noProof/>
        </w:rPr>
      </w:pPr>
      <w:r>
        <w:rPr>
          <w:noProof/>
        </w:rPr>
        <w:t xml:space="preserve">Вече са налице целеви приходи, възлизащи на 393,4 млн. евро, като се очаква през 2016 г. да бъдат събрани допълнителни суми. </w:t>
      </w:r>
    </w:p>
    <w:p>
      <w:pPr>
        <w:pStyle w:val="Text1"/>
        <w:rPr>
          <w:noProof/>
        </w:rPr>
      </w:pPr>
      <w:r>
        <w:rPr>
          <w:noProof/>
        </w:rPr>
        <w:t>Към настоящия момент Комисията очаква, че усвояването на бюджетните кредити за директни плащания ще е близо до първоначално очакваното равнище при изготвянето на бюджета за 2016 г. Наред с това Комисията е на мнение, че известно повишаване на сумите на целевите приходи, които са налични до края на годината, не само ще бъде достатъчно за покриване на разликата между нуждите и одобрените бюджетни кредити, но също така ще позволи към бюджета за 2017 г. да се пренесе неизползвана сума, както е предвидено в проектобюджета за 2017 г., макар все още да не е възможно извършването на надеждно прогнозно изчисление на точния ѝ размер.</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ОВ L 347, 20.12.2013 г., стр. 549.</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постановява, че вътрешните целеви приходи се пренасят само за една година. 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revisionView w:markup="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4B392D71F5E47B5B7E49AB6840C3A4A"/>
    <w:docVar w:name="LW_CROSSREFERENCE" w:val="&lt;UNUSED&gt;"/>
    <w:docVar w:name="LW_DocType" w:val="NORMAL"/>
    <w:docVar w:name="LW_EMISSION" w:val="8.11.2016"/>
    <w:docVar w:name="LW_EMISSION_ISODATE" w:val="2016-11-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13"/>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8-10/201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4D69-9B7D-4076-8966-BF8B757E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2305</Words>
  <Characters>12678</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14909</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2015-06-29T06:52:00Z</cp:lastPrinted>
  <dcterms:created xsi:type="dcterms:W3CDTF">2016-10-27T08:05:00Z</dcterms:created>
  <dcterms:modified xsi:type="dcterms:W3CDTF">2016-11-08T10:58:00Z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