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EC" w:rsidRPr="00774DC2" w:rsidRDefault="00453C4B" w:rsidP="00774DC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369ee0a-99bb-4e28-84f1-18aeb023d9db_0" style="width:568.7pt;height:490.45pt">
            <v:imagedata r:id="rId8" o:title=""/>
          </v:shape>
        </w:pict>
      </w:r>
      <w:bookmarkEnd w:id="0"/>
    </w:p>
    <w:p w:rsidR="000D6B74" w:rsidRPr="00421BFA" w:rsidRDefault="000D6B74" w:rsidP="00B9189B">
      <w:pPr>
        <w:pStyle w:val="PointManual"/>
        <w:spacing w:before="480"/>
      </w:pPr>
      <w:r w:rsidRPr="00421BFA">
        <w:t>–</w:t>
      </w:r>
      <w:r w:rsidRPr="00421BFA">
        <w:tab/>
        <w:t>Приемане на дневния ред</w:t>
      </w:r>
    </w:p>
    <w:p w:rsidR="000D6B74" w:rsidRPr="00421BFA" w:rsidRDefault="000D6B74" w:rsidP="00B9189B">
      <w:pPr>
        <w:pStyle w:val="NormalCentered"/>
        <w:spacing w:before="480"/>
        <w:rPr>
          <w:b/>
          <w:bCs/>
          <w:i/>
          <w:u w:val="single"/>
        </w:rPr>
      </w:pPr>
      <w:r w:rsidRPr="00421BFA">
        <w:rPr>
          <w:b/>
          <w:bCs/>
          <w:u w:val="single"/>
        </w:rPr>
        <w:t>Обсъждания на законодателни актове</w:t>
      </w:r>
    </w:p>
    <w:p w:rsidR="000D6B74" w:rsidRPr="00421BFA" w:rsidRDefault="000D6B74" w:rsidP="000D6B74">
      <w:pPr>
        <w:pStyle w:val="NormalCentered"/>
        <w:spacing w:before="0"/>
        <w:rPr>
          <w:b/>
          <w:bCs/>
          <w:i/>
        </w:rPr>
      </w:pPr>
      <w:r w:rsidRPr="00421BFA">
        <w:rPr>
          <w:b/>
          <w:bCs/>
        </w:rPr>
        <w:t>(открито обсъждане съгласно член 16, параграф 8 от Договора за Европейския съюз)</w:t>
      </w:r>
    </w:p>
    <w:p w:rsidR="000D6B74" w:rsidRPr="00421BFA" w:rsidRDefault="000D6B74" w:rsidP="00B9189B">
      <w:pPr>
        <w:pStyle w:val="PointManual"/>
        <w:spacing w:before="360"/>
      </w:pPr>
      <w:r w:rsidRPr="00421BFA">
        <w:t>–</w:t>
      </w:r>
      <w:r w:rsidRPr="00421BFA">
        <w:tab/>
        <w:t>(евентуално) Одобряване на списъка на точки А</w:t>
      </w:r>
    </w:p>
    <w:p w:rsidR="0018095E" w:rsidRPr="00421BFA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421BFA">
        <w:br w:type="page"/>
      </w:r>
      <w:r w:rsidRPr="00421BFA">
        <w:rPr>
          <w:rFonts w:asciiTheme="majorBidi" w:hAnsiTheme="majorBidi"/>
          <w:szCs w:val="24"/>
        </w:rPr>
        <w:lastRenderedPageBreak/>
        <w:t>–</w:t>
      </w:r>
      <w:r w:rsidRPr="00421BFA">
        <w:rPr>
          <w:rFonts w:asciiTheme="majorBidi" w:hAnsiTheme="majorBidi"/>
          <w:b/>
          <w:bCs/>
          <w:szCs w:val="24"/>
        </w:rPr>
        <w:tab/>
        <w:t>План за инвестиции за Европа</w:t>
      </w:r>
    </w:p>
    <w:p w:rsidR="0018095E" w:rsidRPr="00421BFA" w:rsidRDefault="0018095E" w:rsidP="0018095E">
      <w:pPr>
        <w:pStyle w:val="Dash1"/>
        <w:rPr>
          <w:szCs w:val="24"/>
        </w:rPr>
      </w:pPr>
      <w:r w:rsidRPr="00421BFA">
        <w:t xml:space="preserve">ЕФСИ — Регламент за изменение на Регламент (ЕС) 2015/1017 за Европейския фонд за стратегически инвестиции, Европейския консултантски център по инвестиционни въпроси и Европейския портал за инвестиционни проекти </w:t>
      </w:r>
      <w:r w:rsidRPr="00421BFA">
        <w:rPr>
          <w:b/>
          <w:bCs/>
        </w:rPr>
        <w:t>(първо четене)</w:t>
      </w:r>
    </w:p>
    <w:p w:rsidR="0018095E" w:rsidRPr="00421BFA" w:rsidRDefault="0087246C" w:rsidP="0087246C">
      <w:pPr>
        <w:pStyle w:val="DashEqual2"/>
      </w:pPr>
      <w:r w:rsidRPr="00421BFA">
        <w:t>Общ подход</w:t>
      </w:r>
    </w:p>
    <w:p w:rsidR="0018095E" w:rsidRPr="00421BFA" w:rsidRDefault="0018095E" w:rsidP="0087246C">
      <w:pPr>
        <w:pStyle w:val="Dash1"/>
      </w:pPr>
      <w:r w:rsidRPr="00421BFA">
        <w:t>(евентуално) Отстраняване на пречките пред инвестициите, установени в рамките на третия стълб на Плана за инвестиции за Европа</w:t>
      </w:r>
    </w:p>
    <w:p w:rsidR="0018095E" w:rsidRPr="00421BFA" w:rsidRDefault="0018095E" w:rsidP="0087246C">
      <w:pPr>
        <w:pStyle w:val="DashEqual2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  <w:szCs w:val="24"/>
        </w:rPr>
        <w:t>Проект за заключения на Съвета</w:t>
      </w:r>
    </w:p>
    <w:p w:rsidR="0018095E" w:rsidRPr="00421BFA" w:rsidRDefault="0018095E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</w:rPr>
        <w:t>Директива срещу избягването на данъци 2</w:t>
      </w:r>
    </w:p>
    <w:p w:rsidR="0018095E" w:rsidRPr="00421BFA" w:rsidRDefault="0018095E" w:rsidP="0087246C">
      <w:pPr>
        <w:pStyle w:val="Dash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Предложение за директива на Съвета за изменение на Директива (ЕС) 2016/1164 по отношение на договореностите, използващи хибридни несъответствия, с трети държави (ДСИД 2)</w:t>
      </w:r>
    </w:p>
    <w:p w:rsidR="0018095E" w:rsidRPr="00421BFA" w:rsidRDefault="0018095E" w:rsidP="0087246C">
      <w:pPr>
        <w:pStyle w:val="DashEqual2"/>
        <w:rPr>
          <w:rFonts w:asciiTheme="majorBidi" w:hAnsiTheme="majorBidi" w:cstheme="majorBidi"/>
        </w:rPr>
      </w:pPr>
      <w:r w:rsidRPr="00421BFA">
        <w:t>Общ подход</w:t>
      </w:r>
    </w:p>
    <w:p w:rsidR="0018095E" w:rsidRPr="00421BFA" w:rsidRDefault="00B87FBE" w:rsidP="00B9189B">
      <w:pPr>
        <w:pStyle w:val="PointManual"/>
        <w:spacing w:before="240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</w:rPr>
        <w:t>Засилено сътрудничество в областта на данъка върху финансовите сделки</w:t>
      </w:r>
    </w:p>
    <w:p w:rsidR="0018095E" w:rsidRPr="00421BFA" w:rsidRDefault="0018095E" w:rsidP="0087246C">
      <w:pPr>
        <w:pStyle w:val="Dash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Предложение за директива на Съвета за прилагане на засилено сътрудничество в областта на данъка върху финансовите сделки</w:t>
      </w:r>
    </w:p>
    <w:p w:rsidR="0018095E" w:rsidRPr="00421BFA" w:rsidRDefault="0018095E" w:rsidP="0087246C">
      <w:pPr>
        <w:pStyle w:val="DashEqual2"/>
        <w:rPr>
          <w:rFonts w:asciiTheme="majorBidi" w:hAnsiTheme="majorBidi" w:cstheme="majorBidi"/>
        </w:rPr>
      </w:pPr>
      <w:r w:rsidRPr="00421BFA">
        <w:t>Актуално състояние</w:t>
      </w:r>
    </w:p>
    <w:p w:rsidR="0018095E" w:rsidRPr="00421BFA" w:rsidRDefault="00B87FBE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</w:rPr>
        <w:t>Укрепване на банковия съюз</w:t>
      </w:r>
    </w:p>
    <w:p w:rsidR="0018095E" w:rsidRPr="00421BFA" w:rsidRDefault="0018095E" w:rsidP="0087246C">
      <w:pPr>
        <w:pStyle w:val="Dash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 xml:space="preserve">Предложение за регламент на Европейския парламент и на Съвета за изменение на Регламент (ЕС) № 806/2014 с цел създаване на Европейска схема за застраховане на депозитите (ЕСЗД) </w:t>
      </w:r>
      <w:r w:rsidRPr="00421BFA">
        <w:rPr>
          <w:rFonts w:asciiTheme="majorBidi" w:hAnsiTheme="majorBidi"/>
          <w:b/>
          <w:bCs/>
        </w:rPr>
        <w:t>(първо четене)</w:t>
      </w:r>
    </w:p>
    <w:p w:rsidR="0018095E" w:rsidRPr="00421BFA" w:rsidRDefault="0018095E" w:rsidP="0087246C">
      <w:pPr>
        <w:pStyle w:val="DashEqual2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Актуално състояние</w:t>
      </w:r>
    </w:p>
    <w:p w:rsidR="0018095E" w:rsidRPr="00421BFA" w:rsidRDefault="0018095E" w:rsidP="0087246C">
      <w:pPr>
        <w:pStyle w:val="Dash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 xml:space="preserve">Предложения за изменение на: </w:t>
      </w:r>
    </w:p>
    <w:p w:rsidR="0018095E" w:rsidRPr="00421BFA" w:rsidRDefault="0018095E" w:rsidP="00827BC8">
      <w:pPr>
        <w:pStyle w:val="Dash2"/>
      </w:pPr>
      <w:r w:rsidRPr="00421BFA">
        <w:t>Директива 2013/36/ЕС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</w:r>
    </w:p>
    <w:p w:rsidR="0018095E" w:rsidRPr="00421BFA" w:rsidRDefault="0018095E" w:rsidP="00827BC8">
      <w:pPr>
        <w:pStyle w:val="Dash2"/>
      </w:pPr>
      <w:r w:rsidRPr="00421BFA">
        <w:t>Регламент (ЕС) № 575/2013 относно пруденциалните изисквания за кредитните институции и инвестиционните посредници</w:t>
      </w:r>
    </w:p>
    <w:p w:rsidR="0018095E" w:rsidRPr="00421BFA" w:rsidRDefault="0018095E" w:rsidP="00827BC8">
      <w:pPr>
        <w:pStyle w:val="Dash2"/>
      </w:pPr>
      <w:r w:rsidRPr="00421BFA">
        <w:t>Директива 2014/59/ЕС за създаване на рамка за възстановяване и преструктуриране на кредитни институции и инвестиционни посредници</w:t>
      </w:r>
    </w:p>
    <w:p w:rsidR="0018095E" w:rsidRPr="00421BFA" w:rsidRDefault="0018095E" w:rsidP="00827BC8">
      <w:pPr>
        <w:pStyle w:val="Dash2"/>
      </w:pPr>
      <w:r w:rsidRPr="00421BFA">
        <w:t>Директива 2014/59/ЕС по отношение на мястото на необезпечените дългови инструменти в йерархията на вземанията при несъстоятелност</w:t>
      </w:r>
    </w:p>
    <w:p w:rsidR="0018095E" w:rsidRPr="00421BFA" w:rsidRDefault="0018095E" w:rsidP="00827BC8">
      <w:pPr>
        <w:pStyle w:val="Dash2"/>
      </w:pPr>
      <w:r w:rsidRPr="00421BFA">
        <w:t>Регламент (ЕС) № 806/2014 за установяването на еднообразни правила и еднообразна процедура за преструктурирането на кредитни институции и някои инвестиционни посредници</w:t>
      </w:r>
    </w:p>
    <w:p w:rsidR="0018095E" w:rsidRPr="00421BFA" w:rsidRDefault="0018095E" w:rsidP="00827BC8">
      <w:pPr>
        <w:pStyle w:val="Text2"/>
        <w:rPr>
          <w:b/>
          <w:bCs/>
        </w:rPr>
      </w:pPr>
      <w:r w:rsidRPr="00421BFA">
        <w:rPr>
          <w:b/>
          <w:bCs/>
        </w:rPr>
        <w:t>(първо четене)</w:t>
      </w:r>
    </w:p>
    <w:p w:rsidR="0018095E" w:rsidRPr="00421BFA" w:rsidRDefault="0018095E" w:rsidP="00DD3AF0">
      <w:pPr>
        <w:pStyle w:val="DashEqual3"/>
      </w:pPr>
      <w:r w:rsidRPr="00421BFA">
        <w:t>Представяне от Комисията и обмен на мнения</w:t>
      </w:r>
    </w:p>
    <w:p w:rsidR="0018095E" w:rsidRPr="00421BFA" w:rsidRDefault="0018095E" w:rsidP="00B9189B">
      <w:pPr>
        <w:pStyle w:val="PointManual"/>
        <w:spacing w:before="240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>Други въпроси</w:t>
      </w:r>
    </w:p>
    <w:p w:rsidR="0018095E" w:rsidRPr="00421BFA" w:rsidRDefault="0018095E" w:rsidP="00BA39B9">
      <w:pPr>
        <w:pStyle w:val="Dash1"/>
        <w:rPr>
          <w:rFonts w:asciiTheme="majorBidi" w:hAnsiTheme="majorBidi" w:cstheme="majorBidi"/>
          <w:b/>
          <w:bCs/>
        </w:rPr>
      </w:pPr>
      <w:r w:rsidRPr="00421BFA">
        <w:rPr>
          <w:rFonts w:asciiTheme="majorBidi" w:hAnsiTheme="majorBidi"/>
          <w:b/>
          <w:bCs/>
        </w:rPr>
        <w:t>Директива относно борбата с изпирането на пари</w:t>
      </w:r>
    </w:p>
    <w:p w:rsidR="0018095E" w:rsidRPr="00421BFA" w:rsidRDefault="0018095E" w:rsidP="00827BC8">
      <w:pPr>
        <w:pStyle w:val="Dash2"/>
      </w:pPr>
      <w:r w:rsidRPr="00421BFA">
        <w:t xml:space="preserve">Предложение за директива на Европейския парламент и на Съвета за изменение на Директива (ЕС) 2015/849 за предотвратяване използването на финансовата система за целите на изпирането на пари и финансирането на тероризма и за изменение на Директива 2009/101/ЕО </w:t>
      </w:r>
      <w:r w:rsidRPr="00421BFA">
        <w:rPr>
          <w:b/>
          <w:bCs/>
        </w:rPr>
        <w:t>(първо четене)</w:t>
      </w:r>
    </w:p>
    <w:p w:rsidR="0018095E" w:rsidRPr="00421BFA" w:rsidRDefault="0018095E" w:rsidP="00BA39B9">
      <w:pPr>
        <w:pStyle w:val="Dash1"/>
        <w:rPr>
          <w:rFonts w:asciiTheme="majorBidi" w:hAnsiTheme="majorBidi" w:cstheme="majorBidi"/>
          <w:b/>
          <w:bCs/>
        </w:rPr>
      </w:pPr>
      <w:r w:rsidRPr="00421BFA">
        <w:rPr>
          <w:rFonts w:asciiTheme="majorBidi" w:hAnsiTheme="majorBidi"/>
          <w:b/>
          <w:bCs/>
        </w:rPr>
        <w:t>Текущи законодателни предложения в областта на финансовите услуги</w:t>
      </w:r>
    </w:p>
    <w:p w:rsidR="0018095E" w:rsidRPr="00421BFA" w:rsidRDefault="0018095E" w:rsidP="00827BC8">
      <w:pPr>
        <w:pStyle w:val="DashEqual2"/>
      </w:pPr>
      <w:r w:rsidRPr="00421BFA">
        <w:t>Информация от председателството</w:t>
      </w:r>
    </w:p>
    <w:p w:rsidR="000D6B74" w:rsidRPr="00421BFA" w:rsidRDefault="00B9189B" w:rsidP="00734D6C">
      <w:pPr>
        <w:pStyle w:val="NormalCentered"/>
        <w:spacing w:before="480"/>
        <w:rPr>
          <w:b/>
          <w:bCs/>
          <w:i/>
          <w:u w:val="single"/>
        </w:rPr>
      </w:pPr>
      <w:r w:rsidRPr="00421BFA">
        <w:br w:type="page"/>
      </w:r>
      <w:r w:rsidRPr="00421BFA">
        <w:rPr>
          <w:b/>
          <w:bCs/>
          <w:u w:val="single"/>
        </w:rPr>
        <w:lastRenderedPageBreak/>
        <w:t>Незаконодателни дейности</w:t>
      </w:r>
    </w:p>
    <w:p w:rsidR="000D6B74" w:rsidRPr="00421BFA" w:rsidRDefault="000D6B74" w:rsidP="000D6B74">
      <w:pPr>
        <w:pStyle w:val="PointManual"/>
        <w:spacing w:before="360"/>
      </w:pPr>
      <w:r w:rsidRPr="00421BFA">
        <w:t>–</w:t>
      </w:r>
      <w:r w:rsidRPr="00421BFA">
        <w:tab/>
        <w:t>Одобряване на списъка на точки А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bookmarkStart w:id="2" w:name="_Toc309385852"/>
      <w:bookmarkStart w:id="3" w:name="_Toc309385762"/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</w:r>
      <w:r w:rsidRPr="00421BFA">
        <w:rPr>
          <w:rFonts w:asciiTheme="majorBidi" w:hAnsiTheme="majorBidi"/>
          <w:b/>
          <w:bCs/>
        </w:rPr>
        <w:t>Изграждане на банковия съюз</w:t>
      </w:r>
    </w:p>
    <w:p w:rsidR="00EC6B83" w:rsidRPr="00421BFA" w:rsidRDefault="00EC6B83" w:rsidP="00352F01">
      <w:pPr>
        <w:pStyle w:val="DashEqual1"/>
      </w:pPr>
      <w:r w:rsidRPr="00421BFA">
        <w:t>Актуално състояние</w:t>
      </w:r>
    </w:p>
    <w:p w:rsidR="00EC6B83" w:rsidRPr="00421BFA" w:rsidRDefault="00EC6B83" w:rsidP="002B32F6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  <w:b/>
          <w:bCs/>
        </w:rPr>
        <w:tab/>
      </w:r>
      <w:r w:rsidRPr="00421BFA">
        <w:rPr>
          <w:rFonts w:asciiTheme="majorBidi" w:hAnsiTheme="majorBidi"/>
        </w:rPr>
        <w:t xml:space="preserve">(евентуално) </w:t>
      </w:r>
      <w:r w:rsidRPr="00421BFA">
        <w:rPr>
          <w:rFonts w:asciiTheme="majorBidi" w:hAnsiTheme="majorBidi"/>
          <w:b/>
          <w:bCs/>
        </w:rPr>
        <w:t xml:space="preserve">Задълбочаване на Икономическия и паричен съюз (ИПС): Последващи действия във връзка с доклада на петимата председатели </w:t>
      </w:r>
    </w:p>
    <w:p w:rsidR="00EC6B83" w:rsidRPr="00421BFA" w:rsidRDefault="00EC6B83" w:rsidP="00352F01">
      <w:pPr>
        <w:pStyle w:val="DashEqual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Информация от Комисията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  <w:szCs w:val="24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  <w:b/>
          <w:bCs/>
        </w:rPr>
        <w:tab/>
        <w:t>Европейски семестър 2017 г.</w:t>
      </w:r>
    </w:p>
    <w:p w:rsidR="00EC6B83" w:rsidRPr="00421BFA" w:rsidRDefault="00EC6B83" w:rsidP="00352F01">
      <w:pPr>
        <w:pStyle w:val="Dash1"/>
      </w:pPr>
      <w:r w:rsidRPr="00421BFA">
        <w:t xml:space="preserve">Годишен обзор на растежа за 2017 г., Доклад за механизма за предупреждение за 2017 г. и проект за препоръка oтносно икономическата политика на еврозоната </w:t>
      </w:r>
    </w:p>
    <w:p w:rsidR="00EC6B83" w:rsidRPr="00421BFA" w:rsidRDefault="00EC6B83" w:rsidP="00352F01">
      <w:pPr>
        <w:pStyle w:val="DashEqual2"/>
      </w:pPr>
      <w:r w:rsidRPr="00421BFA">
        <w:t>Представяне от Комисията</w:t>
      </w:r>
    </w:p>
    <w:p w:rsidR="00EC6B83" w:rsidRPr="00421BFA" w:rsidRDefault="00EC6B83" w:rsidP="00352F01">
      <w:pPr>
        <w:pStyle w:val="DashEqual2"/>
      </w:pPr>
      <w:r w:rsidRPr="00421BFA">
        <w:t>Обмен на мнения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</w:r>
      <w:r w:rsidRPr="00421BFA">
        <w:rPr>
          <w:rFonts w:asciiTheme="majorBidi" w:hAnsiTheme="majorBidi"/>
          <w:b/>
          <w:bCs/>
        </w:rPr>
        <w:t>Борба с финансирането на тероризма</w:t>
      </w:r>
    </w:p>
    <w:p w:rsidR="00EC6B83" w:rsidRPr="00421BFA" w:rsidRDefault="00EC6B83" w:rsidP="00352F01">
      <w:pPr>
        <w:pStyle w:val="DashEqual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Представяне от Комисията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</w:rPr>
        <w:t>Доклад на Съвета по икономически и финансови въпроси до Европейския съвет относно данъчните въпроси</w:t>
      </w:r>
    </w:p>
    <w:p w:rsidR="00EC6B83" w:rsidRPr="00421BFA" w:rsidRDefault="00EC6B83" w:rsidP="00352F01">
      <w:pPr>
        <w:pStyle w:val="DashEqual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Одобряване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  <w:szCs w:val="24"/>
        </w:rPr>
        <w:t>–</w:t>
      </w:r>
      <w:r w:rsidRPr="00421BFA">
        <w:rPr>
          <w:rFonts w:asciiTheme="majorBidi" w:hAnsiTheme="majorBidi"/>
          <w:szCs w:val="24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  <w:szCs w:val="24"/>
        </w:rPr>
        <w:t xml:space="preserve">Заключения на Съвета във връзка с доклада на Комисията до Съвета относно оценката на Директива 92/83/ЕИО </w:t>
      </w:r>
    </w:p>
    <w:p w:rsidR="00EC6B83" w:rsidRPr="00421BFA" w:rsidRDefault="00EC6B83" w:rsidP="00352F01">
      <w:pPr>
        <w:pStyle w:val="DashEqual1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</w:rPr>
        <w:t>Одобряване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  <w:b/>
          <w:bCs/>
        </w:rPr>
        <w:tab/>
      </w:r>
      <w:r w:rsidRPr="00421BFA">
        <w:rPr>
          <w:rFonts w:asciiTheme="majorBidi" w:hAnsiTheme="majorBidi"/>
        </w:rPr>
        <w:t>(евентуално)</w:t>
      </w:r>
      <w:r w:rsidRPr="00421BFA">
        <w:rPr>
          <w:rFonts w:asciiTheme="majorBidi" w:hAnsiTheme="majorBidi"/>
          <w:b/>
          <w:bCs/>
        </w:rPr>
        <w:t xml:space="preserve"> Кодекс за поведение (Данъчно облагане на предприятия)</w:t>
      </w:r>
    </w:p>
    <w:p w:rsidR="00EC6B83" w:rsidRPr="00421BFA" w:rsidRDefault="00EC6B83" w:rsidP="00352F01">
      <w:pPr>
        <w:pStyle w:val="Dash1"/>
      </w:pPr>
      <w:r w:rsidRPr="00421BFA">
        <w:t>Доклад до Съвета</w:t>
      </w:r>
    </w:p>
    <w:p w:rsidR="00EC6B83" w:rsidRPr="00421BFA" w:rsidRDefault="00EC6B83" w:rsidP="00352F01">
      <w:pPr>
        <w:pStyle w:val="Dash1"/>
      </w:pPr>
      <w:r w:rsidRPr="00421BFA">
        <w:t>Проект за заключения на Съвета</w:t>
      </w:r>
    </w:p>
    <w:p w:rsidR="00EC6B83" w:rsidRPr="00421BFA" w:rsidRDefault="00EC6B83" w:rsidP="00EC6B83">
      <w:pPr>
        <w:pStyle w:val="DashEqual2"/>
        <w:numPr>
          <w:ilvl w:val="0"/>
          <w:numId w:val="22"/>
        </w:numPr>
        <w:tabs>
          <w:tab w:val="left" w:pos="720"/>
        </w:tabs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Одобряване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</w:rPr>
        <w:t>Изграждане на справедлива, конкурентоспособна и стабилна система за корпоративно данъчно облагане в ЕС</w:t>
      </w:r>
    </w:p>
    <w:p w:rsidR="00EC6B83" w:rsidRPr="00421BFA" w:rsidRDefault="00352F01" w:rsidP="00352F01">
      <w:pPr>
        <w:pStyle w:val="Dash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Проект за заключения на Съвета</w:t>
      </w:r>
    </w:p>
    <w:p w:rsidR="00EC6B83" w:rsidRPr="00421BFA" w:rsidRDefault="00EC6B83" w:rsidP="00EC6B83">
      <w:pPr>
        <w:pStyle w:val="DashEqual2"/>
        <w:numPr>
          <w:ilvl w:val="0"/>
          <w:numId w:val="22"/>
        </w:numPr>
        <w:tabs>
          <w:tab w:val="left" w:pos="720"/>
        </w:tabs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Одобряване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</w:rPr>
        <w:t xml:space="preserve">Доклад от групата на високо равнище на генералните директори на митниците относно стратегическите въпроси в областта на митниците </w:t>
      </w:r>
    </w:p>
    <w:p w:rsidR="00EC6B83" w:rsidRPr="00421BFA" w:rsidRDefault="00EC6B83" w:rsidP="00352F01">
      <w:pPr>
        <w:pStyle w:val="DashEqual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Одобряване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–</w:t>
      </w:r>
      <w:r w:rsidRPr="00421BFA">
        <w:rPr>
          <w:rFonts w:asciiTheme="majorBidi" w:hAnsiTheme="majorBidi"/>
        </w:rPr>
        <w:tab/>
        <w:t xml:space="preserve">(евентуално) </w:t>
      </w:r>
      <w:r w:rsidRPr="00421BFA">
        <w:rPr>
          <w:rFonts w:asciiTheme="majorBidi" w:hAnsiTheme="majorBidi"/>
          <w:b/>
          <w:bCs/>
        </w:rPr>
        <w:t>Подобряване на предвидимостта и прозрачността на Пакта за стабилност и растеж</w:t>
      </w:r>
    </w:p>
    <w:p w:rsidR="00EC6B83" w:rsidRPr="00421BFA" w:rsidRDefault="00352F01" w:rsidP="00352F01">
      <w:pPr>
        <w:pStyle w:val="DashEqual1"/>
        <w:rPr>
          <w:rFonts w:asciiTheme="majorBidi" w:hAnsiTheme="majorBidi" w:cstheme="majorBidi"/>
        </w:rPr>
      </w:pPr>
      <w:r w:rsidRPr="00421BFA">
        <w:rPr>
          <w:rFonts w:asciiTheme="majorBidi" w:hAnsiTheme="majorBidi"/>
        </w:rPr>
        <w:t>Доклад до министрите</w:t>
      </w:r>
    </w:p>
    <w:p w:rsidR="00EC6B83" w:rsidRPr="00421BFA" w:rsidRDefault="00B9189B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421BFA">
        <w:br w:type="page"/>
      </w:r>
      <w:bookmarkStart w:id="4" w:name="ControlPages"/>
      <w:bookmarkEnd w:id="4"/>
      <w:r w:rsidRPr="00421BFA">
        <w:rPr>
          <w:rFonts w:asciiTheme="majorBidi" w:hAnsiTheme="majorBidi"/>
        </w:rPr>
        <w:lastRenderedPageBreak/>
        <w:t>–</w:t>
      </w:r>
      <w:r w:rsidRPr="00421BFA">
        <w:rPr>
          <w:rFonts w:asciiTheme="majorBidi" w:hAnsiTheme="majorBidi"/>
        </w:rPr>
        <w:tab/>
        <w:t>(евентуално)</w:t>
      </w:r>
      <w:r w:rsidRPr="00421BFA">
        <w:rPr>
          <w:rFonts w:asciiTheme="majorBidi" w:hAnsiTheme="majorBidi"/>
          <w:b/>
          <w:bCs/>
        </w:rPr>
        <w:t xml:space="preserve"> Прилагане на Пакта за стабилност и растеж (*)</w:t>
      </w:r>
    </w:p>
    <w:p w:rsidR="00EC6B83" w:rsidRPr="00421BFA" w:rsidRDefault="00EC6B83" w:rsidP="00352F01">
      <w:pPr>
        <w:pStyle w:val="DashEqual1"/>
        <w:rPr>
          <w:rFonts w:asciiTheme="majorBidi" w:hAnsiTheme="majorBidi" w:cstheme="majorBidi"/>
        </w:rPr>
      </w:pPr>
      <w:r w:rsidRPr="00421BFA">
        <w:t>Препоръки/решения/становище на Съвета</w:t>
      </w:r>
    </w:p>
    <w:p w:rsidR="00EC6B83" w:rsidRPr="00421BFA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  <w:szCs w:val="24"/>
        </w:rPr>
        <w:t>–</w:t>
      </w:r>
      <w:r w:rsidRPr="00421BFA">
        <w:rPr>
          <w:rFonts w:asciiTheme="majorBidi" w:hAnsiTheme="majorBidi"/>
          <w:szCs w:val="24"/>
        </w:rPr>
        <w:tab/>
        <w:t>Други въпроси</w:t>
      </w:r>
    </w:p>
    <w:p w:rsidR="00EC6B83" w:rsidRPr="00421BFA" w:rsidRDefault="00EC6B83" w:rsidP="00352F01">
      <w:pPr>
        <w:pStyle w:val="Dash1"/>
        <w:rPr>
          <w:b/>
          <w:bCs/>
          <w:szCs w:val="24"/>
        </w:rPr>
      </w:pPr>
      <w:r w:rsidRPr="00421BFA">
        <w:rPr>
          <w:b/>
          <w:bCs/>
        </w:rPr>
        <w:t>Съюз на капиталовите пазари</w:t>
      </w:r>
    </w:p>
    <w:p w:rsidR="00EC6B83" w:rsidRPr="00421BFA" w:rsidRDefault="00EC6B83" w:rsidP="00352F01">
      <w:pPr>
        <w:pStyle w:val="DashEqual2"/>
      </w:pPr>
      <w:r w:rsidRPr="00421BFA">
        <w:t>Информация от Комисията</w:t>
      </w:r>
    </w:p>
    <w:bookmarkEnd w:id="2"/>
    <w:bookmarkEnd w:id="3"/>
    <w:p w:rsidR="000D6B74" w:rsidRPr="00421BFA" w:rsidRDefault="000D6B74" w:rsidP="00B9189B">
      <w:pPr>
        <w:spacing w:before="720"/>
      </w:pPr>
      <w:r w:rsidRPr="00421BFA">
        <w:t>____________________</w:t>
      </w:r>
    </w:p>
    <w:p w:rsidR="000D6B74" w:rsidRPr="00421BFA" w:rsidRDefault="000D6B74" w:rsidP="000D6B74">
      <w:pPr>
        <w:spacing w:before="40"/>
      </w:pPr>
      <w:r w:rsidRPr="00421BFA">
        <w:t>(*)</w:t>
      </w:r>
      <w:r w:rsidRPr="00421BFA">
        <w:tab/>
        <w:t>Точка, по която може да бъде поискано гласуване</w:t>
      </w:r>
    </w:p>
    <w:p w:rsidR="000D6B74" w:rsidRPr="00421BFA" w:rsidRDefault="000D6B74" w:rsidP="00B9189B">
      <w:pPr>
        <w:spacing w:before="600"/>
        <w:jc w:val="center"/>
        <w:rPr>
          <w:snapToGrid w:val="0"/>
        </w:rPr>
      </w:pPr>
      <w:r w:rsidRPr="00421BFA">
        <w:rPr>
          <w:snapToGrid w:val="0"/>
        </w:rPr>
        <w:t>o</w:t>
      </w:r>
    </w:p>
    <w:p w:rsidR="000D6B74" w:rsidRPr="00421BFA" w:rsidRDefault="000D6B74" w:rsidP="000D6B74">
      <w:pPr>
        <w:spacing w:before="120"/>
        <w:jc w:val="center"/>
        <w:rPr>
          <w:snapToGrid w:val="0"/>
        </w:rPr>
      </w:pPr>
      <w:r w:rsidRPr="00421BFA">
        <w:rPr>
          <w:snapToGrid w:val="0"/>
        </w:rPr>
        <w:t>o</w:t>
      </w:r>
      <w:r w:rsidRPr="00421BFA">
        <w:rPr>
          <w:snapToGrid w:val="0"/>
        </w:rPr>
        <w:tab/>
        <w:t>o</w:t>
      </w:r>
    </w:p>
    <w:p w:rsidR="000D6B74" w:rsidRPr="00421BFA" w:rsidRDefault="000D6B74" w:rsidP="000D6B74">
      <w:pPr>
        <w:spacing w:before="200"/>
        <w:rPr>
          <w:b/>
          <w:bCs/>
        </w:rPr>
      </w:pPr>
      <w:r w:rsidRPr="00421BFA">
        <w:rPr>
          <w:b/>
          <w:bCs/>
        </w:rPr>
        <w:t>p.m.:</w:t>
      </w:r>
    </w:p>
    <w:p w:rsidR="00EC6B83" w:rsidRPr="00421BFA" w:rsidRDefault="00EC6B83" w:rsidP="008275A7">
      <w:pPr>
        <w:spacing w:before="200"/>
        <w:rPr>
          <w:rFonts w:asciiTheme="majorBidi" w:hAnsiTheme="majorBidi" w:cstheme="majorBidi"/>
          <w:b/>
          <w:bCs/>
          <w:szCs w:val="24"/>
          <w:u w:val="single"/>
        </w:rPr>
      </w:pPr>
      <w:r w:rsidRPr="00421BFA">
        <w:rPr>
          <w:rFonts w:asciiTheme="majorBidi" w:hAnsiTheme="majorBidi"/>
          <w:b/>
          <w:bCs/>
          <w:szCs w:val="24"/>
          <w:u w:val="single"/>
        </w:rPr>
        <w:t>5 декември 2016 г., понеделник</w:t>
      </w:r>
    </w:p>
    <w:p w:rsidR="00EC6B83" w:rsidRPr="00421BFA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  <w:szCs w:val="24"/>
        </w:rPr>
        <w:t>10,00 ч.</w:t>
      </w:r>
      <w:r w:rsidRPr="00421BFA">
        <w:rPr>
          <w:rFonts w:asciiTheme="majorBidi" w:hAnsiTheme="majorBidi"/>
          <w:szCs w:val="24"/>
        </w:rPr>
        <w:tab/>
      </w:r>
      <w:r w:rsidRPr="00421BFA">
        <w:rPr>
          <w:rFonts w:asciiTheme="majorBidi" w:hAnsiTheme="majorBidi"/>
          <w:szCs w:val="24"/>
        </w:rPr>
        <w:tab/>
        <w:t>Еврогрупа</w:t>
      </w:r>
    </w:p>
    <w:p w:rsidR="00EC6B83" w:rsidRPr="00421BFA" w:rsidRDefault="00EC6B83" w:rsidP="008275A7">
      <w:pPr>
        <w:spacing w:before="200"/>
        <w:rPr>
          <w:rFonts w:asciiTheme="majorBidi" w:hAnsiTheme="majorBidi" w:cstheme="majorBidi"/>
          <w:b/>
          <w:bCs/>
          <w:szCs w:val="24"/>
          <w:u w:val="single"/>
        </w:rPr>
      </w:pPr>
      <w:r w:rsidRPr="00421BFA">
        <w:rPr>
          <w:rFonts w:asciiTheme="majorBidi" w:hAnsiTheme="majorBidi"/>
          <w:b/>
          <w:bCs/>
          <w:szCs w:val="24"/>
          <w:u w:val="single"/>
        </w:rPr>
        <w:t>6 декември 2016 г., вторник</w:t>
      </w:r>
    </w:p>
    <w:p w:rsidR="00EC6B83" w:rsidRPr="00421BFA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  <w:szCs w:val="24"/>
        </w:rPr>
        <w:t>09,00 ч.</w:t>
      </w:r>
      <w:r w:rsidRPr="00421BFA">
        <w:rPr>
          <w:rFonts w:asciiTheme="majorBidi" w:hAnsiTheme="majorBidi"/>
          <w:szCs w:val="24"/>
        </w:rPr>
        <w:tab/>
      </w:r>
      <w:r w:rsidRPr="00421BFA">
        <w:rPr>
          <w:rFonts w:asciiTheme="majorBidi" w:hAnsiTheme="majorBidi"/>
          <w:szCs w:val="24"/>
        </w:rPr>
        <w:tab/>
        <w:t>Работна закуска</w:t>
      </w:r>
    </w:p>
    <w:p w:rsidR="00EC6B83" w:rsidRPr="00421BFA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 w:rsidRPr="00421BFA">
        <w:rPr>
          <w:rFonts w:asciiTheme="majorBidi" w:hAnsiTheme="majorBidi"/>
          <w:szCs w:val="24"/>
        </w:rPr>
        <w:t>10,00 ч.</w:t>
      </w:r>
      <w:r w:rsidRPr="00421BFA">
        <w:rPr>
          <w:rFonts w:asciiTheme="majorBidi" w:hAnsiTheme="majorBidi"/>
          <w:szCs w:val="24"/>
        </w:rPr>
        <w:tab/>
      </w:r>
      <w:r w:rsidRPr="00421BFA">
        <w:rPr>
          <w:rFonts w:asciiTheme="majorBidi" w:hAnsiTheme="majorBidi"/>
          <w:szCs w:val="24"/>
        </w:rPr>
        <w:tab/>
        <w:t>Съвет (Икономически и финансови въпроси)</w:t>
      </w:r>
    </w:p>
    <w:p w:rsidR="00CC52EC" w:rsidRPr="00421BFA" w:rsidRDefault="00CC52EC" w:rsidP="00B9189B">
      <w:pPr>
        <w:pStyle w:val="FinalLine"/>
        <w:spacing w:before="840"/>
      </w:pPr>
    </w:p>
    <w:p w:rsidR="00CC52EC" w:rsidRPr="00421BFA" w:rsidRDefault="000A1C7C" w:rsidP="000A1C7C">
      <w:pPr>
        <w:pStyle w:val="NB"/>
      </w:pPr>
      <w:r w:rsidRPr="00421BFA">
        <w:t>NB:</w:t>
      </w:r>
      <w:r w:rsidRPr="00421BFA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3549DE" w:rsidRPr="000A1C7C" w:rsidRDefault="000A1C7C" w:rsidP="000A1C7C">
      <w:pPr>
        <w:pStyle w:val="NB"/>
      </w:pPr>
      <w:r w:rsidRPr="00421BFA">
        <w:t>NB:</w:t>
      </w:r>
      <w:r w:rsidRPr="00421BFA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3549DE" w:rsidRPr="000A1C7C" w:rsidSect="00453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EC" w:rsidRDefault="00CC52EC" w:rsidP="00CC52EC">
      <w:r>
        <w:separator/>
      </w:r>
    </w:p>
  </w:endnote>
  <w:endnote w:type="continuationSeparator" w:id="0">
    <w:p w:rsidR="00CC52EC" w:rsidRDefault="00CC52EC" w:rsidP="00C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453C4B" w:rsidRDefault="00734D6C" w:rsidP="00453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53C4B" w:rsidRPr="00D94637" w:rsidTr="00453C4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53C4B" w:rsidRPr="00D94637" w:rsidRDefault="00453C4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453C4B" w:rsidRPr="00B310DC" w:rsidTr="00453C4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53C4B" w:rsidRPr="00AD7BF2" w:rsidRDefault="00453C4B" w:rsidP="004F54B2">
          <w:pPr>
            <w:pStyle w:val="FooterText"/>
          </w:pPr>
          <w:r>
            <w:t>CM 4925/16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53C4B" w:rsidRPr="00AD7BF2" w:rsidRDefault="00453C4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53C4B" w:rsidRPr="002511D8" w:rsidRDefault="00453C4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53C4B" w:rsidRPr="00B310DC" w:rsidRDefault="00453C4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53C4B" w:rsidRPr="00D94637" w:rsidTr="00453C4B">
      <w:trPr>
        <w:jc w:val="center"/>
      </w:trPr>
      <w:tc>
        <w:tcPr>
          <w:tcW w:w="1774" w:type="pct"/>
          <w:shd w:val="clear" w:color="auto" w:fill="auto"/>
        </w:tcPr>
        <w:p w:rsidR="00453C4B" w:rsidRPr="00AD7BF2" w:rsidRDefault="00453C4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53C4B" w:rsidRPr="00AD7BF2" w:rsidRDefault="00453C4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53C4B" w:rsidRPr="00D94637" w:rsidRDefault="00453C4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53C4B" w:rsidRPr="00D94637" w:rsidRDefault="00453C4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5"/>
  </w:tbl>
  <w:p w:rsidR="00CC52EC" w:rsidRPr="00453C4B" w:rsidRDefault="00CC52EC" w:rsidP="00453C4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53C4B" w:rsidRPr="00D94637" w:rsidTr="00453C4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53C4B" w:rsidRPr="00D94637" w:rsidRDefault="00453C4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53C4B" w:rsidRPr="00B310DC" w:rsidTr="00453C4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53C4B" w:rsidRPr="00AD7BF2" w:rsidRDefault="00453C4B" w:rsidP="004F54B2">
          <w:pPr>
            <w:pStyle w:val="FooterText"/>
          </w:pPr>
          <w:r>
            <w:t>CM 4925/16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53C4B" w:rsidRPr="00AD7BF2" w:rsidRDefault="00453C4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53C4B" w:rsidRPr="002511D8" w:rsidRDefault="00453C4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53C4B" w:rsidRPr="00B310DC" w:rsidRDefault="00453C4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53C4B" w:rsidRPr="00D94637" w:rsidTr="00453C4B">
      <w:trPr>
        <w:jc w:val="center"/>
      </w:trPr>
      <w:tc>
        <w:tcPr>
          <w:tcW w:w="1774" w:type="pct"/>
          <w:shd w:val="clear" w:color="auto" w:fill="auto"/>
        </w:tcPr>
        <w:p w:rsidR="00453C4B" w:rsidRPr="00AD7BF2" w:rsidRDefault="00453C4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53C4B" w:rsidRPr="00AD7BF2" w:rsidRDefault="00453C4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53C4B" w:rsidRPr="00D94637" w:rsidRDefault="00453C4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53C4B" w:rsidRPr="00D94637" w:rsidRDefault="00453C4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CC52EC" w:rsidRPr="00453C4B" w:rsidRDefault="00CC52EC" w:rsidP="00453C4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EC" w:rsidRDefault="00CC52EC" w:rsidP="00CC52EC">
      <w:r>
        <w:separator/>
      </w:r>
    </w:p>
  </w:footnote>
  <w:footnote w:type="continuationSeparator" w:id="0">
    <w:p w:rsidR="00CC52EC" w:rsidRDefault="00CC52EC" w:rsidP="00CC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453C4B" w:rsidRDefault="00734D6C" w:rsidP="00453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453C4B" w:rsidRDefault="00734D6C" w:rsidP="00453C4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453C4B" w:rsidRDefault="00734D6C" w:rsidP="00453C4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D2E2743"/>
    <w:multiLevelType w:val="singleLevel"/>
    <w:tmpl w:val="FC58751A"/>
    <w:lvl w:ilvl="0">
      <w:start w:val="1"/>
      <w:numFmt w:val="bullet"/>
      <w:lvlRestart w:val="0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7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8">
    <w:nsid w:val="2BD82C0C"/>
    <w:multiLevelType w:val="singleLevel"/>
    <w:tmpl w:val="7C183DDA"/>
    <w:lvl w:ilvl="0">
      <w:start w:val="1"/>
      <w:numFmt w:val="bullet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11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4DCC621E"/>
    <w:multiLevelType w:val="singleLevel"/>
    <w:tmpl w:val="2CD8C9DC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51A16676"/>
    <w:multiLevelType w:val="singleLevel"/>
    <w:tmpl w:val="DB12E56A"/>
    <w:lvl w:ilvl="0">
      <w:start w:val="1"/>
      <w:numFmt w:val="bullet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6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7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9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1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2">
    <w:nsid w:val="74A41B13"/>
    <w:multiLevelType w:val="singleLevel"/>
    <w:tmpl w:val="2EC82C78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3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4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5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6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7"/>
  </w:num>
  <w:num w:numId="5">
    <w:abstractNumId w:val="2"/>
  </w:num>
  <w:num w:numId="6">
    <w:abstractNumId w:val="24"/>
  </w:num>
  <w:num w:numId="7">
    <w:abstractNumId w:val="26"/>
  </w:num>
  <w:num w:numId="8">
    <w:abstractNumId w:val="14"/>
  </w:num>
  <w:num w:numId="9">
    <w:abstractNumId w:val="23"/>
  </w:num>
  <w:num w:numId="10">
    <w:abstractNumId w:val="18"/>
  </w:num>
  <w:num w:numId="11">
    <w:abstractNumId w:val="10"/>
  </w:num>
  <w:num w:numId="12">
    <w:abstractNumId w:val="6"/>
  </w:num>
  <w:num w:numId="13">
    <w:abstractNumId w:val="4"/>
  </w:num>
  <w:num w:numId="14">
    <w:abstractNumId w:val="19"/>
  </w:num>
  <w:num w:numId="15">
    <w:abstractNumId w:val="25"/>
  </w:num>
  <w:num w:numId="16">
    <w:abstractNumId w:val="0"/>
  </w:num>
  <w:num w:numId="17">
    <w:abstractNumId w:val="7"/>
  </w:num>
  <w:num w:numId="18">
    <w:abstractNumId w:val="3"/>
  </w:num>
  <w:num w:numId="19">
    <w:abstractNumId w:val="15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  <w:num w:numId="24">
    <w:abstractNumId w:val="13"/>
  </w:num>
  <w:num w:numId="25">
    <w:abstractNumId w:val="12"/>
  </w:num>
  <w:num w:numId="26">
    <w:abstractNumId w:val="14"/>
  </w:num>
  <w:num w:numId="27">
    <w:abstractNumId w:val="1"/>
  </w:num>
  <w:num w:numId="28">
    <w:abstractNumId w:val="14"/>
  </w:num>
  <w:num w:numId="29">
    <w:abstractNumId w:val="1"/>
  </w:num>
  <w:num w:numId="30">
    <w:abstractNumId w:val="14"/>
  </w:num>
  <w:num w:numId="31">
    <w:abstractNumId w:val="1"/>
  </w:num>
  <w:num w:numId="32">
    <w:abstractNumId w:val="1"/>
  </w:num>
  <w:num w:numId="33">
    <w:abstractNumId w:val="14"/>
  </w:num>
  <w:num w:numId="34">
    <w:abstractNumId w:val="1"/>
  </w:num>
  <w:num w:numId="35">
    <w:abstractNumId w:val="1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5369ee0a-99bb-4e28-84f1-18aeb023d9d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2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92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COFIN&lt;/text&gt;_x000d__x000a_    &lt;/textlist&gt;_x000d__x000a_  &lt;/metadata&gt;_x000d__x000a_  &lt;metadata key=&quot;md_Contact&quot; translate=&quot;false&quot;&gt;_x000d__x000a_    &lt;text&gt;&amp;#1043;-&amp;#1085;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12-0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C52EC"/>
    <w:rsid w:val="000A1C7C"/>
    <w:rsid w:val="000D6B74"/>
    <w:rsid w:val="0018095E"/>
    <w:rsid w:val="002B32F6"/>
    <w:rsid w:val="00352F01"/>
    <w:rsid w:val="003549DE"/>
    <w:rsid w:val="00421BFA"/>
    <w:rsid w:val="00425FB1"/>
    <w:rsid w:val="00453C4B"/>
    <w:rsid w:val="00521B1B"/>
    <w:rsid w:val="00606181"/>
    <w:rsid w:val="006F6F60"/>
    <w:rsid w:val="00703639"/>
    <w:rsid w:val="00703E1F"/>
    <w:rsid w:val="00734D6C"/>
    <w:rsid w:val="00774DC2"/>
    <w:rsid w:val="00794657"/>
    <w:rsid w:val="008275A7"/>
    <w:rsid w:val="00827BC8"/>
    <w:rsid w:val="0087246C"/>
    <w:rsid w:val="00B87FBE"/>
    <w:rsid w:val="00B9189B"/>
    <w:rsid w:val="00BA39B9"/>
    <w:rsid w:val="00BE6B17"/>
    <w:rsid w:val="00C264C3"/>
    <w:rsid w:val="00C53F63"/>
    <w:rsid w:val="00CC52EC"/>
    <w:rsid w:val="00D030BA"/>
    <w:rsid w:val="00DA4ADE"/>
    <w:rsid w:val="00DD3AF0"/>
    <w:rsid w:val="00E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74DC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C52E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C52EC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CC52EC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CC52EC"/>
    <w:rPr>
      <w:rFonts w:eastAsia="Times New Roman"/>
      <w:szCs w:val="24"/>
    </w:rPr>
  </w:style>
  <w:style w:type="character" w:customStyle="1" w:styleId="PointManualChar">
    <w:name w:val="Point Manual Char"/>
    <w:link w:val="PointManual"/>
    <w:rsid w:val="000D6B74"/>
    <w:rPr>
      <w:rFonts w:ascii="Times New Roman" w:hAnsi="Times New Roman" w:cs="Times New Roman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74DC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C52E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C52EC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CC52EC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CC52EC"/>
    <w:rPr>
      <w:rFonts w:eastAsia="Times New Roman"/>
      <w:szCs w:val="24"/>
    </w:rPr>
  </w:style>
  <w:style w:type="character" w:customStyle="1" w:styleId="PointManualChar">
    <w:name w:val="Point Manual Char"/>
    <w:link w:val="PointManual"/>
    <w:rsid w:val="000D6B74"/>
    <w:rPr>
      <w:rFonts w:ascii="Times New Roman" w:hAnsi="Times New Roman" w:cs="Times New Roman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VASILEVA Sokolova Veselina</cp:lastModifiedBy>
  <cp:revision>4</cp:revision>
  <cp:lastPrinted>2016-11-21T13:40:00Z</cp:lastPrinted>
  <dcterms:created xsi:type="dcterms:W3CDTF">2016-11-22T12:38:00Z</dcterms:created>
  <dcterms:modified xsi:type="dcterms:W3CDTF">2016-11-22T12:40:00Z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  <property fmtid="{D5CDD505-2E9C-101B-9397-08002B2CF9AE}" pid="5" name="SkipControlLengthPage">
    <vt:lpwstr/>
  </property>
</Properties>
</file>