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EC" w:rsidRPr="008A0941" w:rsidRDefault="00CF229F" w:rsidP="008A094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5adaf96-d3d6-47f3-a552-dfbc70f7e1cd_0" style="width:568.45pt;height:490.6pt">
            <v:imagedata r:id="rId8" o:title=""/>
          </v:shape>
        </w:pict>
      </w:r>
      <w:bookmarkEnd w:id="0"/>
    </w:p>
    <w:p w:rsidR="000D6B74" w:rsidRPr="00AF4024" w:rsidRDefault="000D6B74" w:rsidP="00B9189B">
      <w:pPr>
        <w:pStyle w:val="PointManual"/>
        <w:spacing w:before="480"/>
      </w:pPr>
      <w:r w:rsidRPr="00AF4024">
        <w:t>-</w:t>
      </w:r>
      <w:r w:rsidRPr="00AF4024">
        <w:tab/>
        <w:t>Adoption de l'ordre du jour</w:t>
      </w:r>
    </w:p>
    <w:p w:rsidR="000D6B74" w:rsidRPr="00AF4024" w:rsidRDefault="000D6B74" w:rsidP="00B9189B">
      <w:pPr>
        <w:pStyle w:val="NormalCentered"/>
        <w:spacing w:before="480"/>
        <w:rPr>
          <w:b/>
          <w:bCs/>
          <w:i/>
          <w:u w:val="single"/>
        </w:rPr>
      </w:pPr>
      <w:r w:rsidRPr="00AF4024">
        <w:rPr>
          <w:b/>
          <w:bCs/>
          <w:u w:val="single"/>
        </w:rPr>
        <w:t>Délibérations législatives</w:t>
      </w:r>
    </w:p>
    <w:p w:rsidR="000D6B74" w:rsidRPr="00AF4024" w:rsidRDefault="000D6B74" w:rsidP="000D6B74">
      <w:pPr>
        <w:pStyle w:val="NormalCentered"/>
        <w:spacing w:before="0"/>
        <w:rPr>
          <w:b/>
          <w:bCs/>
          <w:i/>
        </w:rPr>
      </w:pPr>
      <w:r w:rsidRPr="00AF4024">
        <w:rPr>
          <w:b/>
          <w:bCs/>
        </w:rPr>
        <w:t xml:space="preserve">(Délibération publique conformément à l'article 16, paragraphe 8, </w:t>
      </w:r>
      <w:r w:rsidR="00CF229F">
        <w:rPr>
          <w:b/>
          <w:bCs/>
        </w:rPr>
        <w:br/>
      </w:r>
      <w:r w:rsidRPr="00AF4024">
        <w:rPr>
          <w:b/>
          <w:bCs/>
        </w:rPr>
        <w:t>du traité sur l'Union européenne)</w:t>
      </w:r>
    </w:p>
    <w:p w:rsidR="000D6B74" w:rsidRPr="00AF4024" w:rsidRDefault="000D6B74" w:rsidP="00B9189B">
      <w:pPr>
        <w:pStyle w:val="PointManual"/>
        <w:spacing w:before="360"/>
      </w:pPr>
      <w:r w:rsidRPr="00AF4024">
        <w:t>-</w:t>
      </w:r>
      <w:r w:rsidRPr="00AF4024">
        <w:tab/>
        <w:t>(évent.) Approbation de la liste des points "A"</w:t>
      </w:r>
    </w:p>
    <w:p w:rsidR="0018095E" w:rsidRPr="00AF4024" w:rsidRDefault="00EC6B83" w:rsidP="00CF229F">
      <w:pPr>
        <w:pStyle w:val="PointManual"/>
        <w:spacing w:before="0"/>
        <w:rPr>
          <w:rFonts w:asciiTheme="majorBidi" w:hAnsiTheme="majorBidi" w:cstheme="majorBidi"/>
          <w:szCs w:val="24"/>
        </w:rPr>
      </w:pPr>
      <w:r w:rsidRPr="00AF4024">
        <w:br w:type="page"/>
      </w:r>
      <w:r w:rsidRPr="00AF4024">
        <w:rPr>
          <w:rFonts w:asciiTheme="majorBidi" w:hAnsiTheme="majorBidi"/>
          <w:szCs w:val="24"/>
        </w:rPr>
        <w:lastRenderedPageBreak/>
        <w:t>-</w:t>
      </w:r>
      <w:r w:rsidRPr="00AF4024">
        <w:rPr>
          <w:rFonts w:asciiTheme="majorBidi" w:hAnsiTheme="majorBidi"/>
          <w:b/>
          <w:bCs/>
          <w:szCs w:val="24"/>
        </w:rPr>
        <w:tab/>
        <w:t xml:space="preserve">Plan d'investissement pour l'Europe </w:t>
      </w:r>
    </w:p>
    <w:p w:rsidR="0018095E" w:rsidRPr="00AF4024" w:rsidRDefault="0018095E" w:rsidP="0018095E">
      <w:pPr>
        <w:pStyle w:val="Dash1"/>
        <w:rPr>
          <w:szCs w:val="24"/>
        </w:rPr>
      </w:pPr>
      <w:r w:rsidRPr="00AF4024">
        <w:t xml:space="preserve">EFSI - Règlement modifiant le règlement (UE) 2015/1017 sur le Fonds européen pour les investissements stratégiques, la plateforme européenne de conseil en investissement et le portail européen de projets d'investissement </w:t>
      </w:r>
      <w:r w:rsidRPr="00AF4024">
        <w:rPr>
          <w:b/>
          <w:bCs/>
        </w:rPr>
        <w:t>(Première lecture)</w:t>
      </w:r>
    </w:p>
    <w:p w:rsidR="0018095E" w:rsidRPr="00AF4024" w:rsidRDefault="0087246C" w:rsidP="0087246C">
      <w:pPr>
        <w:pStyle w:val="DashEqual2"/>
      </w:pPr>
      <w:r w:rsidRPr="00AF4024">
        <w:t>Orientation générale</w:t>
      </w:r>
    </w:p>
    <w:p w:rsidR="0018095E" w:rsidRPr="00AF4024" w:rsidRDefault="0018095E" w:rsidP="0087246C">
      <w:pPr>
        <w:pStyle w:val="Dash1"/>
      </w:pPr>
      <w:r w:rsidRPr="00AF4024">
        <w:t>(évent.) Supprimer les obstacles à l'investissement identifiés au titre du troisième pilier du plan d'investissement pour l'Europe</w:t>
      </w:r>
    </w:p>
    <w:p w:rsidR="0018095E" w:rsidRPr="00AF4024" w:rsidRDefault="0018095E" w:rsidP="0087246C">
      <w:pPr>
        <w:pStyle w:val="DashEqual2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Projet de conclusions du Conseil</w:t>
      </w:r>
    </w:p>
    <w:p w:rsidR="0018095E" w:rsidRPr="00AF4024" w:rsidRDefault="0018095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Directive sur la lutte contre l'évasion fiscale (2)</w:t>
      </w:r>
    </w:p>
    <w:p w:rsidR="0018095E" w:rsidRPr="00AF4024" w:rsidRDefault="0018095E" w:rsidP="0087246C">
      <w:pPr>
        <w:pStyle w:val="Dash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Proposition de directive du Conseil modifiant la directive (UE) 2016/1164 en ce qui concerne les dispositifs hybrides faisant intervenir des pays tiers</w:t>
      </w:r>
    </w:p>
    <w:p w:rsidR="0018095E" w:rsidRPr="00AF4024" w:rsidRDefault="0018095E" w:rsidP="0087246C">
      <w:pPr>
        <w:pStyle w:val="DashEqual2"/>
        <w:rPr>
          <w:rFonts w:asciiTheme="majorBidi" w:hAnsiTheme="majorBidi" w:cstheme="majorBidi"/>
        </w:rPr>
      </w:pPr>
      <w:r w:rsidRPr="00AF4024">
        <w:t>Orientation générale</w:t>
      </w:r>
    </w:p>
    <w:p w:rsidR="0018095E" w:rsidRPr="00AF4024" w:rsidRDefault="00B87FBE" w:rsidP="00CF229F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Coopération renforcée dans le domaine de la taxe sur les transactions financières</w:t>
      </w:r>
    </w:p>
    <w:p w:rsidR="0018095E" w:rsidRPr="00AF4024" w:rsidRDefault="0018095E" w:rsidP="0087246C">
      <w:pPr>
        <w:pStyle w:val="Dash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 xml:space="preserve">Proposition de directive du Conseil mettant en œuvre une coopération renforcée dans le domaine de la taxe sur les transactions financières </w:t>
      </w:r>
    </w:p>
    <w:p w:rsidR="0018095E" w:rsidRPr="00AF4024" w:rsidRDefault="0018095E" w:rsidP="0087246C">
      <w:pPr>
        <w:pStyle w:val="DashEqual2"/>
        <w:rPr>
          <w:rFonts w:asciiTheme="majorBidi" w:hAnsiTheme="majorBidi" w:cstheme="majorBidi"/>
        </w:rPr>
      </w:pPr>
      <w:r w:rsidRPr="00AF4024">
        <w:t>État d'avancement des travaux</w:t>
      </w:r>
    </w:p>
    <w:p w:rsidR="0018095E" w:rsidRPr="00AF4024" w:rsidRDefault="00B87FB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Renforcement de l'union bancaire</w:t>
      </w:r>
    </w:p>
    <w:p w:rsidR="0018095E" w:rsidRPr="00AF4024" w:rsidRDefault="0018095E" w:rsidP="0087246C">
      <w:pPr>
        <w:pStyle w:val="Dash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 xml:space="preserve">Proposition de règlement du Parlement européen et du Conseil modifiant le règlement (UE) n° 806/2014 afin d'établir un système européen d'assurance des dépôts </w:t>
      </w:r>
      <w:r w:rsidRPr="00CF229F">
        <w:rPr>
          <w:rFonts w:asciiTheme="majorBidi" w:hAnsiTheme="majorBidi"/>
          <w:b/>
          <w:bCs/>
        </w:rPr>
        <w:t>(</w:t>
      </w:r>
      <w:r w:rsidR="00CF229F">
        <w:rPr>
          <w:rFonts w:asciiTheme="majorBidi" w:hAnsiTheme="majorBidi"/>
          <w:b/>
          <w:bCs/>
        </w:rPr>
        <w:t>première </w:t>
      </w:r>
      <w:r w:rsidRPr="00AF4024">
        <w:rPr>
          <w:rFonts w:asciiTheme="majorBidi" w:hAnsiTheme="majorBidi"/>
          <w:b/>
          <w:bCs/>
        </w:rPr>
        <w:t>lecture</w:t>
      </w:r>
      <w:r w:rsidRPr="00CF229F">
        <w:rPr>
          <w:rFonts w:asciiTheme="majorBidi" w:hAnsiTheme="majorBidi"/>
          <w:b/>
          <w:bCs/>
        </w:rPr>
        <w:t>)</w:t>
      </w:r>
    </w:p>
    <w:p w:rsidR="0018095E" w:rsidRPr="00AF4024" w:rsidRDefault="0018095E" w:rsidP="0087246C">
      <w:pPr>
        <w:pStyle w:val="DashEqual2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État d'avancement des travaux</w:t>
      </w:r>
    </w:p>
    <w:p w:rsidR="0018095E" w:rsidRPr="00AF4024" w:rsidRDefault="0018095E" w:rsidP="0087246C">
      <w:pPr>
        <w:pStyle w:val="Dash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 xml:space="preserve">Propositions visant à modifier: </w:t>
      </w:r>
    </w:p>
    <w:p w:rsidR="0018095E" w:rsidRPr="00AF4024" w:rsidRDefault="0018095E" w:rsidP="00827BC8">
      <w:pPr>
        <w:pStyle w:val="Dash2"/>
      </w:pPr>
      <w:r w:rsidRPr="00AF4024">
        <w:t>la directive 2013/36/UE concernant l'accès à l'activité des établissements de crédit et la surveillance prudentielle des établissements de crédit et des entreprises d'investissement (CRD IV)</w:t>
      </w:r>
    </w:p>
    <w:p w:rsidR="0018095E" w:rsidRPr="00AF4024" w:rsidRDefault="0018095E" w:rsidP="00827BC8">
      <w:pPr>
        <w:pStyle w:val="Dash2"/>
      </w:pPr>
      <w:r w:rsidRPr="00AF4024">
        <w:t>le règlement (UE) n° 575/2013 concernant les exigences prudentielles applicables aux établissements de crédit et aux entreprises d'investissement</w:t>
      </w:r>
    </w:p>
    <w:p w:rsidR="0018095E" w:rsidRPr="00AF4024" w:rsidRDefault="0018095E" w:rsidP="00827BC8">
      <w:pPr>
        <w:pStyle w:val="Dash2"/>
      </w:pPr>
      <w:r w:rsidRPr="00AF4024">
        <w:t>la directive 2014/59/UE, en ce qui concerne le redressement et la résolution des établissements de crédit et des entreprises d'investissement</w:t>
      </w:r>
    </w:p>
    <w:p w:rsidR="0018095E" w:rsidRPr="00AF4024" w:rsidRDefault="0018095E" w:rsidP="00827BC8">
      <w:pPr>
        <w:pStyle w:val="Dash2"/>
      </w:pPr>
      <w:r w:rsidRPr="00AF4024">
        <w:t>la directive 2014/59/UE, en ce qui concerne le niveau de priorité des titres de créance non sécurisés dans la hiérarchie d'insolvabilité</w:t>
      </w:r>
    </w:p>
    <w:p w:rsidR="0018095E" w:rsidRPr="00AF4024" w:rsidRDefault="0018095E" w:rsidP="00827BC8">
      <w:pPr>
        <w:pStyle w:val="Dash2"/>
      </w:pPr>
      <w:r w:rsidRPr="00AF4024">
        <w:t>le règlement (UE) n° 806/2014 établissant des règles et une procédure uniformes pour la résolution des établissements de crédit et de certaines entreprises d'investissement (MRU)</w:t>
      </w:r>
    </w:p>
    <w:p w:rsidR="0018095E" w:rsidRPr="00AF4024" w:rsidRDefault="0018095E" w:rsidP="00827BC8">
      <w:pPr>
        <w:pStyle w:val="Text2"/>
        <w:rPr>
          <w:b/>
          <w:bCs/>
        </w:rPr>
      </w:pPr>
      <w:r w:rsidRPr="00AF4024">
        <w:rPr>
          <w:b/>
          <w:bCs/>
        </w:rPr>
        <w:t>(Première lecture)</w:t>
      </w:r>
    </w:p>
    <w:p w:rsidR="0018095E" w:rsidRPr="00AF4024" w:rsidRDefault="0018095E" w:rsidP="00DD3AF0">
      <w:pPr>
        <w:pStyle w:val="DashEqual3"/>
      </w:pPr>
      <w:r w:rsidRPr="00AF4024">
        <w:t>Présentation par la Commission et échange de vues</w:t>
      </w:r>
    </w:p>
    <w:p w:rsidR="0018095E" w:rsidRPr="00AF4024" w:rsidRDefault="0018095E" w:rsidP="00B9189B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>Divers</w:t>
      </w:r>
    </w:p>
    <w:p w:rsidR="0018095E" w:rsidRPr="00AF4024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 w:rsidRPr="00AF4024">
        <w:rPr>
          <w:rFonts w:asciiTheme="majorBidi" w:hAnsiTheme="majorBidi"/>
          <w:b/>
          <w:bCs/>
        </w:rPr>
        <w:t>Directive relative à la lutte contre le blanchiment de capitaux</w:t>
      </w:r>
    </w:p>
    <w:p w:rsidR="0018095E" w:rsidRPr="00AF4024" w:rsidRDefault="0018095E" w:rsidP="00827BC8">
      <w:pPr>
        <w:pStyle w:val="Dash2"/>
      </w:pPr>
      <w:r w:rsidRPr="00AF4024">
        <w:t xml:space="preserve">Proposition de directive du Parlement européen et du Conseil modifiant la directive (UE) 2015/849 relative à la prévention de l'utilisation du système financier aux fins du blanchiment de capitaux ou du financement du terrorisme et la directive 2009/101/CE </w:t>
      </w:r>
      <w:r w:rsidRPr="00CF229F">
        <w:rPr>
          <w:b/>
          <w:bCs/>
        </w:rPr>
        <w:t>(</w:t>
      </w:r>
      <w:r w:rsidRPr="00AF4024">
        <w:rPr>
          <w:b/>
          <w:bCs/>
        </w:rPr>
        <w:t>première lecture</w:t>
      </w:r>
      <w:r w:rsidRPr="00CF229F">
        <w:rPr>
          <w:b/>
          <w:bCs/>
        </w:rPr>
        <w:t>)</w:t>
      </w:r>
      <w:r w:rsidRPr="00AF4024">
        <w:t xml:space="preserve"> </w:t>
      </w:r>
    </w:p>
    <w:p w:rsidR="0018095E" w:rsidRPr="00AF4024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 w:rsidRPr="00AF4024">
        <w:rPr>
          <w:rFonts w:asciiTheme="majorBidi" w:hAnsiTheme="majorBidi"/>
          <w:b/>
          <w:bCs/>
        </w:rPr>
        <w:t xml:space="preserve">Propositions législatives sur les services financiers en cours d'examen </w:t>
      </w:r>
    </w:p>
    <w:p w:rsidR="0018095E" w:rsidRPr="00AF4024" w:rsidRDefault="0018095E" w:rsidP="00827BC8">
      <w:pPr>
        <w:pStyle w:val="DashEqual2"/>
      </w:pPr>
      <w:r w:rsidRPr="00AF4024">
        <w:t>Informations communiquées par la présidence</w:t>
      </w:r>
    </w:p>
    <w:p w:rsidR="000D6B74" w:rsidRPr="00AF4024" w:rsidRDefault="00B9189B" w:rsidP="00734D6C">
      <w:pPr>
        <w:pStyle w:val="NormalCentered"/>
        <w:spacing w:before="480"/>
        <w:rPr>
          <w:b/>
          <w:bCs/>
          <w:i/>
          <w:u w:val="single"/>
        </w:rPr>
      </w:pPr>
      <w:r w:rsidRPr="00AF4024">
        <w:br w:type="page"/>
      </w:r>
      <w:r w:rsidRPr="00AF4024">
        <w:rPr>
          <w:b/>
          <w:bCs/>
          <w:u w:val="single"/>
        </w:rPr>
        <w:lastRenderedPageBreak/>
        <w:t>Activités non législatives</w:t>
      </w:r>
    </w:p>
    <w:p w:rsidR="000D6B74" w:rsidRPr="00AF4024" w:rsidRDefault="000D6B74" w:rsidP="000D6B74">
      <w:pPr>
        <w:pStyle w:val="PointManual"/>
        <w:spacing w:before="360"/>
      </w:pPr>
      <w:r w:rsidRPr="00AF4024">
        <w:t>-</w:t>
      </w:r>
      <w:r w:rsidRPr="00AF4024">
        <w:tab/>
        <w:t>Approbation de la liste des points "A"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bookmarkStart w:id="1" w:name="_Toc309385852"/>
      <w:bookmarkStart w:id="2" w:name="_Toc309385762"/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</w:r>
      <w:r w:rsidRPr="00AF4024">
        <w:rPr>
          <w:rFonts w:asciiTheme="majorBidi" w:hAnsiTheme="majorBidi"/>
          <w:b/>
          <w:bCs/>
        </w:rPr>
        <w:t>Mise en œuvre de l'union bancaire</w:t>
      </w:r>
    </w:p>
    <w:p w:rsidR="00EC6B83" w:rsidRPr="00AF4024" w:rsidRDefault="00EC6B83" w:rsidP="00352F01">
      <w:pPr>
        <w:pStyle w:val="DashEqual1"/>
      </w:pPr>
      <w:r w:rsidRPr="00AF4024">
        <w:t>État d'avancement des travaux</w:t>
      </w:r>
    </w:p>
    <w:p w:rsidR="00EC6B83" w:rsidRPr="00AF4024" w:rsidRDefault="00EC6B83" w:rsidP="002B32F6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  <w:b/>
          <w:bCs/>
        </w:rPr>
        <w:tab/>
      </w:r>
      <w:r w:rsidRPr="00AF4024">
        <w:rPr>
          <w:rFonts w:asciiTheme="majorBidi" w:hAnsiTheme="majorBidi"/>
        </w:rPr>
        <w:t xml:space="preserve">(évent.) </w:t>
      </w:r>
      <w:r w:rsidRPr="00AF4024">
        <w:rPr>
          <w:rFonts w:asciiTheme="majorBidi" w:hAnsiTheme="majorBidi"/>
          <w:b/>
          <w:bCs/>
        </w:rPr>
        <w:t>Approfondissement de l'UEM: Suivi du rapport des cinq présidents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Informations communiquées par la Commission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  <w:szCs w:val="24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  <w:b/>
          <w:bCs/>
        </w:rPr>
        <w:tab/>
        <w:t>Semestre européen 2017</w:t>
      </w:r>
    </w:p>
    <w:p w:rsidR="00EC6B83" w:rsidRPr="00AF4024" w:rsidRDefault="00EC6B83" w:rsidP="00352F01">
      <w:pPr>
        <w:pStyle w:val="Dash1"/>
      </w:pPr>
      <w:r w:rsidRPr="00AF4024">
        <w:t xml:space="preserve">Examen annuel de la croissance 2017, rapport sur le mécanisme d'alerte 2017 et projet de recommandation sur la politique économique de la zone euro </w:t>
      </w:r>
    </w:p>
    <w:p w:rsidR="00EC6B83" w:rsidRPr="00AF4024" w:rsidRDefault="00EC6B83" w:rsidP="00352F01">
      <w:pPr>
        <w:pStyle w:val="DashEqual2"/>
      </w:pPr>
      <w:r w:rsidRPr="00AF4024">
        <w:t>Présentation par la Commission</w:t>
      </w:r>
    </w:p>
    <w:p w:rsidR="00EC6B83" w:rsidRPr="00AF4024" w:rsidRDefault="00EC6B83" w:rsidP="00352F01">
      <w:pPr>
        <w:pStyle w:val="DashEqual2"/>
      </w:pPr>
      <w:r w:rsidRPr="00AF4024">
        <w:t>Échange de vues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</w:r>
      <w:r w:rsidRPr="00AF4024">
        <w:rPr>
          <w:rFonts w:asciiTheme="majorBidi" w:hAnsiTheme="majorBidi"/>
          <w:b/>
          <w:bCs/>
        </w:rPr>
        <w:t>Lutte contre le financement du terrorisme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Présentation par la Commission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Rapport ECOFIN sur les questions fiscales adressé au Conseil européen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Approbation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-</w:t>
      </w:r>
      <w:r w:rsidRPr="00AF4024">
        <w:rPr>
          <w:rFonts w:asciiTheme="majorBidi" w:hAnsiTheme="majorBidi"/>
          <w:szCs w:val="24"/>
        </w:rPr>
        <w:tab/>
        <w:t xml:space="preserve">(évent.) </w:t>
      </w:r>
      <w:r w:rsidRPr="00AF4024">
        <w:rPr>
          <w:rFonts w:asciiTheme="majorBidi" w:hAnsiTheme="majorBidi"/>
          <w:b/>
          <w:bCs/>
          <w:szCs w:val="24"/>
        </w:rPr>
        <w:t xml:space="preserve">Conclusions du Conseil sur le rapport de la Commission au Conseil relatif à l'évaluation de la directive 92/83/CEE 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</w:rPr>
        <w:t>Approbation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  <w:b/>
          <w:bCs/>
        </w:rPr>
        <w:tab/>
      </w:r>
      <w:r w:rsidRPr="00AF4024">
        <w:rPr>
          <w:rFonts w:asciiTheme="majorBidi" w:hAnsiTheme="majorBidi"/>
        </w:rPr>
        <w:t>(évent.)</w:t>
      </w:r>
      <w:r w:rsidRPr="00AF4024">
        <w:rPr>
          <w:rFonts w:asciiTheme="majorBidi" w:hAnsiTheme="majorBidi"/>
          <w:b/>
          <w:bCs/>
        </w:rPr>
        <w:t xml:space="preserve"> Code de conduite (fiscalité des entreprises)</w:t>
      </w:r>
    </w:p>
    <w:p w:rsidR="00EC6B83" w:rsidRPr="00AF4024" w:rsidRDefault="00EC6B83" w:rsidP="00352F01">
      <w:pPr>
        <w:pStyle w:val="Dash1"/>
      </w:pPr>
      <w:r w:rsidRPr="00AF4024">
        <w:t>Rapport au Conseil</w:t>
      </w:r>
    </w:p>
    <w:p w:rsidR="00EC6B83" w:rsidRPr="00AF4024" w:rsidRDefault="00EC6B83" w:rsidP="00352F01">
      <w:pPr>
        <w:pStyle w:val="Dash1"/>
      </w:pPr>
      <w:r w:rsidRPr="00AF4024">
        <w:t>Projet de conclusions du Conseil</w:t>
      </w:r>
    </w:p>
    <w:p w:rsidR="00EC6B83" w:rsidRPr="00AF4024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Approbation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Pour la mise en place d'un système d'imposition des sociétés équitable, compétitif et stable dans l'Union européenne</w:t>
      </w:r>
    </w:p>
    <w:p w:rsidR="00EC6B83" w:rsidRPr="00AF4024" w:rsidRDefault="00352F01" w:rsidP="00352F01">
      <w:pPr>
        <w:pStyle w:val="Dash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Projet de conclusions du Conseil</w:t>
      </w:r>
    </w:p>
    <w:p w:rsidR="00EC6B83" w:rsidRPr="00AF4024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Approbation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 xml:space="preserve">Rapport sur les questions stratégiques dans le domaine des douanes par le groupe à haut niveau des directeurs généraux des douanes  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Approbation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-</w:t>
      </w:r>
      <w:r w:rsidRPr="00AF4024">
        <w:rPr>
          <w:rFonts w:asciiTheme="majorBidi" w:hAnsiTheme="majorBidi"/>
        </w:rPr>
        <w:tab/>
        <w:t xml:space="preserve">(évent.) </w:t>
      </w:r>
      <w:r w:rsidRPr="00AF4024">
        <w:rPr>
          <w:rFonts w:asciiTheme="majorBidi" w:hAnsiTheme="majorBidi"/>
          <w:b/>
          <w:bCs/>
        </w:rPr>
        <w:t>Améliorer la prévisibilité et la transparence du pacte de stabilité et de croissance</w:t>
      </w:r>
    </w:p>
    <w:p w:rsidR="00EC6B83" w:rsidRPr="00AF4024" w:rsidRDefault="00352F01" w:rsidP="00352F01">
      <w:pPr>
        <w:pStyle w:val="DashEqual1"/>
        <w:rPr>
          <w:rFonts w:asciiTheme="majorBidi" w:hAnsiTheme="majorBidi" w:cstheme="majorBidi"/>
        </w:rPr>
      </w:pPr>
      <w:r w:rsidRPr="00AF4024">
        <w:rPr>
          <w:rFonts w:asciiTheme="majorBidi" w:hAnsiTheme="majorBidi"/>
        </w:rPr>
        <w:t>Compte rendu aux ministres</w:t>
      </w:r>
    </w:p>
    <w:p w:rsidR="00EC6B83" w:rsidRPr="00AF4024" w:rsidRDefault="00B9189B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bookmarkStart w:id="3" w:name="_GoBack"/>
      <w:bookmarkEnd w:id="3"/>
      <w:r w:rsidRPr="00AF4024">
        <w:br w:type="page"/>
      </w:r>
      <w:bookmarkStart w:id="4" w:name="ControlPages"/>
      <w:bookmarkEnd w:id="4"/>
      <w:r w:rsidRPr="00AF4024">
        <w:rPr>
          <w:rFonts w:asciiTheme="majorBidi" w:hAnsiTheme="majorBidi"/>
        </w:rPr>
        <w:lastRenderedPageBreak/>
        <w:t>-</w:t>
      </w:r>
      <w:r w:rsidRPr="00AF4024">
        <w:rPr>
          <w:rFonts w:asciiTheme="majorBidi" w:hAnsiTheme="majorBidi"/>
        </w:rPr>
        <w:tab/>
        <w:t>(évent.)</w:t>
      </w:r>
      <w:r w:rsidRPr="00AF4024">
        <w:rPr>
          <w:rFonts w:asciiTheme="majorBidi" w:hAnsiTheme="majorBidi"/>
          <w:b/>
          <w:bCs/>
        </w:rPr>
        <w:t xml:space="preserve"> Mise en œuvre du pacte de stabilité et de croissance (*)</w:t>
      </w:r>
    </w:p>
    <w:p w:rsidR="00EC6B83" w:rsidRPr="00AF4024" w:rsidRDefault="00EC6B83" w:rsidP="00352F01">
      <w:pPr>
        <w:pStyle w:val="DashEqual1"/>
        <w:rPr>
          <w:rFonts w:asciiTheme="majorBidi" w:hAnsiTheme="majorBidi" w:cstheme="majorBidi"/>
        </w:rPr>
      </w:pPr>
      <w:r w:rsidRPr="00AF4024">
        <w:t>Recommandations/décisions/avis du Conseil</w:t>
      </w:r>
    </w:p>
    <w:p w:rsidR="00EC6B83" w:rsidRPr="00AF4024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-</w:t>
      </w:r>
      <w:r w:rsidRPr="00AF4024">
        <w:rPr>
          <w:rFonts w:asciiTheme="majorBidi" w:hAnsiTheme="majorBidi"/>
          <w:szCs w:val="24"/>
        </w:rPr>
        <w:tab/>
        <w:t>Divers</w:t>
      </w:r>
    </w:p>
    <w:p w:rsidR="00EC6B83" w:rsidRPr="00AF4024" w:rsidRDefault="00EC6B83" w:rsidP="00352F01">
      <w:pPr>
        <w:pStyle w:val="Dash1"/>
        <w:rPr>
          <w:b/>
          <w:bCs/>
          <w:szCs w:val="24"/>
        </w:rPr>
      </w:pPr>
      <w:r w:rsidRPr="00AF4024">
        <w:rPr>
          <w:b/>
          <w:bCs/>
        </w:rPr>
        <w:t>Union des marchés des capitaux</w:t>
      </w:r>
    </w:p>
    <w:p w:rsidR="00EC6B83" w:rsidRPr="00AF4024" w:rsidRDefault="00EC6B83" w:rsidP="00352F01">
      <w:pPr>
        <w:pStyle w:val="DashEqual2"/>
      </w:pPr>
      <w:r w:rsidRPr="00AF4024">
        <w:t>Informations communiquées par la Commission</w:t>
      </w:r>
    </w:p>
    <w:bookmarkEnd w:id="1"/>
    <w:bookmarkEnd w:id="2"/>
    <w:p w:rsidR="000D6B74" w:rsidRPr="00AF4024" w:rsidRDefault="000D6B74" w:rsidP="00B9189B">
      <w:pPr>
        <w:spacing w:before="720"/>
      </w:pPr>
      <w:r w:rsidRPr="00AF4024">
        <w:t>____________________</w:t>
      </w:r>
    </w:p>
    <w:p w:rsidR="000D6B74" w:rsidRPr="00AF4024" w:rsidRDefault="000D6B74" w:rsidP="000D6B74">
      <w:pPr>
        <w:spacing w:before="40"/>
      </w:pPr>
      <w:r w:rsidRPr="00AF4024">
        <w:t>(*)</w:t>
      </w:r>
      <w:r w:rsidRPr="00AF4024">
        <w:tab/>
        <w:t>Point sur lequel un vote peut être demandé</w:t>
      </w:r>
    </w:p>
    <w:p w:rsidR="000D6B74" w:rsidRPr="00AF4024" w:rsidRDefault="000D6B74" w:rsidP="00B9189B">
      <w:pPr>
        <w:spacing w:before="600"/>
        <w:jc w:val="center"/>
        <w:rPr>
          <w:snapToGrid w:val="0"/>
          <w:lang w:val="pt-PT"/>
        </w:rPr>
      </w:pPr>
      <w:r w:rsidRPr="00AF4024">
        <w:rPr>
          <w:snapToGrid w:val="0"/>
          <w:lang w:val="pt-PT"/>
        </w:rPr>
        <w:t>o</w:t>
      </w:r>
    </w:p>
    <w:p w:rsidR="000D6B74" w:rsidRPr="00AF4024" w:rsidRDefault="000D6B74" w:rsidP="000D6B74">
      <w:pPr>
        <w:spacing w:before="120"/>
        <w:jc w:val="center"/>
        <w:rPr>
          <w:snapToGrid w:val="0"/>
          <w:lang w:val="pt-PT"/>
        </w:rPr>
      </w:pPr>
      <w:r w:rsidRPr="00AF4024">
        <w:rPr>
          <w:snapToGrid w:val="0"/>
          <w:lang w:val="pt-PT"/>
        </w:rPr>
        <w:t>o</w:t>
      </w:r>
      <w:r w:rsidRPr="00AF4024">
        <w:rPr>
          <w:snapToGrid w:val="0"/>
          <w:lang w:val="pt-PT"/>
        </w:rPr>
        <w:tab/>
        <w:t>o</w:t>
      </w:r>
    </w:p>
    <w:p w:rsidR="000D6B74" w:rsidRPr="00AF4024" w:rsidRDefault="000D6B74" w:rsidP="000D6B74">
      <w:pPr>
        <w:spacing w:before="200"/>
        <w:rPr>
          <w:b/>
          <w:bCs/>
          <w:lang w:val="pt-PT"/>
        </w:rPr>
      </w:pPr>
      <w:r w:rsidRPr="00AF4024">
        <w:rPr>
          <w:b/>
          <w:bCs/>
          <w:lang w:val="pt-PT"/>
        </w:rPr>
        <w:t>p.m.:</w:t>
      </w:r>
    </w:p>
    <w:p w:rsidR="00EC6B83" w:rsidRPr="00AF4024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  <w:lang w:val="pt-PT"/>
        </w:rPr>
      </w:pPr>
      <w:r w:rsidRPr="00AF4024">
        <w:rPr>
          <w:rFonts w:asciiTheme="majorBidi" w:hAnsiTheme="majorBidi"/>
          <w:b/>
          <w:bCs/>
          <w:szCs w:val="24"/>
          <w:u w:val="single"/>
          <w:lang w:val="pt-PT"/>
        </w:rPr>
        <w:t>Lundi 5 décembre  2016</w:t>
      </w:r>
    </w:p>
    <w:p w:rsidR="00EC6B83" w:rsidRPr="00AF4024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10 heures</w:t>
      </w:r>
      <w:r w:rsidRPr="00AF4024">
        <w:rPr>
          <w:rFonts w:asciiTheme="majorBidi" w:hAnsiTheme="majorBidi"/>
          <w:szCs w:val="24"/>
        </w:rPr>
        <w:tab/>
      </w:r>
      <w:r w:rsidRPr="00AF4024">
        <w:rPr>
          <w:rFonts w:asciiTheme="majorBidi" w:hAnsiTheme="majorBidi"/>
          <w:szCs w:val="24"/>
        </w:rPr>
        <w:tab/>
        <w:t>Eurogroup</w:t>
      </w:r>
    </w:p>
    <w:p w:rsidR="00EC6B83" w:rsidRPr="00AF4024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</w:rPr>
      </w:pPr>
      <w:r w:rsidRPr="00AF4024">
        <w:rPr>
          <w:rFonts w:asciiTheme="majorBidi" w:hAnsiTheme="majorBidi"/>
          <w:b/>
          <w:bCs/>
          <w:szCs w:val="24"/>
          <w:u w:val="single"/>
        </w:rPr>
        <w:t>Mardi 6 décembre 2016</w:t>
      </w:r>
    </w:p>
    <w:p w:rsidR="00EC6B83" w:rsidRPr="00AF4024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9 heures</w:t>
      </w:r>
      <w:r w:rsidRPr="00AF4024">
        <w:rPr>
          <w:rFonts w:asciiTheme="majorBidi" w:hAnsiTheme="majorBidi"/>
          <w:szCs w:val="24"/>
        </w:rPr>
        <w:tab/>
      </w:r>
      <w:r w:rsidRPr="00AF4024">
        <w:rPr>
          <w:rFonts w:asciiTheme="majorBidi" w:hAnsiTheme="majorBidi"/>
          <w:szCs w:val="24"/>
        </w:rPr>
        <w:tab/>
        <w:t>Petit déjeuner</w:t>
      </w:r>
    </w:p>
    <w:p w:rsidR="00EC6B83" w:rsidRPr="00AF4024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 w:rsidRPr="00AF4024">
        <w:rPr>
          <w:rFonts w:asciiTheme="majorBidi" w:hAnsiTheme="majorBidi"/>
          <w:szCs w:val="24"/>
        </w:rPr>
        <w:t>10 heures</w:t>
      </w:r>
      <w:r w:rsidRPr="00AF4024">
        <w:rPr>
          <w:rFonts w:asciiTheme="majorBidi" w:hAnsiTheme="majorBidi"/>
          <w:szCs w:val="24"/>
        </w:rPr>
        <w:tab/>
      </w:r>
      <w:r w:rsidRPr="00AF4024">
        <w:rPr>
          <w:rFonts w:asciiTheme="majorBidi" w:hAnsiTheme="majorBidi"/>
          <w:szCs w:val="24"/>
        </w:rPr>
        <w:tab/>
        <w:t>Conseil "ECOFIN"</w:t>
      </w:r>
    </w:p>
    <w:p w:rsidR="00CC52EC" w:rsidRPr="00AF4024" w:rsidRDefault="00CC52EC" w:rsidP="00B9189B">
      <w:pPr>
        <w:pStyle w:val="FinalLine"/>
        <w:spacing w:before="840"/>
      </w:pPr>
    </w:p>
    <w:p w:rsidR="00CC52EC" w:rsidRPr="00AF4024" w:rsidRDefault="00D80E2E" w:rsidP="00D80E2E">
      <w:pPr>
        <w:pStyle w:val="NB"/>
      </w:pPr>
      <w:r w:rsidRPr="00AF4024">
        <w:t>NB:</w:t>
      </w:r>
      <w:r w:rsidRPr="00AF4024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3549DE" w:rsidRPr="00D80E2E" w:rsidRDefault="00D80E2E" w:rsidP="00D80E2E">
      <w:pPr>
        <w:pStyle w:val="NB"/>
      </w:pPr>
      <w:r w:rsidRPr="00AF4024">
        <w:t>NB:</w:t>
      </w:r>
      <w:r w:rsidRPr="00AF4024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3549DE" w:rsidRPr="00D80E2E" w:rsidSect="00AF4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EC" w:rsidRDefault="00CC52EC" w:rsidP="00CC52EC">
      <w:r>
        <w:separator/>
      </w:r>
    </w:p>
  </w:endnote>
  <w:endnote w:type="continuationSeparator" w:id="0">
    <w:p w:rsidR="00CC52EC" w:rsidRDefault="00CC52EC" w:rsidP="00C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AF4024" w:rsidRDefault="00734D6C" w:rsidP="00AF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F4024" w:rsidRPr="00D94637" w:rsidTr="00AF402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F4024" w:rsidRPr="00D94637" w:rsidRDefault="00AF402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AF4024" w:rsidRPr="00B310DC" w:rsidTr="00AF402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F4024" w:rsidRPr="00AD7BF2" w:rsidRDefault="00AF4024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F4024" w:rsidRPr="00AD7BF2" w:rsidRDefault="00AF402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F4024" w:rsidRPr="002511D8" w:rsidRDefault="00AF402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F4024" w:rsidRPr="00B310DC" w:rsidRDefault="00AF402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229F">
            <w:rPr>
              <w:noProof/>
            </w:rPr>
            <w:t>3</w:t>
          </w:r>
          <w:r>
            <w:fldChar w:fldCharType="end"/>
          </w:r>
        </w:p>
      </w:tc>
    </w:tr>
    <w:tr w:rsidR="00AF4024" w:rsidRPr="00D94637" w:rsidTr="00AF4024">
      <w:trPr>
        <w:jc w:val="center"/>
      </w:trPr>
      <w:tc>
        <w:tcPr>
          <w:tcW w:w="1774" w:type="pct"/>
          <w:shd w:val="clear" w:color="auto" w:fill="auto"/>
        </w:tcPr>
        <w:p w:rsidR="00AF4024" w:rsidRPr="00AD7BF2" w:rsidRDefault="00AF402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F4024" w:rsidRPr="00AD7BF2" w:rsidRDefault="00AF402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F4024" w:rsidRPr="00D94637" w:rsidRDefault="00AF402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F4024" w:rsidRPr="00D94637" w:rsidRDefault="00AF402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5"/>
  </w:tbl>
  <w:p w:rsidR="00CC52EC" w:rsidRPr="00AF4024" w:rsidRDefault="00CC52EC" w:rsidP="00AF402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F4024" w:rsidRPr="00D94637" w:rsidTr="00AF402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F4024" w:rsidRPr="00D94637" w:rsidRDefault="00AF402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F4024" w:rsidRPr="00B310DC" w:rsidTr="00AF402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F4024" w:rsidRPr="00AD7BF2" w:rsidRDefault="00AF4024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F4024" w:rsidRPr="00AD7BF2" w:rsidRDefault="00AF402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F4024" w:rsidRPr="002511D8" w:rsidRDefault="00AF402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F4024" w:rsidRPr="00B310DC" w:rsidRDefault="00AF402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229F">
            <w:rPr>
              <w:noProof/>
            </w:rPr>
            <w:t>1</w:t>
          </w:r>
          <w:r>
            <w:fldChar w:fldCharType="end"/>
          </w:r>
        </w:p>
      </w:tc>
    </w:tr>
    <w:tr w:rsidR="00AF4024" w:rsidRPr="00D94637" w:rsidTr="00AF4024">
      <w:trPr>
        <w:jc w:val="center"/>
      </w:trPr>
      <w:tc>
        <w:tcPr>
          <w:tcW w:w="1774" w:type="pct"/>
          <w:shd w:val="clear" w:color="auto" w:fill="auto"/>
        </w:tcPr>
        <w:p w:rsidR="00AF4024" w:rsidRPr="00AD7BF2" w:rsidRDefault="00AF402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F4024" w:rsidRPr="00AD7BF2" w:rsidRDefault="00AF402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F4024" w:rsidRPr="00D94637" w:rsidRDefault="00AF402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F4024" w:rsidRPr="00D94637" w:rsidRDefault="00AF402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C52EC" w:rsidRPr="00AF4024" w:rsidRDefault="00CC52EC" w:rsidP="00AF402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EC" w:rsidRDefault="00CC52EC" w:rsidP="00CC52EC">
      <w:r>
        <w:separator/>
      </w:r>
    </w:p>
  </w:footnote>
  <w:footnote w:type="continuationSeparator" w:id="0">
    <w:p w:rsidR="00CC52EC" w:rsidRDefault="00CC52EC" w:rsidP="00CC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AF4024" w:rsidRDefault="00734D6C" w:rsidP="00AF4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AF4024" w:rsidRDefault="00734D6C" w:rsidP="00AF402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AF4024" w:rsidRDefault="00734D6C" w:rsidP="00AF402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D2E2743"/>
    <w:multiLevelType w:val="singleLevel"/>
    <w:tmpl w:val="FC58751A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7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8">
    <w:nsid w:val="2BD82C0C"/>
    <w:multiLevelType w:val="singleLevel"/>
    <w:tmpl w:val="7C183DD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1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4DCC621E"/>
    <w:multiLevelType w:val="singleLevel"/>
    <w:tmpl w:val="2CD8C9DC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51A16676"/>
    <w:multiLevelType w:val="singleLevel"/>
    <w:tmpl w:val="DB12E56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9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1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2">
    <w:nsid w:val="74A41B13"/>
    <w:multiLevelType w:val="singleLevel"/>
    <w:tmpl w:val="2EC82C78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3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4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5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6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7"/>
  </w:num>
  <w:num w:numId="5">
    <w:abstractNumId w:val="2"/>
  </w:num>
  <w:num w:numId="6">
    <w:abstractNumId w:val="24"/>
  </w:num>
  <w:num w:numId="7">
    <w:abstractNumId w:val="26"/>
  </w:num>
  <w:num w:numId="8">
    <w:abstractNumId w:val="14"/>
  </w:num>
  <w:num w:numId="9">
    <w:abstractNumId w:val="23"/>
  </w:num>
  <w:num w:numId="10">
    <w:abstractNumId w:val="18"/>
  </w:num>
  <w:num w:numId="11">
    <w:abstractNumId w:val="10"/>
  </w:num>
  <w:num w:numId="12">
    <w:abstractNumId w:val="6"/>
  </w:num>
  <w:num w:numId="13">
    <w:abstractNumId w:val="4"/>
  </w:num>
  <w:num w:numId="14">
    <w:abstractNumId w:val="19"/>
  </w:num>
  <w:num w:numId="15">
    <w:abstractNumId w:val="25"/>
  </w:num>
  <w:num w:numId="16">
    <w:abstractNumId w:val="0"/>
  </w:num>
  <w:num w:numId="17">
    <w:abstractNumId w:val="7"/>
  </w:num>
  <w:num w:numId="18">
    <w:abstractNumId w:val="3"/>
  </w:num>
  <w:num w:numId="19">
    <w:abstractNumId w:val="15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13"/>
  </w:num>
  <w:num w:numId="25">
    <w:abstractNumId w:val="12"/>
  </w:num>
  <w:num w:numId="26">
    <w:abstractNumId w:val="14"/>
  </w:num>
  <w:num w:numId="27">
    <w:abstractNumId w:val="1"/>
  </w:num>
  <w:num w:numId="28">
    <w:abstractNumId w:val="14"/>
  </w:num>
  <w:num w:numId="29">
    <w:abstractNumId w:val="1"/>
  </w:num>
  <w:num w:numId="30">
    <w:abstractNumId w:val="14"/>
  </w:num>
  <w:num w:numId="31">
    <w:abstractNumId w:val="1"/>
  </w:num>
  <w:num w:numId="32">
    <w:abstractNumId w:val="1"/>
  </w:num>
  <w:num w:numId="33">
    <w:abstractNumId w:val="14"/>
  </w:num>
  <w:num w:numId="34">
    <w:abstractNumId w:val="1"/>
  </w:num>
  <w:num w:numId="35">
    <w:abstractNumId w:val="1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05adaf96-d3d6-47f3-a552-dfbc70f7e1cd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11-2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92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6e session du CONSEIL DE L'UNION EUROPÉENNE  (Affaires économiques et financi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xml:space=&quot;preserve&quot;&amp;gt;3506&amp;lt;Run BaselineAlignment=&quot;Superscript&quot;&amp;gt;e&amp;lt;/Run&amp;gt; session du CONSEIL DE L'UNION EUROPÉENNE 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12-0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C52EC"/>
    <w:rsid w:val="000D6B74"/>
    <w:rsid w:val="0018095E"/>
    <w:rsid w:val="00187766"/>
    <w:rsid w:val="002B32F6"/>
    <w:rsid w:val="00352F01"/>
    <w:rsid w:val="003549DE"/>
    <w:rsid w:val="00425FB1"/>
    <w:rsid w:val="00521B1B"/>
    <w:rsid w:val="00606181"/>
    <w:rsid w:val="006F6F60"/>
    <w:rsid w:val="00703E1F"/>
    <w:rsid w:val="00734D6C"/>
    <w:rsid w:val="008275A7"/>
    <w:rsid w:val="00827BC8"/>
    <w:rsid w:val="0087246C"/>
    <w:rsid w:val="008A0941"/>
    <w:rsid w:val="00AC1E56"/>
    <w:rsid w:val="00AF4024"/>
    <w:rsid w:val="00B87FBE"/>
    <w:rsid w:val="00B9189B"/>
    <w:rsid w:val="00BA39B9"/>
    <w:rsid w:val="00BE6B17"/>
    <w:rsid w:val="00C264C3"/>
    <w:rsid w:val="00C53F63"/>
    <w:rsid w:val="00CC52EC"/>
    <w:rsid w:val="00CF229F"/>
    <w:rsid w:val="00D030BA"/>
    <w:rsid w:val="00D80E2E"/>
    <w:rsid w:val="00DD3AF0"/>
    <w:rsid w:val="00E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A0941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A0941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4</Pages>
  <Words>721</Words>
  <Characters>4230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LAUBENGEIGER Andrea</dc:creator>
  <cp:keywords/>
  <dc:description/>
  <cp:lastModifiedBy>FRATTAROLA Antonietta</cp:lastModifiedBy>
  <cp:revision>3</cp:revision>
  <cp:lastPrinted>2016-11-21T13:40:00Z</cp:lastPrinted>
  <dcterms:created xsi:type="dcterms:W3CDTF">2016-11-22T10:48:00Z</dcterms:created>
  <dcterms:modified xsi:type="dcterms:W3CDTF">2016-11-22T10:53:00Z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