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BD" w:rsidRPr="00906A2B" w:rsidRDefault="001F49C6" w:rsidP="00906A2B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e2d4a57-e639-43d2-ad3b-932cb5e6fef4_0" style="width:568.8pt;height:286.2pt">
            <v:imagedata r:id="rId8" o:title=""/>
          </v:shape>
        </w:pict>
      </w:r>
      <w:bookmarkEnd w:id="0"/>
    </w:p>
    <w:p w:rsidR="003408EB" w:rsidRPr="00E735F8" w:rsidRDefault="003408EB" w:rsidP="003408EB">
      <w:pPr>
        <w:pStyle w:val="HeadingCentered"/>
        <w:spacing w:before="240"/>
      </w:pPr>
      <w:r w:rsidRPr="00E735F8">
        <w:br w:type="page"/>
      </w:r>
      <w:r w:rsidRPr="00E735F8">
        <w:lastRenderedPageBreak/>
        <w:t>POINTS EN DÉLIBÉRATION PUBLIQUE</w:t>
      </w:r>
      <w:r w:rsidRPr="00E735F8">
        <w:rPr>
          <w:rStyle w:val="FootnoteReference"/>
        </w:rPr>
        <w:footnoteReference w:id="1"/>
      </w:r>
    </w:p>
    <w:p w:rsidR="003408EB" w:rsidRPr="00E735F8" w:rsidRDefault="003408EB" w:rsidP="003408EB">
      <w:pPr>
        <w:pStyle w:val="NormalRight"/>
        <w:spacing w:before="600"/>
        <w:rPr>
          <w:b/>
        </w:rPr>
      </w:pPr>
      <w:r w:rsidRPr="00E735F8">
        <w:rPr>
          <w:b/>
        </w:rPr>
        <w:t>Page</w:t>
      </w:r>
    </w:p>
    <w:p w:rsidR="003408EB" w:rsidRPr="00E735F8" w:rsidRDefault="003408EB" w:rsidP="003408EB">
      <w:pPr>
        <w:pStyle w:val="NormalCentered"/>
        <w:rPr>
          <w:u w:val="single"/>
        </w:rPr>
      </w:pPr>
      <w:r w:rsidRPr="00E735F8">
        <w:rPr>
          <w:u w:val="single"/>
        </w:rPr>
        <w:t>AFFAIRES INTÉRIEURES</w:t>
      </w:r>
    </w:p>
    <w:p w:rsidR="003408EB" w:rsidRPr="00E735F8" w:rsidRDefault="003408EB" w:rsidP="003408EB">
      <w:pPr>
        <w:pStyle w:val="PointManual"/>
        <w:tabs>
          <w:tab w:val="right" w:leader="dot" w:pos="9639"/>
        </w:tabs>
        <w:spacing w:before="240"/>
        <w:rPr>
          <w:b/>
          <w:bCs/>
        </w:rPr>
      </w:pPr>
      <w:r w:rsidRPr="00E735F8">
        <w:rPr>
          <w:b/>
        </w:rPr>
        <w:t>DÉLIBÉRATIONS LÉGISLATIVES</w:t>
      </w:r>
    </w:p>
    <w:p w:rsidR="003408EB" w:rsidRPr="00E735F8" w:rsidRDefault="003408EB" w:rsidP="003408EB">
      <w:pPr>
        <w:spacing w:before="480"/>
        <w:rPr>
          <w:bCs/>
        </w:rPr>
      </w:pPr>
      <w:r w:rsidRPr="00E735F8">
        <w:rPr>
          <w:bCs/>
          <w:u w:val="double"/>
        </w:rPr>
        <w:t>POINTS "A"</w:t>
      </w:r>
      <w:r w:rsidRPr="00E735F8">
        <w:t xml:space="preserve"> (doc. 9167/16 PTS A 41)</w:t>
      </w:r>
    </w:p>
    <w:p w:rsidR="003408EB" w:rsidRPr="00E735F8" w:rsidRDefault="003408EB" w:rsidP="00387610">
      <w:pPr>
        <w:pStyle w:val="PointManual"/>
        <w:tabs>
          <w:tab w:val="right" w:leader="dot" w:pos="9639"/>
        </w:tabs>
      </w:pPr>
      <w:r w:rsidRPr="00E735F8">
        <w:t>1.</w:t>
      </w:r>
      <w:r w:rsidRPr="00E735F8">
        <w:tab/>
        <w:t>Proposition de règlement du Parlement européen et du Conseil</w:t>
      </w:r>
      <w:r w:rsidR="0034332A">
        <w:t xml:space="preserve"> modifiant le règlement (CE) n° </w:t>
      </w:r>
      <w:r w:rsidRPr="00E735F8">
        <w:t>539/2001 fixant la liste des pays tiers dont les ressortissants sont soumis à l'obligation de visa pour franchir les frontières extérieures des États membres et la liste de ceux dont les ressortissants sont exemptés de cette obligation (révision du mécanisme de suspension) [Première lecture]</w:t>
      </w:r>
      <w:r w:rsidRPr="00E735F8">
        <w:tab/>
        <w:t>3</w:t>
      </w:r>
    </w:p>
    <w:p w:rsidR="003408EB" w:rsidRPr="00E735F8" w:rsidRDefault="003408EB" w:rsidP="003408EB">
      <w:pPr>
        <w:spacing w:before="840"/>
        <w:rPr>
          <w:bCs/>
        </w:rPr>
      </w:pPr>
      <w:r w:rsidRPr="00E735F8">
        <w:rPr>
          <w:bCs/>
          <w:u w:val="double"/>
        </w:rPr>
        <w:t>POINTS "B"</w:t>
      </w:r>
      <w:r w:rsidRPr="00E735F8">
        <w:t xml:space="preserve"> (doc. 8743/16 REV1 OJ CONS 24 JAI 363 COMIX 348)</w:t>
      </w:r>
    </w:p>
    <w:p w:rsidR="003408EB" w:rsidRPr="00E735F8" w:rsidRDefault="003408EB" w:rsidP="00387610">
      <w:pPr>
        <w:pStyle w:val="PointManual"/>
        <w:tabs>
          <w:tab w:val="right" w:leader="dot" w:pos="9639"/>
        </w:tabs>
        <w:spacing w:before="360"/>
      </w:pPr>
      <w:r w:rsidRPr="00E735F8">
        <w:t>3.</w:t>
      </w:r>
      <w:r w:rsidRPr="00E735F8">
        <w:tab/>
        <w:t>Corps européen de garde-frontières: Proposition de règlem</w:t>
      </w:r>
      <w:r w:rsidR="0034332A">
        <w:t>ent du Parlement européen et du </w:t>
      </w:r>
      <w:r w:rsidRPr="00E735F8">
        <w:t>Conseil relatif au corps européen de garde-frontières et de garde-côtes et abrogeant le règlement (CE) n° 2007/2004, le règlement (CE) n° 863/200</w:t>
      </w:r>
      <w:r w:rsidR="0034332A">
        <w:t>7 et la décision 2005/267/CE du </w:t>
      </w:r>
      <w:r w:rsidRPr="00E735F8">
        <w:t>Conseil [Première lecture]</w:t>
      </w:r>
      <w:r w:rsidRPr="00E735F8">
        <w:tab/>
        <w:t>3</w:t>
      </w:r>
    </w:p>
    <w:p w:rsidR="003408EB" w:rsidRPr="00E735F8" w:rsidRDefault="003408EB" w:rsidP="003408EB">
      <w:pPr>
        <w:pStyle w:val="PointManual"/>
        <w:tabs>
          <w:tab w:val="right" w:leader="dot" w:pos="9639"/>
        </w:tabs>
      </w:pPr>
      <w:r w:rsidRPr="00E735F8">
        <w:t>4.</w:t>
      </w:r>
      <w:r w:rsidRPr="00E735F8">
        <w:tab/>
        <w:t>Divers</w:t>
      </w:r>
      <w:r w:rsidRPr="00E735F8">
        <w:tab/>
        <w:t>3</w:t>
      </w:r>
    </w:p>
    <w:p w:rsidR="003408EB" w:rsidRPr="00E735F8" w:rsidRDefault="003408EB" w:rsidP="009E5BC1">
      <w:pPr>
        <w:pStyle w:val="NormalCentered"/>
        <w:spacing w:before="360"/>
      </w:pPr>
      <w:r w:rsidRPr="00E735F8">
        <w:t>*</w:t>
      </w:r>
    </w:p>
    <w:p w:rsidR="003408EB" w:rsidRPr="00E735F8" w:rsidRDefault="003408EB" w:rsidP="003408EB">
      <w:pPr>
        <w:spacing w:before="120"/>
        <w:jc w:val="center"/>
      </w:pPr>
      <w:r w:rsidRPr="00E735F8">
        <w:t>*</w:t>
      </w:r>
      <w:r w:rsidRPr="00E735F8">
        <w:tab/>
        <w:t>*</w:t>
      </w:r>
    </w:p>
    <w:p w:rsidR="003408EB" w:rsidRPr="00E735F8" w:rsidRDefault="003408EB" w:rsidP="003408EB">
      <w:pPr>
        <w:rPr>
          <w:b/>
          <w:bCs/>
          <w:u w:val="single"/>
        </w:rPr>
      </w:pPr>
      <w:r w:rsidRPr="00E735F8">
        <w:br w:type="page"/>
      </w:r>
      <w:r w:rsidRPr="00E735F8">
        <w:rPr>
          <w:b/>
          <w:bCs/>
          <w:u w:val="single"/>
        </w:rPr>
        <w:lastRenderedPageBreak/>
        <w:t>DÉLIBÉRATIONS LÉGISLATIVES</w:t>
      </w:r>
    </w:p>
    <w:p w:rsidR="003408EB" w:rsidRPr="00E735F8" w:rsidRDefault="003408EB" w:rsidP="003408EB">
      <w:pPr>
        <w:rPr>
          <w:b/>
          <w:bCs/>
          <w:i/>
          <w:iCs/>
        </w:rPr>
      </w:pPr>
      <w:r w:rsidRPr="00E735F8">
        <w:rPr>
          <w:b/>
          <w:bCs/>
          <w:i/>
          <w:iCs/>
        </w:rPr>
        <w:t>(Délibération publique conformément à l'article 16, paragraphe 8, du traité sur l'Union européenne)</w:t>
      </w:r>
    </w:p>
    <w:p w:rsidR="003408EB" w:rsidRPr="00E735F8" w:rsidRDefault="003408EB" w:rsidP="009E5BC1">
      <w:pPr>
        <w:spacing w:before="360"/>
        <w:rPr>
          <w:bCs/>
          <w:u w:val="double"/>
        </w:rPr>
      </w:pPr>
      <w:r w:rsidRPr="00E735F8">
        <w:rPr>
          <w:bCs/>
          <w:u w:val="double"/>
        </w:rPr>
        <w:t>POINTS "A"</w:t>
      </w:r>
    </w:p>
    <w:p w:rsidR="003408EB" w:rsidRPr="00E735F8" w:rsidRDefault="003408EB" w:rsidP="009E5BC1">
      <w:pPr>
        <w:pStyle w:val="PointManual"/>
        <w:spacing w:before="240"/>
        <w:rPr>
          <w:b/>
          <w:bCs/>
        </w:rPr>
      </w:pPr>
      <w:r w:rsidRPr="00E735F8">
        <w:rPr>
          <w:b/>
          <w:bCs/>
        </w:rPr>
        <w:t>1.</w:t>
      </w:r>
      <w:r w:rsidRPr="00E735F8">
        <w:rPr>
          <w:b/>
          <w:bCs/>
        </w:rPr>
        <w:tab/>
        <w:t>Proposition de règlement du Parlement européen et du</w:t>
      </w:r>
      <w:r w:rsidR="0034332A">
        <w:rPr>
          <w:b/>
          <w:bCs/>
        </w:rPr>
        <w:t xml:space="preserve"> Conseil modifiant le règlement </w:t>
      </w:r>
      <w:r w:rsidRPr="00E735F8">
        <w:rPr>
          <w:b/>
          <w:bCs/>
        </w:rPr>
        <w:t>(CE) n° 539/2001 fixant la liste des pays tiers dont les ressortissants sont soumis à l'obligation de visa pour franchir les frontières extérieures des États membres et la liste de ceux dont les ressortissants sont exemptés d</w:t>
      </w:r>
      <w:r w:rsidR="001F49C6">
        <w:rPr>
          <w:b/>
          <w:bCs/>
        </w:rPr>
        <w:t>e cette obligation (révision du </w:t>
      </w:r>
      <w:bookmarkStart w:id="1" w:name="_GoBack"/>
      <w:bookmarkEnd w:id="1"/>
      <w:r w:rsidRPr="00E735F8">
        <w:rPr>
          <w:b/>
          <w:bCs/>
        </w:rPr>
        <w:t>mécanisme de suspension) [Première lecture]</w:t>
      </w:r>
    </w:p>
    <w:p w:rsidR="003408EB" w:rsidRPr="00E735F8" w:rsidRDefault="003408EB" w:rsidP="00BC1DB2">
      <w:pPr>
        <w:pStyle w:val="DashEqual1"/>
        <w:numPr>
          <w:ilvl w:val="0"/>
          <w:numId w:val="1"/>
        </w:numPr>
        <w:rPr>
          <w:i/>
          <w:iCs/>
        </w:rPr>
      </w:pPr>
      <w:r w:rsidRPr="00E735F8">
        <w:t>Orientation générale</w:t>
      </w:r>
    </w:p>
    <w:p w:rsidR="003408EB" w:rsidRPr="00E735F8" w:rsidRDefault="003408EB" w:rsidP="003408EB">
      <w:pPr>
        <w:pStyle w:val="Text3"/>
        <w:rPr>
          <w:i/>
          <w:iCs/>
        </w:rPr>
      </w:pPr>
      <w:r w:rsidRPr="00E735F8">
        <w:t>9117/16 VISA 155 CODEC 691</w:t>
      </w:r>
    </w:p>
    <w:p w:rsidR="003408EB" w:rsidRPr="00E735F8" w:rsidRDefault="003408EB" w:rsidP="003408EB">
      <w:pPr>
        <w:pStyle w:val="Text3"/>
      </w:pPr>
      <w:r w:rsidRPr="00E735F8">
        <w:t xml:space="preserve">approuvé par le </w:t>
      </w:r>
      <w:proofErr w:type="spellStart"/>
      <w:r w:rsidRPr="00E735F8">
        <w:t>Coreper</w:t>
      </w:r>
      <w:proofErr w:type="spellEnd"/>
      <w:r w:rsidRPr="00E735F8">
        <w:t xml:space="preserve"> (2</w:t>
      </w:r>
      <w:r w:rsidRPr="00E735F8">
        <w:rPr>
          <w:vertAlign w:val="superscript"/>
        </w:rPr>
        <w:t>e</w:t>
      </w:r>
      <w:r w:rsidRPr="00E735F8">
        <w:t xml:space="preserve"> partie) le 18 mai 2016</w:t>
      </w:r>
    </w:p>
    <w:p w:rsidR="003408EB" w:rsidRPr="00E735F8" w:rsidRDefault="003408EB" w:rsidP="003408EB">
      <w:pPr>
        <w:pStyle w:val="Text1"/>
        <w:spacing w:before="200" w:line="360" w:lineRule="auto"/>
      </w:pPr>
      <w:r w:rsidRPr="001F49C6">
        <w:rPr>
          <w:u w:val="single"/>
        </w:rPr>
        <w:t>Le Conseil</w:t>
      </w:r>
      <w:r w:rsidRPr="00E735F8">
        <w:t xml:space="preserve"> a adopté une orientation générale sur la propositio</w:t>
      </w:r>
      <w:r w:rsidR="0034332A">
        <w:t>n de règlement figurant dans le </w:t>
      </w:r>
      <w:r w:rsidRPr="00E735F8">
        <w:t>document 9117/16.</w:t>
      </w:r>
    </w:p>
    <w:p w:rsidR="003408EB" w:rsidRPr="00E735F8" w:rsidRDefault="003408EB" w:rsidP="009E5BC1">
      <w:pPr>
        <w:spacing w:before="360"/>
        <w:rPr>
          <w:bCs/>
          <w:u w:val="double"/>
        </w:rPr>
      </w:pPr>
      <w:r w:rsidRPr="00E735F8">
        <w:rPr>
          <w:bCs/>
          <w:u w:val="double"/>
        </w:rPr>
        <w:t>POINTS "B"</w:t>
      </w:r>
    </w:p>
    <w:p w:rsidR="003408EB" w:rsidRPr="00E735F8" w:rsidRDefault="003408EB" w:rsidP="009E5BC1">
      <w:pPr>
        <w:pStyle w:val="PointManual"/>
        <w:spacing w:before="240"/>
        <w:rPr>
          <w:b/>
        </w:rPr>
      </w:pPr>
      <w:r w:rsidRPr="00E735F8">
        <w:rPr>
          <w:b/>
        </w:rPr>
        <w:t>3.</w:t>
      </w:r>
      <w:r w:rsidRPr="00E735F8">
        <w:rPr>
          <w:b/>
        </w:rPr>
        <w:tab/>
        <w:t xml:space="preserve">Corps européen de garde-frontières: Proposition de règlement du Parlement européen et du Conseil relatif au corps européen de garde-frontières et de garde-côtes et abrogeant le règlement (CE) n° 2007/2004, le règlement </w:t>
      </w:r>
      <w:r w:rsidR="0034332A">
        <w:rPr>
          <w:b/>
        </w:rPr>
        <w:t>(CE) n° 863/2007 et la décision </w:t>
      </w:r>
      <w:r w:rsidRPr="00E735F8">
        <w:rPr>
          <w:b/>
        </w:rPr>
        <w:t>2005/267/CE du Conseil [Première lecture]</w:t>
      </w:r>
    </w:p>
    <w:p w:rsidR="003408EB" w:rsidRPr="00E735F8" w:rsidRDefault="003408EB" w:rsidP="003408EB">
      <w:pPr>
        <w:pStyle w:val="DashEqual1"/>
      </w:pPr>
      <w:r w:rsidRPr="00E735F8">
        <w:t>Rapport sur l'état d'avancement des travaux</w:t>
      </w:r>
    </w:p>
    <w:p w:rsidR="003408EB" w:rsidRPr="00E735F8" w:rsidRDefault="003408EB" w:rsidP="003408EB">
      <w:pPr>
        <w:pStyle w:val="Text3"/>
      </w:pPr>
      <w:r w:rsidRPr="00E735F8">
        <w:t>8838/16 FRONT 205 SIRIS 79 CODEC 641 COMIX 359</w:t>
      </w:r>
    </w:p>
    <w:p w:rsidR="003408EB" w:rsidRPr="00E735F8" w:rsidRDefault="003408EB" w:rsidP="003408EB">
      <w:pPr>
        <w:pStyle w:val="Text4"/>
      </w:pPr>
      <w:r w:rsidRPr="00E735F8">
        <w:t>+ COR 1</w:t>
      </w:r>
    </w:p>
    <w:p w:rsidR="003408EB" w:rsidRPr="00E735F8" w:rsidRDefault="003408EB" w:rsidP="009E5BC1">
      <w:pPr>
        <w:pStyle w:val="Text1"/>
        <w:spacing w:before="200" w:line="360" w:lineRule="auto"/>
      </w:pPr>
      <w:r w:rsidRPr="00E735F8">
        <w:rPr>
          <w:u w:val="single"/>
        </w:rPr>
        <w:t>Le Conseil</w:t>
      </w:r>
      <w:r w:rsidRPr="00E735F8">
        <w:t xml:space="preserve"> a pris note des résultats du débat qui s'est tenu lors de la réunion du Comité mixte au niveau ministériel (doc. 9696/16).</w:t>
      </w:r>
    </w:p>
    <w:p w:rsidR="003408EB" w:rsidRPr="00E735F8" w:rsidRDefault="003408EB" w:rsidP="009E5BC1">
      <w:pPr>
        <w:pStyle w:val="PointManual"/>
        <w:spacing w:before="240"/>
        <w:rPr>
          <w:rFonts w:asciiTheme="majorBidi" w:hAnsiTheme="majorBidi" w:cstheme="majorBidi"/>
          <w:b/>
          <w:bCs/>
        </w:rPr>
      </w:pPr>
      <w:r w:rsidRPr="00E735F8">
        <w:rPr>
          <w:rFonts w:asciiTheme="majorBidi" w:hAnsiTheme="majorBidi"/>
          <w:b/>
          <w:bCs/>
        </w:rPr>
        <w:t>4.</w:t>
      </w:r>
      <w:r w:rsidRPr="00E735F8">
        <w:rPr>
          <w:rFonts w:asciiTheme="majorBidi" w:hAnsiTheme="majorBidi"/>
          <w:b/>
          <w:bCs/>
        </w:rPr>
        <w:tab/>
        <w:t>Divers</w:t>
      </w:r>
    </w:p>
    <w:p w:rsidR="003408EB" w:rsidRPr="00E735F8" w:rsidRDefault="003408EB" w:rsidP="003408EB">
      <w:pPr>
        <w:pStyle w:val="Text1"/>
        <w:spacing w:before="200" w:line="360" w:lineRule="auto"/>
      </w:pPr>
      <w:r w:rsidRPr="00E735F8">
        <w:t>Aucune question n'a été soulevée sous ce point.</w:t>
      </w:r>
    </w:p>
    <w:p w:rsidR="00FC4670" w:rsidRPr="00DD1FA3" w:rsidRDefault="00FC4670" w:rsidP="008C5FBD">
      <w:pPr>
        <w:pStyle w:val="FinalLine"/>
      </w:pPr>
    </w:p>
    <w:sectPr w:rsidR="00FC4670" w:rsidRPr="00DD1FA3" w:rsidSect="003F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BD" w:rsidRDefault="008C5FBD" w:rsidP="008C5FBD">
      <w:r>
        <w:separator/>
      </w:r>
    </w:p>
  </w:endnote>
  <w:endnote w:type="continuationSeparator" w:id="0">
    <w:p w:rsidR="008C5FBD" w:rsidRDefault="008C5FBD" w:rsidP="008C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45" w:rsidRPr="003F7DA6" w:rsidRDefault="00FD2A45" w:rsidP="003F7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7DA6" w:rsidRPr="00D94637" w:rsidTr="003F7D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7DA6" w:rsidRPr="00D94637" w:rsidRDefault="003F7D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F7DA6" w:rsidRPr="00B310DC" w:rsidTr="003F7D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7DA6" w:rsidRPr="00AD7BF2" w:rsidRDefault="003F7DA6" w:rsidP="004F54B2">
          <w:pPr>
            <w:pStyle w:val="FooterText"/>
          </w:pPr>
          <w:r>
            <w:t>9275/16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7DA6" w:rsidRPr="00AD7BF2" w:rsidRDefault="003F7D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7DA6" w:rsidRPr="002511D8" w:rsidRDefault="003F7DA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7DA6" w:rsidRPr="00B310DC" w:rsidRDefault="003F7D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F49C6">
            <w:rPr>
              <w:noProof/>
            </w:rPr>
            <w:t>2</w:t>
          </w:r>
          <w:r>
            <w:fldChar w:fldCharType="end"/>
          </w:r>
        </w:p>
      </w:tc>
    </w:tr>
    <w:tr w:rsidR="003F7DA6" w:rsidRPr="00D94637" w:rsidTr="003F7DA6">
      <w:trPr>
        <w:jc w:val="center"/>
      </w:trPr>
      <w:tc>
        <w:tcPr>
          <w:tcW w:w="1774" w:type="pct"/>
          <w:shd w:val="clear" w:color="auto" w:fill="auto"/>
        </w:tcPr>
        <w:p w:rsidR="003F7DA6" w:rsidRPr="00AD7BF2" w:rsidRDefault="003F7D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7DA6" w:rsidRPr="00AD7BF2" w:rsidRDefault="003F7DA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F7DA6" w:rsidRPr="00D94637" w:rsidRDefault="003F7D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7DA6" w:rsidRPr="00D94637" w:rsidRDefault="003F7D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C5FBD" w:rsidRPr="003F7DA6" w:rsidRDefault="008C5FBD" w:rsidP="003F7DA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7DA6" w:rsidRPr="00D94637" w:rsidTr="003F7DA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7DA6" w:rsidRPr="00D94637" w:rsidRDefault="003F7DA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F7DA6" w:rsidRPr="00B310DC" w:rsidTr="003F7DA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7DA6" w:rsidRPr="00AD7BF2" w:rsidRDefault="003F7DA6" w:rsidP="004F54B2">
          <w:pPr>
            <w:pStyle w:val="FooterText"/>
          </w:pPr>
          <w:r>
            <w:t>9275/16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7DA6" w:rsidRPr="00AD7BF2" w:rsidRDefault="003F7DA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7DA6" w:rsidRPr="002511D8" w:rsidRDefault="003F7DA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7DA6" w:rsidRPr="00B310DC" w:rsidRDefault="003F7DA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F49C6">
            <w:rPr>
              <w:noProof/>
            </w:rPr>
            <w:t>1</w:t>
          </w:r>
          <w:r>
            <w:fldChar w:fldCharType="end"/>
          </w:r>
        </w:p>
      </w:tc>
    </w:tr>
    <w:tr w:rsidR="003F7DA6" w:rsidRPr="00D94637" w:rsidTr="003F7DA6">
      <w:trPr>
        <w:jc w:val="center"/>
      </w:trPr>
      <w:tc>
        <w:tcPr>
          <w:tcW w:w="1774" w:type="pct"/>
          <w:shd w:val="clear" w:color="auto" w:fill="auto"/>
        </w:tcPr>
        <w:p w:rsidR="003F7DA6" w:rsidRPr="00AD7BF2" w:rsidRDefault="003F7DA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7DA6" w:rsidRPr="00AD7BF2" w:rsidRDefault="003F7DA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F7DA6" w:rsidRPr="00D94637" w:rsidRDefault="003F7DA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7DA6" w:rsidRPr="00D94637" w:rsidRDefault="003F7DA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C5FBD" w:rsidRPr="003F7DA6" w:rsidRDefault="008C5FBD" w:rsidP="003F7DA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BD" w:rsidRDefault="008C5FBD" w:rsidP="008C5FBD">
      <w:r>
        <w:separator/>
      </w:r>
    </w:p>
  </w:footnote>
  <w:footnote w:type="continuationSeparator" w:id="0">
    <w:p w:rsidR="008C5FBD" w:rsidRDefault="008C5FBD" w:rsidP="008C5FBD">
      <w:r>
        <w:continuationSeparator/>
      </w:r>
    </w:p>
  </w:footnote>
  <w:footnote w:id="1">
    <w:p w:rsidR="003408EB" w:rsidRPr="00DD1FA3" w:rsidRDefault="003408EB" w:rsidP="003408EB">
      <w:pPr>
        <w:pStyle w:val="FootnoteText"/>
      </w:pPr>
      <w:r w:rsidRPr="00DD1FA3">
        <w:rPr>
          <w:rStyle w:val="FootnoteReference"/>
        </w:rPr>
        <w:footnoteRef/>
      </w:r>
      <w:r>
        <w:tab/>
        <w:t>Délibérations sur les actes législatifs de l'Union (article 16</w:t>
      </w:r>
      <w:r w:rsidR="0034332A">
        <w:t>, paragraphe 8, du TUE), autres </w:t>
      </w:r>
      <w:r>
        <w:t>délibérations ouvertes au public et débats publics (arti</w:t>
      </w:r>
      <w:r w:rsidR="0034332A">
        <w:t>cle 8 du règlement intérieur du </w:t>
      </w:r>
      <w:r>
        <w:t>Conseil).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45" w:rsidRPr="003F7DA6" w:rsidRDefault="00FD2A45" w:rsidP="003F7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45" w:rsidRPr="003F7DA6" w:rsidRDefault="00FD2A45" w:rsidP="003F7DA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A45" w:rsidRPr="003F7DA6" w:rsidRDefault="00FD2A45" w:rsidP="003F7DA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0"/>
    <w:lvlOverride w:ilvl="0">
      <w:startOverride w:val="1"/>
    </w:lvlOverride>
  </w:num>
  <w:num w:numId="2">
    <w:abstractNumId w:val="21"/>
  </w:num>
  <w:num w:numId="3">
    <w:abstractNumId w:val="27"/>
  </w:num>
  <w:num w:numId="4">
    <w:abstractNumId w:val="15"/>
  </w:num>
  <w:num w:numId="5">
    <w:abstractNumId w:val="23"/>
  </w:num>
  <w:num w:numId="6">
    <w:abstractNumId w:val="13"/>
  </w:num>
  <w:num w:numId="7">
    <w:abstractNumId w:val="28"/>
  </w:num>
  <w:num w:numId="8">
    <w:abstractNumId w:val="20"/>
  </w:num>
  <w:num w:numId="9">
    <w:abstractNumId w:val="22"/>
  </w:num>
  <w:num w:numId="10">
    <w:abstractNumId w:val="24"/>
  </w:num>
  <w:num w:numId="11">
    <w:abstractNumId w:val="19"/>
  </w:num>
  <w:num w:numId="12">
    <w:abstractNumId w:val="11"/>
  </w:num>
  <w:num w:numId="13">
    <w:abstractNumId w:val="25"/>
  </w:num>
  <w:num w:numId="14">
    <w:abstractNumId w:val="18"/>
  </w:num>
  <w:num w:numId="15">
    <w:abstractNumId w:val="14"/>
  </w:num>
  <w:num w:numId="16">
    <w:abstractNumId w:val="26"/>
  </w:num>
  <w:num w:numId="17">
    <w:abstractNumId w:val="16"/>
  </w:num>
  <w:num w:numId="18">
    <w:abstractNumId w:val="10"/>
  </w:num>
  <w:num w:numId="19">
    <w:abstractNumId w:val="12"/>
  </w:num>
  <w:num w:numId="20">
    <w:abstractNumId w:val="17"/>
  </w:num>
  <w:num w:numId="21">
    <w:abstractNumId w:val="21"/>
  </w:num>
  <w:num w:numId="22">
    <w:abstractNumId w:val="27"/>
  </w:num>
  <w:num w:numId="23">
    <w:abstractNumId w:val="15"/>
  </w:num>
  <w:num w:numId="24">
    <w:abstractNumId w:val="23"/>
  </w:num>
  <w:num w:numId="25">
    <w:abstractNumId w:val="13"/>
  </w:num>
  <w:num w:numId="26">
    <w:abstractNumId w:val="28"/>
  </w:num>
  <w:num w:numId="27">
    <w:abstractNumId w:val="20"/>
  </w:num>
  <w:num w:numId="28">
    <w:abstractNumId w:val="22"/>
  </w:num>
  <w:num w:numId="29">
    <w:abstractNumId w:val="24"/>
  </w:num>
  <w:num w:numId="30">
    <w:abstractNumId w:val="19"/>
  </w:num>
  <w:num w:numId="31">
    <w:abstractNumId w:val="11"/>
  </w:num>
  <w:num w:numId="32">
    <w:abstractNumId w:val="25"/>
  </w:num>
  <w:num w:numId="33">
    <w:abstractNumId w:val="18"/>
  </w:num>
  <w:num w:numId="34">
    <w:abstractNumId w:val="14"/>
  </w:num>
  <w:num w:numId="35">
    <w:abstractNumId w:val="26"/>
  </w:num>
  <w:num w:numId="36">
    <w:abstractNumId w:val="16"/>
  </w:num>
  <w:num w:numId="37">
    <w:abstractNumId w:val="10"/>
  </w:num>
  <w:num w:numId="38">
    <w:abstractNumId w:val="12"/>
  </w:num>
  <w:num w:numId="39">
    <w:abstractNumId w:val="17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3e2d4a57-e639-43d2-ad3b-932cb5e6fef4&quot;&gt;_x000d__x000a_  &lt;metadata key=&quot;md_Document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9&quot; text=&quot;PROJET DE PROCÈS-VERBAL&quot; /&gt;_x000d__x000a_    &lt;/basicdatatype&gt;_x000d__x000a_  &lt;/metadata&gt;_x000d__x000a_  &lt;metadata key=&quot;md_HeadingText&quot; translate=&quot;false&quot;&gt;_x000d__x000a_    &lt;headingtext text=&quot;PROJET DE PROCÈS-VERBAL&quot;&gt;_x000d__x000a_      &lt;formattedtext&gt;_x000d__x000a_        &lt;xaml text=&quot;PROJET DE PROCÈS-VERBAL&quot;&gt;&amp;lt;FlowDocument xmlns=&quot;http://schemas.microsoft.com/winfx/2006/xaml/presentation&quot;&amp;gt;&amp;lt;Paragraph&amp;gt;PROJET DE PROCÈS-VERBAL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 translate=&quot;false&quot;&gt;_x000d__x000a_    &lt;text&gt;2016-06-1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275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5&lt;/text&gt;_x000d__x000a_      &lt;text&gt;JAI 466&lt;/text&gt;_x000d__x000a_      &lt;text&gt;COMIX 388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/&gt;_x000d__x000a_  &lt;metadata key=&quot;md_CouncilConfiguration&quot; translate=&quot;false&quot;&gt;_x000d__x000a_    &lt;basicdatatype&gt;_x000d__x000a_      &lt;text&gt;&lt;/text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translate=&quot;false&quot;&gt;_x000d__x000a_    &lt;questions /&gt;_x000d__x000a_  &lt;/metadata&gt;_x000d__x000a_  &lt;metadata key=&quot;md_Deadline&quot; /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text&gt;&lt;/text&gt;_x000d__x000a_    &lt;/basicdatatype&gt;_x000d__x000a_  &lt;/metadata&gt;_x000d__x000a_  &lt;metadata key=&quot;md_Recipient&quot; translate=&quot;false&quot;&gt;_x000d__x000a_    &lt;basicdatatype&gt;_x000d__x000a_      &lt;text&gt;&lt;/text&gt;_x000d__x000a_    &lt;/basicdatatype&gt;_x000d__x000a_  &lt;/metadata&gt;_x000d__x000a_  &lt;metadata key=&quot;md_DateOfReceipt&quot; /&gt;_x000d__x000a_  &lt;metadata key=&quot;md_FreeDate&quot; /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translate=&quot;false&quot;&gt;_x000d__x000a_    &lt;text&gt;&lt;/text&gt;_x000d__x000a_  &lt;/metadata&gt;_x000d__x000a_  &lt;metadata key=&quot;md_Item&quot; /&gt;_x000d__x000a_  &lt;metadata key=&quot;md_Subject&quot;&gt;_x000d__x000a_    &lt;xaml text=&quot;3465e session du Conseil de l'Union européenne (JUSTICE ET AFFAIRES INTÉRIEURES), tenue à Bruxelles le 20 mai 2016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FontWeight=&quot;Bold&quot; xml:lang=&quot;fr-be&quot;&amp;gt;3465&amp;lt;/Run&amp;gt;&amp;lt;Run BaselineAlignment=&quot;Superscript&quot; FontWeight=&quot;Bold&quot; xml:lang=&quot;fr-be&quot;&amp;gt;e&amp;lt;/Run&amp;gt;&amp;lt;Run xml:lang=&quot;fr-be&quot; xml:space=&quot;preserve&quot;&amp;gt; session du Conseil de l'Union européenne &amp;lt;/Run&amp;gt;&amp;lt;Run FontWeight=&quot;Bold&quot; xml:lang=&quot;fr-be&quot;&amp;gt;(JUSTICE ET AFFAIRES INTÉRIEURES)&amp;lt;/Run&amp;gt;&amp;lt;Run xml:lang=&quot;fr-be&quot;&amp;gt;, tenue à Bruxelles le 20 mai 2016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 /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AutoOpen" w:val="True"/>
    <w:docVar w:name="DW_DocType" w:val="DW_AGENDA"/>
    <w:docVar w:name="DW_DQC_HasErrors" w:val="true"/>
    <w:docVar w:name="VSSDB_IniPath" w:val="\\at100\user\wovo\SEILEG\vss\srcsafe.ini"/>
    <w:docVar w:name="VSSDB_ProjectPath" w:val="$/DocuWrite/DOT/DW_AGENDA"/>
  </w:docVars>
  <w:rsids>
    <w:rsidRoot w:val="008C5FBD"/>
    <w:rsid w:val="00010C1D"/>
    <w:rsid w:val="0009656C"/>
    <w:rsid w:val="00165755"/>
    <w:rsid w:val="00182F2F"/>
    <w:rsid w:val="001C1958"/>
    <w:rsid w:val="001F0D95"/>
    <w:rsid w:val="001F49C6"/>
    <w:rsid w:val="00213F1F"/>
    <w:rsid w:val="002A2AE8"/>
    <w:rsid w:val="003408EB"/>
    <w:rsid w:val="0034332A"/>
    <w:rsid w:val="00387610"/>
    <w:rsid w:val="003C6E8B"/>
    <w:rsid w:val="003D468E"/>
    <w:rsid w:val="003F6EA0"/>
    <w:rsid w:val="003F7DA6"/>
    <w:rsid w:val="00444EFD"/>
    <w:rsid w:val="005157F5"/>
    <w:rsid w:val="00576678"/>
    <w:rsid w:val="00595B7C"/>
    <w:rsid w:val="0063379B"/>
    <w:rsid w:val="0068024B"/>
    <w:rsid w:val="006A38C5"/>
    <w:rsid w:val="006C1AD4"/>
    <w:rsid w:val="006E33E2"/>
    <w:rsid w:val="006F4741"/>
    <w:rsid w:val="00720683"/>
    <w:rsid w:val="0075756A"/>
    <w:rsid w:val="007B6950"/>
    <w:rsid w:val="00825503"/>
    <w:rsid w:val="008826F8"/>
    <w:rsid w:val="008B2EFC"/>
    <w:rsid w:val="008C5FBD"/>
    <w:rsid w:val="00906A2B"/>
    <w:rsid w:val="009E5BC1"/>
    <w:rsid w:val="00A469D7"/>
    <w:rsid w:val="00BC1DB2"/>
    <w:rsid w:val="00BE1373"/>
    <w:rsid w:val="00C016A6"/>
    <w:rsid w:val="00D17DAF"/>
    <w:rsid w:val="00D451E4"/>
    <w:rsid w:val="00DD1FA3"/>
    <w:rsid w:val="00E735F8"/>
    <w:rsid w:val="00F6223C"/>
    <w:rsid w:val="00F66C6B"/>
    <w:rsid w:val="00FC4670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C5FB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C5FB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C5FB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C5FBD"/>
  </w:style>
  <w:style w:type="character" w:customStyle="1" w:styleId="Text3Char">
    <w:name w:val="Text 3 Char"/>
    <w:basedOn w:val="DefaultParagraphFont"/>
    <w:locked/>
    <w:rsid w:val="003408EB"/>
    <w:rPr>
      <w:sz w:val="24"/>
      <w:szCs w:val="24"/>
      <w:lang w:val="fr-FR" w:eastAsia="en-US"/>
    </w:rPr>
  </w:style>
  <w:style w:type="character" w:customStyle="1" w:styleId="PointManualChar">
    <w:name w:val="Point Manual Char"/>
    <w:locked/>
    <w:rsid w:val="003408EB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C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06A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6"/>
      </w:numPr>
    </w:pPr>
  </w:style>
  <w:style w:type="paragraph" w:customStyle="1" w:styleId="DashEqual1">
    <w:name w:val="Dash Equal 1"/>
    <w:basedOn w:val="Dash1"/>
    <w:rsid w:val="006E33E2"/>
    <w:pPr>
      <w:numPr>
        <w:numId w:val="27"/>
      </w:numPr>
    </w:pPr>
  </w:style>
  <w:style w:type="paragraph" w:customStyle="1" w:styleId="DashEqual2">
    <w:name w:val="Dash Equal 2"/>
    <w:basedOn w:val="Dash2"/>
    <w:rsid w:val="006E33E2"/>
    <w:pPr>
      <w:numPr>
        <w:numId w:val="28"/>
      </w:numPr>
    </w:pPr>
  </w:style>
  <w:style w:type="paragraph" w:customStyle="1" w:styleId="DashEqual3">
    <w:name w:val="Dash Equal 3"/>
    <w:basedOn w:val="Dash3"/>
    <w:rsid w:val="006E33E2"/>
    <w:pPr>
      <w:numPr>
        <w:numId w:val="29"/>
      </w:numPr>
    </w:pPr>
  </w:style>
  <w:style w:type="paragraph" w:customStyle="1" w:styleId="DashEqual4">
    <w:name w:val="Dash Equal 4"/>
    <w:basedOn w:val="Dash4"/>
    <w:rsid w:val="006E33E2"/>
    <w:pPr>
      <w:numPr>
        <w:numId w:val="3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C5FBD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C5FBD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C5FBD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C5FBD"/>
  </w:style>
  <w:style w:type="character" w:customStyle="1" w:styleId="Text3Char">
    <w:name w:val="Text 3 Char"/>
    <w:basedOn w:val="DefaultParagraphFont"/>
    <w:locked/>
    <w:rsid w:val="003408EB"/>
    <w:rPr>
      <w:sz w:val="24"/>
      <w:szCs w:val="24"/>
      <w:lang w:val="fr-FR" w:eastAsia="en-US"/>
    </w:rPr>
  </w:style>
  <w:style w:type="character" w:customStyle="1" w:styleId="PointManualChar">
    <w:name w:val="Point Manual Char"/>
    <w:locked/>
    <w:rsid w:val="003408EB"/>
    <w:rPr>
      <w:sz w:val="24"/>
      <w:szCs w:val="24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C"/>
    <w:rPr>
      <w:rFonts w:ascii="Tahoma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906A2B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3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3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3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3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3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3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3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3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3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3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2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2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2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2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26"/>
      </w:numPr>
    </w:pPr>
  </w:style>
  <w:style w:type="paragraph" w:customStyle="1" w:styleId="DashEqual1">
    <w:name w:val="Dash Equal 1"/>
    <w:basedOn w:val="Dash1"/>
    <w:rsid w:val="006E33E2"/>
    <w:pPr>
      <w:numPr>
        <w:numId w:val="27"/>
      </w:numPr>
    </w:pPr>
  </w:style>
  <w:style w:type="paragraph" w:customStyle="1" w:styleId="DashEqual2">
    <w:name w:val="Dash Equal 2"/>
    <w:basedOn w:val="Dash2"/>
    <w:rsid w:val="006E33E2"/>
    <w:pPr>
      <w:numPr>
        <w:numId w:val="28"/>
      </w:numPr>
    </w:pPr>
  </w:style>
  <w:style w:type="paragraph" w:customStyle="1" w:styleId="DashEqual3">
    <w:name w:val="Dash Equal 3"/>
    <w:basedOn w:val="Dash3"/>
    <w:rsid w:val="006E33E2"/>
    <w:pPr>
      <w:numPr>
        <w:numId w:val="29"/>
      </w:numPr>
    </w:pPr>
  </w:style>
  <w:style w:type="paragraph" w:customStyle="1" w:styleId="DashEqual4">
    <w:name w:val="Dash Equal 4"/>
    <w:basedOn w:val="Dash4"/>
    <w:rsid w:val="006E33E2"/>
    <w:pPr>
      <w:numPr>
        <w:numId w:val="3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3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3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CARNEIRO Suzana Claudia</cp:lastModifiedBy>
  <cp:revision>10</cp:revision>
  <cp:lastPrinted>2016-06-24T12:07:00Z</cp:lastPrinted>
  <dcterms:created xsi:type="dcterms:W3CDTF">2016-06-24T12:06:00Z</dcterms:created>
  <dcterms:modified xsi:type="dcterms:W3CDTF">2016-06-24T14:36:00Z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