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102" w:rsidRPr="005D7FC5" w:rsidRDefault="00CC671B" w:rsidP="005D7FC5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52d8aa76-3003-4c72-968f-3920af2fa659_0" style="width:568.55pt;height:382.4pt">
            <v:imagedata r:id="rId9" o:title=""/>
          </v:shape>
        </w:pict>
      </w:r>
      <w:bookmarkEnd w:id="0"/>
    </w:p>
    <w:p w:rsidR="009F7321" w:rsidRPr="002801CF" w:rsidRDefault="009F7321" w:rsidP="0068791B">
      <w:pPr>
        <w:spacing w:before="240"/>
        <w:rPr>
          <w:b/>
          <w:bCs/>
          <w:color w:val="000000"/>
          <w:u w:val="single"/>
        </w:rPr>
      </w:pPr>
      <w:r w:rsidRPr="002801CF">
        <w:rPr>
          <w:b/>
          <w:bCs/>
          <w:color w:val="000000"/>
          <w:u w:val="single"/>
        </w:rPr>
        <w:t>ЗАСЕДАНИЕ В ПОНЕДЕЛНИК, 28 НОЕМВРИ 2016 г. (9,30 ч)</w:t>
      </w:r>
    </w:p>
    <w:p w:rsidR="009F7321" w:rsidRPr="002801CF" w:rsidRDefault="009F7321" w:rsidP="00ED505C">
      <w:pPr>
        <w:pStyle w:val="PointManual"/>
        <w:spacing w:before="480"/>
      </w:pPr>
      <w:r w:rsidRPr="002801CF">
        <w:t>1.</w:t>
      </w:r>
      <w:r w:rsidRPr="002801CF">
        <w:tab/>
        <w:t>Приемане на дневния ред</w:t>
      </w:r>
    </w:p>
    <w:p w:rsidR="009F7321" w:rsidRPr="002801CF" w:rsidRDefault="009F7321" w:rsidP="0068791B">
      <w:pPr>
        <w:spacing w:before="480"/>
        <w:rPr>
          <w:b/>
          <w:bCs/>
          <w:u w:val="single"/>
        </w:rPr>
      </w:pPr>
      <w:r w:rsidRPr="002801CF">
        <w:rPr>
          <w:b/>
          <w:bCs/>
          <w:u w:val="single"/>
        </w:rPr>
        <w:t>Незаконодателни дейности</w:t>
      </w:r>
    </w:p>
    <w:p w:rsidR="009F7321" w:rsidRPr="002801CF" w:rsidRDefault="00055EFB" w:rsidP="00ED505C">
      <w:pPr>
        <w:pStyle w:val="PointManual"/>
        <w:spacing w:before="480"/>
      </w:pPr>
      <w:r w:rsidRPr="002801CF">
        <w:t>2.</w:t>
      </w:r>
      <w:r w:rsidRPr="002801CF">
        <w:tab/>
        <w:t>Одобряване на списъка на точки А</w:t>
      </w:r>
    </w:p>
    <w:p w:rsidR="00E87BFB" w:rsidRPr="002801CF" w:rsidRDefault="00E87BFB" w:rsidP="00115C78">
      <w:pPr>
        <w:pStyle w:val="Text3"/>
      </w:pPr>
      <w:r w:rsidRPr="002801CF">
        <w:t>14660/16 PTS A 94</w:t>
      </w:r>
    </w:p>
    <w:p w:rsidR="009F7321" w:rsidRPr="002801CF" w:rsidRDefault="009F7321" w:rsidP="00055EFB">
      <w:pPr>
        <w:spacing w:before="480"/>
        <w:rPr>
          <w:b/>
        </w:rPr>
      </w:pPr>
      <w:r w:rsidRPr="002801CF">
        <w:rPr>
          <w:b/>
          <w:bCs/>
          <w:u w:val="single"/>
        </w:rPr>
        <w:t>Обсъждания на законодателни актове</w:t>
      </w:r>
    </w:p>
    <w:p w:rsidR="009F7321" w:rsidRPr="002801CF" w:rsidRDefault="009F7321" w:rsidP="0068791B">
      <w:pPr>
        <w:rPr>
          <w:b/>
        </w:rPr>
      </w:pPr>
      <w:r w:rsidRPr="002801CF">
        <w:rPr>
          <w:b/>
        </w:rPr>
        <w:t>(открито обсъждане съгласно член 16, параграф 8 от Договора за Европейския съюз)</w:t>
      </w:r>
    </w:p>
    <w:p w:rsidR="009F7321" w:rsidRPr="002801CF" w:rsidRDefault="009F7321" w:rsidP="0095637B">
      <w:pPr>
        <w:pStyle w:val="PointManual"/>
        <w:spacing w:before="360"/>
      </w:pPr>
      <w:r w:rsidRPr="002801CF">
        <w:t>3.</w:t>
      </w:r>
      <w:r w:rsidRPr="002801CF">
        <w:tab/>
        <w:t>Одобряване на списъка на точки А</w:t>
      </w:r>
    </w:p>
    <w:p w:rsidR="00E87BFB" w:rsidRPr="002801CF" w:rsidRDefault="00E87BFB" w:rsidP="00115C78">
      <w:pPr>
        <w:pStyle w:val="Text3"/>
      </w:pPr>
      <w:r w:rsidRPr="002801CF">
        <w:t>14659/16 PTS A 93</w:t>
      </w:r>
    </w:p>
    <w:p w:rsidR="009F7321" w:rsidRPr="002801CF" w:rsidRDefault="00055EFB" w:rsidP="009F7321">
      <w:pPr>
        <w:pStyle w:val="NormalCentered"/>
        <w:spacing w:before="480"/>
        <w:jc w:val="left"/>
        <w:rPr>
          <w:u w:val="single"/>
        </w:rPr>
      </w:pPr>
      <w:r w:rsidRPr="002801CF">
        <w:br w:type="page"/>
      </w:r>
      <w:r w:rsidRPr="002801CF">
        <w:rPr>
          <w:u w:val="single"/>
        </w:rPr>
        <w:lastRenderedPageBreak/>
        <w:t>ВЪТРЕШЕН ПАЗАР И ПРОМИШЛЕНОСТ</w:t>
      </w:r>
    </w:p>
    <w:p w:rsidR="009F7321" w:rsidRPr="002801CF" w:rsidRDefault="009F7321" w:rsidP="006525A1">
      <w:pPr>
        <w:pStyle w:val="PointManual"/>
        <w:spacing w:before="480"/>
        <w:rPr>
          <w:b/>
        </w:rPr>
      </w:pPr>
      <w:r w:rsidRPr="002801CF">
        <w:t>4.</w:t>
      </w:r>
      <w:r w:rsidRPr="002801CF">
        <w:tab/>
        <w:t xml:space="preserve">Предложение за регламент на Европейския парламент и на Съвета за преодоляване на блокирането на географски принцип и на други форми на дискриминация въз основа на националността, мястото на пребиваване или мястото на установяване на клиентите в рамките на вътрешния пазар и за изменение на Регламент (ЕО) № 2006/2004 и Директива 2009/22/EО </w:t>
      </w:r>
      <w:r w:rsidRPr="002801CF">
        <w:rPr>
          <w:b/>
          <w:bCs/>
        </w:rPr>
        <w:t>(първо четене)</w:t>
      </w:r>
    </w:p>
    <w:p w:rsidR="009F7321" w:rsidRPr="002801CF" w:rsidRDefault="009F7321" w:rsidP="009F7321">
      <w:pPr>
        <w:pStyle w:val="Text1"/>
      </w:pPr>
      <w:r w:rsidRPr="002801CF">
        <w:t>Междуинституционално досие: 2016/0152 (COD)</w:t>
      </w:r>
    </w:p>
    <w:p w:rsidR="009F7321" w:rsidRPr="002801CF" w:rsidRDefault="009F7321" w:rsidP="00115C78">
      <w:pPr>
        <w:pStyle w:val="DashEqual1"/>
        <w:numPr>
          <w:ilvl w:val="0"/>
          <w:numId w:val="1"/>
        </w:numPr>
      </w:pPr>
      <w:r w:rsidRPr="002801CF">
        <w:t>Общ подход</w:t>
      </w:r>
    </w:p>
    <w:p w:rsidR="00716F18" w:rsidRPr="002801CF" w:rsidRDefault="002F3710" w:rsidP="00115C78">
      <w:pPr>
        <w:pStyle w:val="Text3"/>
      </w:pPr>
      <w:r w:rsidRPr="002801CF">
        <w:t>14662/16 MI 738 TELECOM 244 DIGIT 136 CONSOM 287 IND 249</w:t>
      </w:r>
    </w:p>
    <w:p w:rsidR="00716F18" w:rsidRPr="002801CF" w:rsidRDefault="00716F18" w:rsidP="00716F18">
      <w:pPr>
        <w:pStyle w:val="Text5"/>
      </w:pPr>
      <w:r w:rsidRPr="002801CF">
        <w:t>COMPET 604 ENT 213 POSTES 19 JUSTCIV 304 PI 138</w:t>
      </w:r>
    </w:p>
    <w:p w:rsidR="00BA2A9A" w:rsidRPr="002801CF" w:rsidRDefault="002F3710" w:rsidP="00716F18">
      <w:pPr>
        <w:pStyle w:val="Text5"/>
      </w:pPr>
      <w:r w:rsidRPr="002801CF">
        <w:t>CODEC 1697</w:t>
      </w:r>
    </w:p>
    <w:p w:rsidR="00716F18" w:rsidRPr="002801CF" w:rsidRDefault="002F3710" w:rsidP="00115C78">
      <w:pPr>
        <w:pStyle w:val="Text3"/>
      </w:pPr>
      <w:r w:rsidRPr="002801CF">
        <w:t>14663/16 MI 739 TELECOM 245 DIGIT 137 CONSOM 288 IND 250</w:t>
      </w:r>
    </w:p>
    <w:p w:rsidR="00716F18" w:rsidRPr="002801CF" w:rsidRDefault="00716F18" w:rsidP="00716F18">
      <w:pPr>
        <w:pStyle w:val="Text5"/>
      </w:pPr>
      <w:r w:rsidRPr="002801CF">
        <w:t>COMPET 605 ENT 214 POSTES 20 JUSTCIV 305 PI 139</w:t>
      </w:r>
    </w:p>
    <w:p w:rsidR="002F3710" w:rsidRPr="002801CF" w:rsidRDefault="002F3710" w:rsidP="00716F18">
      <w:pPr>
        <w:pStyle w:val="Text5"/>
      </w:pPr>
      <w:r w:rsidRPr="002801CF">
        <w:t>CODEC 1698</w:t>
      </w:r>
    </w:p>
    <w:p w:rsidR="00E4464F" w:rsidRPr="002801CF" w:rsidRDefault="00E4464F" w:rsidP="00E4464F">
      <w:pPr>
        <w:pStyle w:val="Text3"/>
        <w:tabs>
          <w:tab w:val="right" w:pos="9639"/>
        </w:tabs>
      </w:pPr>
      <w:r w:rsidRPr="002801CF">
        <w:t>9611/16 MI 396 TELECOM 104 DIGIT 60 CONSOM 130 IND 116</w:t>
      </w:r>
      <w:r w:rsidRPr="002801CF">
        <w:tab/>
        <w:t>(x)</w:t>
      </w:r>
    </w:p>
    <w:p w:rsidR="00E4464F" w:rsidRPr="002801CF" w:rsidRDefault="00E4464F" w:rsidP="00E4464F">
      <w:pPr>
        <w:pStyle w:val="Text5"/>
      </w:pPr>
      <w:r w:rsidRPr="002801CF">
        <w:t>COMPET 339 ENT 102 POSTES 3 JUSTCIV 155 PI 64</w:t>
      </w:r>
    </w:p>
    <w:p w:rsidR="00E4464F" w:rsidRPr="002801CF" w:rsidRDefault="00E4464F" w:rsidP="00E4464F">
      <w:pPr>
        <w:pStyle w:val="Text5"/>
      </w:pPr>
      <w:r w:rsidRPr="002801CF">
        <w:t>CODEC 772 IA 31</w:t>
      </w:r>
    </w:p>
    <w:p w:rsidR="009F7321" w:rsidRPr="002801CF" w:rsidRDefault="009F7321" w:rsidP="0068791B">
      <w:pPr>
        <w:spacing w:before="480"/>
        <w:rPr>
          <w:b/>
          <w:bCs/>
          <w:u w:val="single"/>
        </w:rPr>
      </w:pPr>
      <w:r w:rsidRPr="002801CF">
        <w:rPr>
          <w:b/>
          <w:bCs/>
          <w:u w:val="single"/>
        </w:rPr>
        <w:t>Незаконодателни дейности</w:t>
      </w:r>
    </w:p>
    <w:p w:rsidR="00C07367" w:rsidRPr="002801CF" w:rsidRDefault="00C07367" w:rsidP="00C07367">
      <w:pPr>
        <w:pStyle w:val="PointManual"/>
        <w:spacing w:before="480"/>
      </w:pPr>
      <w:r w:rsidRPr="002801CF">
        <w:t>5.</w:t>
      </w:r>
      <w:r w:rsidRPr="002801CF">
        <w:tab/>
        <w:t>Единен пазар</w:t>
      </w:r>
    </w:p>
    <w:p w:rsidR="00C07367" w:rsidRPr="002801CF" w:rsidRDefault="00C07367" w:rsidP="00C07367">
      <w:pPr>
        <w:pStyle w:val="PointManual1"/>
      </w:pPr>
      <w:r w:rsidRPr="002801CF">
        <w:t>а)</w:t>
      </w:r>
      <w:r w:rsidRPr="002801CF">
        <w:tab/>
        <w:t>Една година след приемането на стратегията за единния пазар</w:t>
      </w:r>
    </w:p>
    <w:p w:rsidR="00C07367" w:rsidRPr="002801CF" w:rsidRDefault="00C07367" w:rsidP="00C07367">
      <w:pPr>
        <w:pStyle w:val="PointManual1"/>
        <w:spacing w:before="120"/>
      </w:pPr>
      <w:r w:rsidRPr="002801CF">
        <w:t>б)</w:t>
      </w:r>
      <w:r w:rsidRPr="002801CF">
        <w:tab/>
        <w:t>Съобщение на Комисията: Следващите лидери на Европа — Инициатива за</w:t>
      </w:r>
    </w:p>
    <w:p w:rsidR="00C07367" w:rsidRPr="002801CF" w:rsidRDefault="00C07367" w:rsidP="00C07367">
      <w:pPr>
        <w:pStyle w:val="Text2"/>
      </w:pPr>
      <w:r w:rsidRPr="002801CF">
        <w:t xml:space="preserve">стартиращите предприятия и тяхното разрастване </w:t>
      </w:r>
    </w:p>
    <w:p w:rsidR="00C07367" w:rsidRPr="002801CF" w:rsidRDefault="00C07367" w:rsidP="00C07367">
      <w:pPr>
        <w:pStyle w:val="Text3"/>
      </w:pPr>
      <w:r w:rsidRPr="002801CF">
        <w:t>14261/16 IND 238 MI 699 COMPET 572 FISC 191 PI 129</w:t>
      </w:r>
    </w:p>
    <w:p w:rsidR="00C07367" w:rsidRPr="002801CF" w:rsidRDefault="00C07367" w:rsidP="00E95FC3">
      <w:pPr>
        <w:pStyle w:val="DashEqual1"/>
        <w:numPr>
          <w:ilvl w:val="0"/>
          <w:numId w:val="4"/>
        </w:numPr>
        <w:spacing w:before="120"/>
      </w:pPr>
      <w:r w:rsidRPr="002801CF">
        <w:t>Ориентационен дебат</w:t>
      </w:r>
    </w:p>
    <w:p w:rsidR="00C07367" w:rsidRPr="002801CF" w:rsidRDefault="00C07367" w:rsidP="00C07367">
      <w:pPr>
        <w:pStyle w:val="Text3"/>
      </w:pPr>
      <w:r w:rsidRPr="002801CF">
        <w:t>14246/16 COMPET 570 MI 698 CONSOM 275 PI 128 IND 236 ECOFIN 1020</w:t>
      </w:r>
    </w:p>
    <w:p w:rsidR="00C07367" w:rsidRPr="002801CF" w:rsidRDefault="00C07367" w:rsidP="00C07367">
      <w:pPr>
        <w:pStyle w:val="Text3"/>
        <w:tabs>
          <w:tab w:val="right" w:pos="9639"/>
        </w:tabs>
      </w:pPr>
      <w:r w:rsidRPr="002801CF">
        <w:t>13370/15 COMPET 472 MI 664 CONSOM 180 PI 81 IND 158</w:t>
      </w:r>
      <w:r w:rsidRPr="002801CF">
        <w:tab/>
        <w:t>(x)</w:t>
      </w:r>
    </w:p>
    <w:p w:rsidR="00C07367" w:rsidRPr="002801CF" w:rsidRDefault="00C07367" w:rsidP="00C07367">
      <w:pPr>
        <w:pStyle w:val="Text5"/>
      </w:pPr>
      <w:r w:rsidRPr="002801CF">
        <w:t>ECOFIN 816</w:t>
      </w:r>
    </w:p>
    <w:p w:rsidR="00C07367" w:rsidRPr="002801CF" w:rsidRDefault="00C07367" w:rsidP="00C07367">
      <w:pPr>
        <w:pStyle w:val="Text4"/>
        <w:tabs>
          <w:tab w:val="right" w:pos="9639"/>
        </w:tabs>
      </w:pPr>
      <w:r w:rsidRPr="002801CF">
        <w:t>+ REV 1 (et)</w:t>
      </w:r>
      <w:r w:rsidRPr="002801CF">
        <w:tab/>
        <w:t>(x)</w:t>
      </w:r>
    </w:p>
    <w:p w:rsidR="009F7321" w:rsidRPr="002801CF" w:rsidRDefault="001B021D" w:rsidP="00C07367">
      <w:pPr>
        <w:pStyle w:val="PointManual"/>
        <w:spacing w:before="480"/>
      </w:pPr>
      <w:r w:rsidRPr="002801CF">
        <w:t>6.</w:t>
      </w:r>
      <w:r w:rsidRPr="002801CF">
        <w:tab/>
        <w:t>„Проверка“ на конкурентоспособността: актуално състояние на реалната икономика</w:t>
      </w:r>
    </w:p>
    <w:p w:rsidR="009F7321" w:rsidRPr="002801CF" w:rsidRDefault="009F7321" w:rsidP="009F7321">
      <w:pPr>
        <w:pStyle w:val="DashEqual1"/>
      </w:pPr>
      <w:r w:rsidRPr="002801CF">
        <w:t>Представяне от Комисията</w:t>
      </w:r>
    </w:p>
    <w:p w:rsidR="009F7321" w:rsidRPr="002801CF" w:rsidRDefault="009F7321" w:rsidP="00A52894">
      <w:pPr>
        <w:pStyle w:val="DashEqual1"/>
      </w:pPr>
      <w:r w:rsidRPr="002801CF">
        <w:t>Обмен на мнения</w:t>
      </w:r>
    </w:p>
    <w:p w:rsidR="00D40510" w:rsidRPr="002801CF" w:rsidRDefault="00D40510" w:rsidP="006525A1">
      <w:pPr>
        <w:pStyle w:val="PointManual"/>
        <w:spacing w:before="480"/>
      </w:pPr>
      <w:r w:rsidRPr="002801CF">
        <w:t>7.</w:t>
      </w:r>
      <w:r w:rsidRPr="002801CF">
        <w:tab/>
        <w:t>Завършване на изпълнението и въвеждане в практика на единния патент и Единния патентен съд</w:t>
      </w:r>
    </w:p>
    <w:p w:rsidR="00D40510" w:rsidRPr="002801CF" w:rsidRDefault="00D40510" w:rsidP="00D40510">
      <w:pPr>
        <w:pStyle w:val="DashEqual1"/>
      </w:pPr>
      <w:r w:rsidRPr="002801CF">
        <w:t>Обмен на мнения</w:t>
      </w:r>
    </w:p>
    <w:p w:rsidR="00213CB9" w:rsidRPr="002801CF" w:rsidRDefault="00213CB9" w:rsidP="00213CB9">
      <w:pPr>
        <w:pStyle w:val="Text3"/>
      </w:pPr>
      <w:r w:rsidRPr="002801CF">
        <w:t>14262/16 PI 130 COMPET 573</w:t>
      </w:r>
    </w:p>
    <w:p w:rsidR="009F7321" w:rsidRPr="002801CF" w:rsidRDefault="00D40510" w:rsidP="00830135">
      <w:pPr>
        <w:spacing w:before="120" w:line="260" w:lineRule="exact"/>
        <w:rPr>
          <w:bCs/>
          <w:iCs/>
          <w:color w:val="000000"/>
        </w:rPr>
      </w:pPr>
      <w:r w:rsidRPr="002801CF">
        <w:br w:type="page"/>
      </w:r>
      <w:r w:rsidRPr="002801CF">
        <w:rPr>
          <w:b/>
          <w:bCs/>
          <w:u w:val="single"/>
        </w:rPr>
        <w:lastRenderedPageBreak/>
        <w:t>Други въпроси</w:t>
      </w:r>
    </w:p>
    <w:p w:rsidR="001B021D" w:rsidRPr="002801CF" w:rsidRDefault="00D40510" w:rsidP="00830135">
      <w:pPr>
        <w:pStyle w:val="PointManual"/>
        <w:spacing w:line="260" w:lineRule="exact"/>
      </w:pPr>
      <w:r w:rsidRPr="002801CF">
        <w:t>8.</w:t>
      </w:r>
      <w:r w:rsidRPr="002801CF">
        <w:tab/>
        <w:t>а)</w:t>
      </w:r>
      <w:r w:rsidRPr="002801CF">
        <w:tab/>
        <w:t xml:space="preserve">Значимостта на промишлената политика в работната програма на Комисията за </w:t>
      </w:r>
      <w:r w:rsidR="00830135" w:rsidRPr="00830135">
        <w:tab/>
      </w:r>
      <w:r w:rsidRPr="002801CF">
        <w:t>2017 г.</w:t>
      </w:r>
    </w:p>
    <w:p w:rsidR="001B021D" w:rsidRPr="002801CF" w:rsidRDefault="001B021D" w:rsidP="00830135">
      <w:pPr>
        <w:pStyle w:val="DashEqual2"/>
        <w:numPr>
          <w:ilvl w:val="0"/>
          <w:numId w:val="3"/>
        </w:numPr>
        <w:spacing w:line="260" w:lineRule="exact"/>
        <w:rPr>
          <w:b/>
          <w:bCs/>
          <w:u w:val="single"/>
        </w:rPr>
      </w:pPr>
      <w:r w:rsidRPr="002801CF">
        <w:t>Информация от делегацията на Германия</w:t>
      </w:r>
    </w:p>
    <w:p w:rsidR="001B021D" w:rsidRPr="002801CF" w:rsidRDefault="001B021D" w:rsidP="00830135">
      <w:pPr>
        <w:pStyle w:val="Text3"/>
        <w:spacing w:line="260" w:lineRule="exact"/>
      </w:pPr>
      <w:r w:rsidRPr="002801CF">
        <w:t>14343/16 IND 241 COMPET 577</w:t>
      </w:r>
    </w:p>
    <w:p w:rsidR="009F7321" w:rsidRPr="002801CF" w:rsidRDefault="001B021D" w:rsidP="00830135">
      <w:pPr>
        <w:pStyle w:val="PointManual1"/>
        <w:spacing w:before="120" w:line="260" w:lineRule="exact"/>
        <w:rPr>
          <w:b/>
          <w:bCs/>
        </w:rPr>
      </w:pPr>
      <w:r w:rsidRPr="002801CF">
        <w:t>б)</w:t>
      </w:r>
      <w:r w:rsidRPr="002801CF">
        <w:tab/>
        <w:t>Текущи законодателни предложения</w:t>
      </w:r>
    </w:p>
    <w:p w:rsidR="009F7321" w:rsidRPr="002801CF" w:rsidRDefault="009F7321" w:rsidP="00830135">
      <w:pPr>
        <w:pStyle w:val="Text2"/>
        <w:spacing w:line="260" w:lineRule="exact"/>
        <w:rPr>
          <w:b/>
          <w:bCs/>
        </w:rPr>
      </w:pPr>
      <w:r w:rsidRPr="002801CF">
        <w:t>(открито обсъждане съгласно член 16, параграф 8 от Договора за Европейския съюз)</w:t>
      </w:r>
    </w:p>
    <w:p w:rsidR="009F7321" w:rsidRPr="002801CF" w:rsidRDefault="009F7321" w:rsidP="00830135">
      <w:pPr>
        <w:pStyle w:val="PointManual2"/>
        <w:spacing w:before="120" w:line="260" w:lineRule="exact"/>
      </w:pPr>
      <w:r w:rsidRPr="002801CF">
        <w:t>i)</w:t>
      </w:r>
      <w:r w:rsidRPr="002801CF">
        <w:tab/>
        <w:t xml:space="preserve">Предложение за регламент на Европейския парламент и на Съвета относно одобряването и надзора на пазара на моторни превозни средства и техните ремаркета, както и на системи, компоненти и отделни технически възли, предназначени за такива превозни средства </w:t>
      </w:r>
      <w:r w:rsidRPr="002801CF">
        <w:rPr>
          <w:b/>
        </w:rPr>
        <w:t>(първо четене)</w:t>
      </w:r>
    </w:p>
    <w:p w:rsidR="009F7321" w:rsidRPr="002801CF" w:rsidRDefault="009F7321" w:rsidP="00830135">
      <w:pPr>
        <w:pStyle w:val="Text3"/>
        <w:spacing w:line="260" w:lineRule="exact"/>
      </w:pPr>
      <w:r w:rsidRPr="002801CF">
        <w:t>Междуинституционално досие: 2016/0014 (COD)</w:t>
      </w:r>
    </w:p>
    <w:p w:rsidR="0045669A" w:rsidRPr="002801CF" w:rsidRDefault="0045669A" w:rsidP="00830135">
      <w:pPr>
        <w:pStyle w:val="Text3"/>
        <w:spacing w:line="260" w:lineRule="exact"/>
      </w:pPr>
      <w:r w:rsidRPr="002801CF">
        <w:t>14569/16 ENT 209 MI 731 CODEC 1687</w:t>
      </w:r>
    </w:p>
    <w:p w:rsidR="009F7321" w:rsidRPr="002801CF" w:rsidRDefault="009F7321" w:rsidP="00830135">
      <w:pPr>
        <w:pStyle w:val="PointManual2"/>
        <w:spacing w:before="120" w:line="260" w:lineRule="exact"/>
      </w:pPr>
      <w:r w:rsidRPr="002801CF">
        <w:rPr>
          <w:iCs/>
          <w:color w:val="000000"/>
        </w:rPr>
        <w:t>ii)</w:t>
      </w:r>
      <w:r w:rsidRPr="002801CF">
        <w:rPr>
          <w:bCs/>
          <w:iCs/>
          <w:color w:val="000000"/>
        </w:rPr>
        <w:tab/>
      </w:r>
      <w:r w:rsidRPr="002801CF">
        <w:t xml:space="preserve">Предложение за регламент на Европейския парламент и на Съвета относно сътрудничество между националните органи, отговорни за прилагането на законодателството за защита на потребителите </w:t>
      </w:r>
      <w:r w:rsidRPr="002801CF">
        <w:rPr>
          <w:b/>
        </w:rPr>
        <w:t>(първо четене)</w:t>
      </w:r>
    </w:p>
    <w:p w:rsidR="005568DD" w:rsidRPr="002801CF" w:rsidRDefault="009F7321" w:rsidP="00830135">
      <w:pPr>
        <w:pStyle w:val="Text3"/>
        <w:spacing w:line="260" w:lineRule="exact"/>
      </w:pPr>
      <w:r w:rsidRPr="002801CF">
        <w:t>Междуинституционално досие: 2016/0148 (COD)</w:t>
      </w:r>
    </w:p>
    <w:p w:rsidR="009A2DAD" w:rsidRPr="002801CF" w:rsidRDefault="009A2DAD" w:rsidP="00830135">
      <w:pPr>
        <w:pStyle w:val="Text3"/>
        <w:spacing w:line="260" w:lineRule="exact"/>
      </w:pPr>
      <w:r w:rsidRPr="002801CF">
        <w:t>14604/16 CONSOM 286 MI 736 COMPET 602 TELECOM 243</w:t>
      </w:r>
    </w:p>
    <w:p w:rsidR="009A2DAD" w:rsidRPr="002801CF" w:rsidRDefault="009A2DAD" w:rsidP="00830135">
      <w:pPr>
        <w:pStyle w:val="Text5"/>
        <w:spacing w:line="260" w:lineRule="exact"/>
      </w:pPr>
      <w:r w:rsidRPr="002801CF">
        <w:t>JUSTCIV 303 DIGIT 135 IND 248 CODEC 1693</w:t>
      </w:r>
    </w:p>
    <w:p w:rsidR="00CE46DD" w:rsidRPr="002801CF" w:rsidRDefault="00CE46DD" w:rsidP="00830135">
      <w:pPr>
        <w:pStyle w:val="Text4"/>
        <w:spacing w:line="260" w:lineRule="exact"/>
      </w:pPr>
      <w:r w:rsidRPr="002801CF">
        <w:t>+ COR 1</w:t>
      </w:r>
    </w:p>
    <w:p w:rsidR="001E586A" w:rsidRPr="002801CF" w:rsidRDefault="009F7321" w:rsidP="00830135">
      <w:pPr>
        <w:pStyle w:val="DashEqual2"/>
        <w:numPr>
          <w:ilvl w:val="0"/>
          <w:numId w:val="2"/>
        </w:numPr>
        <w:spacing w:line="260" w:lineRule="exact"/>
      </w:pPr>
      <w:r w:rsidRPr="002801CF">
        <w:t>Информация от председателството</w:t>
      </w:r>
    </w:p>
    <w:p w:rsidR="009F7321" w:rsidRPr="002801CF" w:rsidRDefault="001B021D" w:rsidP="00830135">
      <w:pPr>
        <w:pStyle w:val="PointManual1"/>
        <w:spacing w:before="240" w:line="260" w:lineRule="exact"/>
        <w:rPr>
          <w:b/>
          <w:bCs/>
        </w:rPr>
      </w:pPr>
      <w:r w:rsidRPr="002801CF">
        <w:t>в)</w:t>
      </w:r>
      <w:r w:rsidRPr="002801CF">
        <w:tab/>
        <w:t>Известие на Комисията относно някои членове от Директива 98/44/ЕО относно правната закрила на биотехнологичните изобретения</w:t>
      </w:r>
    </w:p>
    <w:p w:rsidR="009F7321" w:rsidRPr="002801CF" w:rsidRDefault="009F7321" w:rsidP="00830135">
      <w:pPr>
        <w:pStyle w:val="DashEqual2"/>
        <w:spacing w:line="260" w:lineRule="exact"/>
      </w:pPr>
      <w:r w:rsidRPr="002801CF">
        <w:t>Информация от Комисията</w:t>
      </w:r>
    </w:p>
    <w:p w:rsidR="009F7321" w:rsidRPr="002801CF" w:rsidRDefault="001B021D" w:rsidP="00830135">
      <w:pPr>
        <w:pStyle w:val="PointManual1"/>
        <w:spacing w:before="240" w:line="260" w:lineRule="exact"/>
        <w:rPr>
          <w:b/>
          <w:bCs/>
        </w:rPr>
      </w:pPr>
      <w:r w:rsidRPr="002801CF">
        <w:t>г)</w:t>
      </w:r>
      <w:r w:rsidRPr="002801CF">
        <w:tab/>
        <w:t>Доклад на представителите на МСП</w:t>
      </w:r>
    </w:p>
    <w:p w:rsidR="009F7321" w:rsidRPr="002801CF" w:rsidRDefault="009F7321" w:rsidP="00830135">
      <w:pPr>
        <w:pStyle w:val="DashEqual2"/>
        <w:spacing w:line="260" w:lineRule="exact"/>
      </w:pPr>
      <w:r w:rsidRPr="002801CF">
        <w:t>Информация от Комисията</w:t>
      </w:r>
    </w:p>
    <w:p w:rsidR="00D44C6C" w:rsidRPr="002801CF" w:rsidRDefault="00D44C6C" w:rsidP="00830135">
      <w:pPr>
        <w:pStyle w:val="Text3"/>
        <w:spacing w:line="260" w:lineRule="exact"/>
      </w:pPr>
      <w:r w:rsidRPr="002801CF">
        <w:t>14414/16 IND 242 COMPET 587 MI 714</w:t>
      </w:r>
    </w:p>
    <w:p w:rsidR="009F7321" w:rsidRPr="002801CF" w:rsidRDefault="001B021D" w:rsidP="00830135">
      <w:pPr>
        <w:pStyle w:val="PointManual1"/>
        <w:spacing w:before="240" w:line="260" w:lineRule="exact"/>
        <w:rPr>
          <w:b/>
          <w:bCs/>
        </w:rPr>
      </w:pPr>
      <w:r w:rsidRPr="002801CF">
        <w:t>д)</w:t>
      </w:r>
      <w:r w:rsidRPr="002801CF">
        <w:tab/>
        <w:t>Резултати от конференцията: „Икономика на споделянето“ (Брюксел, 15 ноември 2016 г.)</w:t>
      </w:r>
    </w:p>
    <w:p w:rsidR="0072129E" w:rsidRPr="002801CF" w:rsidRDefault="0072129E" w:rsidP="00830135">
      <w:pPr>
        <w:pStyle w:val="DashEqual2"/>
        <w:spacing w:line="260" w:lineRule="exact"/>
      </w:pPr>
      <w:r w:rsidRPr="002801CF">
        <w:t>Информация от председателството</w:t>
      </w:r>
    </w:p>
    <w:p w:rsidR="0034205E" w:rsidRPr="002801CF" w:rsidRDefault="0034205E" w:rsidP="00830135">
      <w:pPr>
        <w:pStyle w:val="Text3"/>
        <w:spacing w:line="260" w:lineRule="exact"/>
      </w:pPr>
      <w:r w:rsidRPr="002801CF">
        <w:t>14677/16 COMPET 608 MI 740 IND 251 RECH 327</w:t>
      </w:r>
    </w:p>
    <w:p w:rsidR="002A30DB" w:rsidRPr="002801CF" w:rsidRDefault="001B021D" w:rsidP="00830135">
      <w:pPr>
        <w:pStyle w:val="PointManual1"/>
        <w:spacing w:before="240" w:line="260" w:lineRule="exact"/>
        <w:rPr>
          <w:b/>
          <w:bCs/>
        </w:rPr>
      </w:pPr>
      <w:r w:rsidRPr="002801CF">
        <w:t>е)</w:t>
      </w:r>
      <w:r w:rsidRPr="002801CF">
        <w:tab/>
        <w:t>Текущи законодателни предложения</w:t>
      </w:r>
    </w:p>
    <w:p w:rsidR="002A30DB" w:rsidRPr="002801CF" w:rsidRDefault="002A30DB" w:rsidP="00830135">
      <w:pPr>
        <w:pStyle w:val="Text2"/>
        <w:spacing w:line="260" w:lineRule="exact"/>
        <w:rPr>
          <w:b/>
          <w:bCs/>
        </w:rPr>
      </w:pPr>
      <w:r w:rsidRPr="002801CF">
        <w:t>(открито обсъждане съгласно член 16, параграф 8 от Договора за Европейския съюз)</w:t>
      </w:r>
    </w:p>
    <w:p w:rsidR="002A30DB" w:rsidRPr="002801CF" w:rsidRDefault="002A30DB" w:rsidP="00830135">
      <w:pPr>
        <w:pStyle w:val="PointManual2"/>
        <w:spacing w:before="120" w:line="260" w:lineRule="exact"/>
        <w:rPr>
          <w:b/>
          <w:bCs/>
        </w:rPr>
      </w:pPr>
      <w:r w:rsidRPr="002801CF">
        <w:t>i)</w:t>
      </w:r>
      <w:r w:rsidRPr="002801CF">
        <w:tab/>
        <w:t xml:space="preserve">Предложение за директива на Европейския парламент и на Съвета относно авторското право в цифровия единен пазар </w:t>
      </w:r>
      <w:r w:rsidRPr="002801CF">
        <w:rPr>
          <w:b/>
        </w:rPr>
        <w:t>(първо четене)</w:t>
      </w:r>
    </w:p>
    <w:p w:rsidR="002A30DB" w:rsidRPr="002801CF" w:rsidRDefault="002A30DB" w:rsidP="00830135">
      <w:pPr>
        <w:pStyle w:val="Text3"/>
        <w:spacing w:line="260" w:lineRule="exact"/>
      </w:pPr>
      <w:r w:rsidRPr="002801CF">
        <w:t>Междуинституционално досие: 2016/0280 (COD)</w:t>
      </w:r>
    </w:p>
    <w:p w:rsidR="002A30DB" w:rsidRPr="002801CF" w:rsidRDefault="002A30DB" w:rsidP="00830135">
      <w:pPr>
        <w:pStyle w:val="PointManual2"/>
        <w:spacing w:before="120" w:line="260" w:lineRule="exact"/>
      </w:pPr>
      <w:r w:rsidRPr="002801CF">
        <w:t>ii)</w:t>
      </w:r>
      <w:r w:rsidRPr="002801CF">
        <w:tab/>
        <w:t xml:space="preserve">Предложение за регламент на Европейския парламент и на Съвета за установяване на правилата за упражняване на авторското право и сродните му права, приложими за някои онлайн предавания на организациите за радио- или телевизионно разпространение и препредавания на телевизионни и радиопрограми </w:t>
      </w:r>
      <w:r w:rsidRPr="002801CF">
        <w:rPr>
          <w:b/>
        </w:rPr>
        <w:t>(първо четене)</w:t>
      </w:r>
    </w:p>
    <w:p w:rsidR="002A30DB" w:rsidRPr="002801CF" w:rsidRDefault="002A30DB" w:rsidP="00830135">
      <w:pPr>
        <w:pStyle w:val="Text3"/>
        <w:spacing w:line="260" w:lineRule="exact"/>
      </w:pPr>
      <w:r w:rsidRPr="002801CF">
        <w:t>Междуинституционално досие: 2016/0284 (COD)</w:t>
      </w:r>
    </w:p>
    <w:p w:rsidR="002A30DB" w:rsidRPr="002801CF" w:rsidRDefault="008A71BA" w:rsidP="00AF7438">
      <w:pPr>
        <w:pStyle w:val="PointManual2"/>
        <w:spacing w:before="360"/>
      </w:pPr>
      <w:r w:rsidRPr="002801CF">
        <w:br w:type="page"/>
      </w:r>
      <w:r w:rsidRPr="002801CF">
        <w:lastRenderedPageBreak/>
        <w:t>iii)</w:t>
      </w:r>
      <w:r w:rsidRPr="002801CF">
        <w:tab/>
        <w:t xml:space="preserve">Предложение за регламент на Европейския парламент и на Съвета относно трансграничния обмен между Съюза и трети държави на копия в достъпен формат от някои произведения и други обекти, защитени от авторското право и сродните му права, в полза на лицата, които са незрящи, с нарушено зрение или с други увреждания, които не позволяват четенето на печатни материали </w:t>
      </w:r>
      <w:r w:rsidRPr="002801CF">
        <w:rPr>
          <w:b/>
        </w:rPr>
        <w:t>(първо четене)</w:t>
      </w:r>
    </w:p>
    <w:p w:rsidR="002A30DB" w:rsidRPr="002801CF" w:rsidRDefault="002A30DB" w:rsidP="0068791B">
      <w:pPr>
        <w:pStyle w:val="Text3"/>
      </w:pPr>
      <w:r w:rsidRPr="002801CF">
        <w:t>Междуинституционално досие: 2016/0279 (COD)</w:t>
      </w:r>
    </w:p>
    <w:p w:rsidR="002A30DB" w:rsidRPr="002801CF" w:rsidRDefault="002A30DB" w:rsidP="008A71BA">
      <w:pPr>
        <w:pStyle w:val="PointManual2"/>
        <w:spacing w:before="120"/>
        <w:rPr>
          <w:b/>
          <w:bCs/>
        </w:rPr>
      </w:pPr>
      <w:r w:rsidRPr="002801CF">
        <w:t>iv)</w:t>
      </w:r>
      <w:r w:rsidRPr="002801CF">
        <w:tab/>
        <w:t xml:space="preserve">Предложение за директива на Европейския парламент и на Съвета относно някои позволени начини на ползване на произведения и други обекти, защитени от авторското право и сродните му права в полза на лицата, които са незрящи, с нарушено зрение или с други увреждания, и за изменение на Директива 2001/29/ЕО относно хармонизирането на някои аспекти на авторското право и сродните му права в информационното общество </w:t>
      </w:r>
      <w:r w:rsidRPr="002801CF">
        <w:rPr>
          <w:b/>
        </w:rPr>
        <w:t>(първо четене)</w:t>
      </w:r>
    </w:p>
    <w:p w:rsidR="002A30DB" w:rsidRPr="002801CF" w:rsidRDefault="002A30DB" w:rsidP="0068791B">
      <w:pPr>
        <w:pStyle w:val="Text3"/>
      </w:pPr>
      <w:r w:rsidRPr="002801CF">
        <w:t>Междуинституционално досие: 2016/0278 (COD)</w:t>
      </w:r>
    </w:p>
    <w:p w:rsidR="002A30DB" w:rsidRPr="002801CF" w:rsidRDefault="002A30DB" w:rsidP="004E468E">
      <w:pPr>
        <w:pStyle w:val="Text2"/>
      </w:pPr>
      <w:r w:rsidRPr="002801CF">
        <w:t>=</w:t>
      </w:r>
      <w:r w:rsidRPr="002801CF">
        <w:tab/>
        <w:t>Информация от Комисията</w:t>
      </w:r>
    </w:p>
    <w:p w:rsidR="00B3720D" w:rsidRPr="002801CF" w:rsidRDefault="00B3720D" w:rsidP="00B3720D">
      <w:pPr>
        <w:pStyle w:val="Text3"/>
      </w:pPr>
      <w:r w:rsidRPr="002801CF">
        <w:t>14447/16 PI 134 CODEC 1660 RECH 317 EDUC 380 COMPET 589</w:t>
      </w:r>
    </w:p>
    <w:p w:rsidR="00B3720D" w:rsidRPr="002801CF" w:rsidRDefault="00B3720D" w:rsidP="00B3720D">
      <w:pPr>
        <w:pStyle w:val="Text5"/>
      </w:pPr>
      <w:r w:rsidRPr="002801CF">
        <w:t>AUDIO 123 CULT 113 DIGIT 131 TELECOM 234</w:t>
      </w:r>
    </w:p>
    <w:p w:rsidR="00D364D9" w:rsidRPr="002801CF" w:rsidRDefault="001B021D" w:rsidP="00D364D9">
      <w:pPr>
        <w:pStyle w:val="PointManual1"/>
        <w:spacing w:before="240"/>
      </w:pPr>
      <w:r w:rsidRPr="002801CF">
        <w:t>ж)</w:t>
      </w:r>
      <w:r w:rsidRPr="002801CF">
        <w:tab/>
        <w:t>Аспекти на конкурентоспособността на европейския стълб от социални права</w:t>
      </w:r>
    </w:p>
    <w:p w:rsidR="00D364D9" w:rsidRPr="002801CF" w:rsidRDefault="00D364D9" w:rsidP="00D364D9">
      <w:pPr>
        <w:pStyle w:val="DashEqual2"/>
      </w:pPr>
      <w:r w:rsidRPr="002801CF">
        <w:t>Информация от делегацията на Унгария</w:t>
      </w:r>
    </w:p>
    <w:p w:rsidR="0064337A" w:rsidRPr="002801CF" w:rsidRDefault="0064337A" w:rsidP="008A6E99">
      <w:pPr>
        <w:pStyle w:val="Text3"/>
      </w:pPr>
      <w:r w:rsidRPr="002801CF">
        <w:t>14578/16 COMPET 598 SOC 722 EMPL 490</w:t>
      </w:r>
    </w:p>
    <w:p w:rsidR="009F7321" w:rsidRPr="002801CF" w:rsidRDefault="00D40510" w:rsidP="00595777">
      <w:pPr>
        <w:pStyle w:val="PointManual1"/>
        <w:spacing w:before="240"/>
        <w:rPr>
          <w:b/>
          <w:bCs/>
        </w:rPr>
      </w:pPr>
      <w:r w:rsidRPr="002801CF">
        <w:t>з)</w:t>
      </w:r>
      <w:r w:rsidRPr="002801CF">
        <w:tab/>
        <w:t>Работна програма на предстоящото председателство</w:t>
      </w:r>
    </w:p>
    <w:p w:rsidR="009F7321" w:rsidRPr="002801CF" w:rsidRDefault="009F7321" w:rsidP="00595777">
      <w:pPr>
        <w:pStyle w:val="DashEqual2"/>
      </w:pPr>
      <w:r w:rsidRPr="002801CF">
        <w:t>Информация от делегацията на Малта</w:t>
      </w:r>
    </w:p>
    <w:p w:rsidR="009F7321" w:rsidRPr="002801CF" w:rsidRDefault="009F7321" w:rsidP="009F7321">
      <w:pPr>
        <w:rPr>
          <w:b/>
          <w:bCs/>
          <w:color w:val="000000"/>
          <w:u w:val="single"/>
        </w:rPr>
      </w:pPr>
      <w:r w:rsidRPr="002801CF">
        <w:br w:type="page"/>
      </w:r>
      <w:r w:rsidRPr="002801CF">
        <w:rPr>
          <w:b/>
          <w:bCs/>
          <w:color w:val="000000"/>
          <w:u w:val="single"/>
        </w:rPr>
        <w:t>ЗАСЕДАНИЕ ВЪВ ВТОРНИК, 29 НОЕМВРИ 2016 г. (10,00 ч)</w:t>
      </w:r>
    </w:p>
    <w:p w:rsidR="009F7321" w:rsidRPr="002801CF" w:rsidRDefault="009F7321" w:rsidP="0068791B">
      <w:pPr>
        <w:spacing w:before="480"/>
        <w:rPr>
          <w:b/>
          <w:bCs/>
          <w:u w:val="single"/>
        </w:rPr>
      </w:pPr>
      <w:r w:rsidRPr="002801CF">
        <w:rPr>
          <w:b/>
          <w:bCs/>
          <w:u w:val="single"/>
        </w:rPr>
        <w:t>Незаконодателни дейности</w:t>
      </w:r>
    </w:p>
    <w:p w:rsidR="009F7321" w:rsidRPr="002801CF" w:rsidRDefault="009F7321" w:rsidP="00ED505C">
      <w:pPr>
        <w:spacing w:before="480"/>
        <w:rPr>
          <w:u w:val="single"/>
        </w:rPr>
      </w:pPr>
      <w:r w:rsidRPr="002801CF">
        <w:rPr>
          <w:u w:val="single"/>
        </w:rPr>
        <w:t>КОСМИЧЕСКО ПРОСТРАНСТВО</w:t>
      </w:r>
    </w:p>
    <w:p w:rsidR="009F7321" w:rsidRPr="002801CF" w:rsidRDefault="00D40510" w:rsidP="001D72C7">
      <w:pPr>
        <w:pStyle w:val="PointManual"/>
        <w:spacing w:before="480"/>
      </w:pPr>
      <w:r w:rsidRPr="002801CF">
        <w:t>9.</w:t>
      </w:r>
      <w:r w:rsidRPr="002801CF">
        <w:tab/>
        <w:t>Съобщение на Комисията относно космическата стратегия за Европа</w:t>
      </w:r>
    </w:p>
    <w:p w:rsidR="009F7321" w:rsidRPr="002801CF" w:rsidRDefault="00767618" w:rsidP="00767618">
      <w:pPr>
        <w:pStyle w:val="DashEqual1"/>
      </w:pPr>
      <w:r w:rsidRPr="002801CF">
        <w:t>Представяне от Комисията</w:t>
      </w:r>
    </w:p>
    <w:p w:rsidR="009F7321" w:rsidRPr="002801CF" w:rsidRDefault="009F7321" w:rsidP="00767618">
      <w:pPr>
        <w:pStyle w:val="DashEqual1"/>
      </w:pPr>
      <w:r w:rsidRPr="002801CF">
        <w:t>Ориентационен дебат</w:t>
      </w:r>
    </w:p>
    <w:p w:rsidR="00894C75" w:rsidRPr="002801CF" w:rsidRDefault="00894C75" w:rsidP="00894C75">
      <w:pPr>
        <w:pStyle w:val="Text2"/>
      </w:pPr>
      <w:r w:rsidRPr="002801CF">
        <w:t>(открит дебат съгласно член 8, параграф 2 от Процедурния правилник на Съвета)</w:t>
      </w:r>
    </w:p>
    <w:p w:rsidR="00025F3F" w:rsidRPr="002801CF" w:rsidRDefault="00025F3F" w:rsidP="00025F3F">
      <w:pPr>
        <w:pStyle w:val="Text3"/>
      </w:pPr>
      <w:r w:rsidRPr="002801CF">
        <w:t>14212/16 ESPACE 54 RECH 308 COMPET 567 IND 234 EU-GNSS 33</w:t>
      </w:r>
    </w:p>
    <w:p w:rsidR="004F778D" w:rsidRPr="002801CF" w:rsidRDefault="00025F3F" w:rsidP="00025F3F">
      <w:pPr>
        <w:pStyle w:val="Text5"/>
      </w:pPr>
      <w:r w:rsidRPr="002801CF">
        <w:t>TRANS 414 TELECOM 223 MI 691 EMPL 466 CSDP/PSDC 641</w:t>
      </w:r>
    </w:p>
    <w:p w:rsidR="00581850" w:rsidRPr="002801CF" w:rsidRDefault="00025F3F" w:rsidP="00025F3F">
      <w:pPr>
        <w:pStyle w:val="Text5"/>
      </w:pPr>
      <w:r w:rsidRPr="002801CF">
        <w:t>CFSP/PESC 912</w:t>
      </w:r>
    </w:p>
    <w:p w:rsidR="00025F3F" w:rsidRPr="002801CF" w:rsidRDefault="00BA65C7" w:rsidP="004F778D">
      <w:pPr>
        <w:pStyle w:val="Text4"/>
      </w:pPr>
      <w:r w:rsidRPr="002801CF">
        <w:t>+ COR 1</w:t>
      </w:r>
    </w:p>
    <w:p w:rsidR="00894C75" w:rsidRPr="002801CF" w:rsidRDefault="00634742" w:rsidP="004147DE">
      <w:pPr>
        <w:pStyle w:val="Text3"/>
        <w:tabs>
          <w:tab w:val="right" w:pos="9639"/>
        </w:tabs>
      </w:pPr>
      <w:r w:rsidRPr="002801CF">
        <w:t>13758/16 ESPACE 52 RECH 298 COMPET 544 IND 222 EU-GNSS 32</w:t>
      </w:r>
    </w:p>
    <w:p w:rsidR="002B7340" w:rsidRPr="002801CF" w:rsidRDefault="008A1D77" w:rsidP="00894C75">
      <w:pPr>
        <w:pStyle w:val="Text5"/>
      </w:pPr>
      <w:r w:rsidRPr="002801CF">
        <w:t>TRANS 404 TELECOM 206 MI 665 EMPL 442</w:t>
      </w:r>
    </w:p>
    <w:p w:rsidR="00634742" w:rsidRPr="002801CF" w:rsidRDefault="00894C75" w:rsidP="002B7340">
      <w:pPr>
        <w:pStyle w:val="Text5"/>
      </w:pPr>
      <w:r w:rsidRPr="002801CF">
        <w:t>CSDP/PSDC 613 CFSP/PESC 867</w:t>
      </w:r>
    </w:p>
    <w:p w:rsidR="009F7321" w:rsidRPr="002801CF" w:rsidRDefault="009F7321" w:rsidP="001D72C7">
      <w:pPr>
        <w:spacing w:before="480"/>
        <w:rPr>
          <w:u w:val="single"/>
        </w:rPr>
      </w:pPr>
      <w:r w:rsidRPr="002801CF">
        <w:rPr>
          <w:u w:val="single"/>
        </w:rPr>
        <w:t>НАУЧНИ ИЗСЛЕДВАНИЯ</w:t>
      </w:r>
    </w:p>
    <w:p w:rsidR="00E66C6E" w:rsidRPr="002801CF" w:rsidRDefault="00D40510" w:rsidP="001D72C7">
      <w:pPr>
        <w:pStyle w:val="PointManual"/>
        <w:spacing w:before="480"/>
      </w:pPr>
      <w:r w:rsidRPr="002801CF">
        <w:t>10.</w:t>
      </w:r>
      <w:r w:rsidRPr="002801CF">
        <w:tab/>
        <w:t>Проект за заключения на Съвета относно мерки за подпомагане на изследователи в начален етап на кариерата си, за повишаване на привлекателността на научните кариери и насърчаване на инвестициите в човешки потенциал за научноизследователска и развойна дейност</w:t>
      </w:r>
    </w:p>
    <w:p w:rsidR="009F7321" w:rsidRPr="002801CF" w:rsidRDefault="009F7321" w:rsidP="00767618">
      <w:pPr>
        <w:pStyle w:val="DashEqual1"/>
      </w:pPr>
      <w:r w:rsidRPr="002801CF">
        <w:t>Приемане</w:t>
      </w:r>
    </w:p>
    <w:p w:rsidR="00BA65C7" w:rsidRPr="002801CF" w:rsidRDefault="00BA65C7" w:rsidP="00BA65C7">
      <w:pPr>
        <w:pStyle w:val="Text3"/>
      </w:pPr>
      <w:r w:rsidRPr="002801CF">
        <w:t>14301/16 RECH 309 EDUC 365 SOC 690 COMPET 575</w:t>
      </w:r>
    </w:p>
    <w:p w:rsidR="009F7321" w:rsidRPr="002801CF" w:rsidRDefault="00D40510" w:rsidP="001D72C7">
      <w:pPr>
        <w:pStyle w:val="PointManual"/>
        <w:spacing w:before="480"/>
      </w:pPr>
      <w:r w:rsidRPr="002801CF">
        <w:t>11.</w:t>
      </w:r>
      <w:r w:rsidRPr="002801CF">
        <w:tab/>
        <w:t>Доклад на Комисията относно изпълнението на стратегията за международно сътрудничество в областта на научните изследвания и иновациите</w:t>
      </w:r>
    </w:p>
    <w:p w:rsidR="009F7321" w:rsidRPr="002801CF" w:rsidRDefault="009F7321" w:rsidP="00767618">
      <w:pPr>
        <w:pStyle w:val="DashEqual1"/>
      </w:pPr>
      <w:r w:rsidRPr="002801CF">
        <w:t>Обмен на мнения</w:t>
      </w:r>
    </w:p>
    <w:p w:rsidR="009B3710" w:rsidRPr="002801CF" w:rsidRDefault="009B3710" w:rsidP="009B3710">
      <w:pPr>
        <w:pStyle w:val="Text2"/>
      </w:pPr>
      <w:r w:rsidRPr="002801CF">
        <w:t>(открит дебат съгласно член 8, параграф 2 от Процедурния правилник на Съвета)</w:t>
      </w:r>
    </w:p>
    <w:p w:rsidR="00E50B3E" w:rsidRPr="002801CF" w:rsidRDefault="00E50B3E" w:rsidP="00E50B3E">
      <w:pPr>
        <w:pStyle w:val="Text3"/>
      </w:pPr>
      <w:r w:rsidRPr="002801CF">
        <w:t>13298/16 RECH 289 COMPET 532 RELEX 906 DEVGEN 234</w:t>
      </w:r>
    </w:p>
    <w:p w:rsidR="00634742" w:rsidRPr="002801CF" w:rsidRDefault="00634742" w:rsidP="004147DE">
      <w:pPr>
        <w:pStyle w:val="Text3"/>
        <w:tabs>
          <w:tab w:val="right" w:pos="9639"/>
        </w:tabs>
      </w:pPr>
      <w:r w:rsidRPr="002801CF">
        <w:t>13288/16 RECH 287 COMPET 530 RELEX 838 DEVGEN 221</w:t>
      </w:r>
    </w:p>
    <w:p w:rsidR="009F7321" w:rsidRPr="002801CF" w:rsidRDefault="009F7321" w:rsidP="001D72C7">
      <w:pPr>
        <w:spacing w:before="480"/>
        <w:rPr>
          <w:b/>
          <w:bCs/>
          <w:u w:val="single"/>
        </w:rPr>
      </w:pPr>
      <w:r w:rsidRPr="002801CF">
        <w:rPr>
          <w:b/>
          <w:bCs/>
          <w:u w:val="single"/>
        </w:rPr>
        <w:t>Други въпроси</w:t>
      </w:r>
    </w:p>
    <w:p w:rsidR="009F7321" w:rsidRPr="002801CF" w:rsidRDefault="00D40510" w:rsidP="00767618">
      <w:pPr>
        <w:spacing w:before="240"/>
        <w:jc w:val="both"/>
        <w:outlineLvl w:val="0"/>
        <w:rPr>
          <w:u w:val="single"/>
        </w:rPr>
      </w:pPr>
      <w:r w:rsidRPr="002801CF">
        <w:t>12.</w:t>
      </w:r>
      <w:r w:rsidRPr="002801CF">
        <w:tab/>
      </w:r>
      <w:r w:rsidRPr="002801CF">
        <w:rPr>
          <w:u w:val="single"/>
        </w:rPr>
        <w:t>Научни изследвания</w:t>
      </w:r>
    </w:p>
    <w:p w:rsidR="009F7321" w:rsidRPr="002801CF" w:rsidRDefault="00391A06" w:rsidP="007A40D8">
      <w:pPr>
        <w:pStyle w:val="PointManual1"/>
        <w:spacing w:before="240"/>
      </w:pPr>
      <w:r w:rsidRPr="002801CF">
        <w:t>а)</w:t>
      </w:r>
      <w:r w:rsidRPr="002801CF">
        <w:tab/>
        <w:t>Отворена наука</w:t>
      </w:r>
    </w:p>
    <w:p w:rsidR="009F7321" w:rsidRPr="002801CF" w:rsidRDefault="009F7321" w:rsidP="007A40D8">
      <w:pPr>
        <w:pStyle w:val="DashEqual2"/>
      </w:pPr>
      <w:r w:rsidRPr="002801CF">
        <w:t>Информация от Комисията</w:t>
      </w:r>
    </w:p>
    <w:p w:rsidR="00BA65C7" w:rsidRPr="002801CF" w:rsidRDefault="00BA65C7" w:rsidP="00BA65C7">
      <w:pPr>
        <w:pStyle w:val="Text3"/>
        <w:tabs>
          <w:tab w:val="right" w:pos="9639"/>
        </w:tabs>
      </w:pPr>
      <w:r w:rsidRPr="002801CF">
        <w:t>14520/16 RECH 319 TELECOM 239</w:t>
      </w:r>
    </w:p>
    <w:p w:rsidR="009F7321" w:rsidRPr="002801CF" w:rsidRDefault="00391A06" w:rsidP="007A40D8">
      <w:pPr>
        <w:pStyle w:val="PointManual1"/>
        <w:spacing w:before="240"/>
      </w:pPr>
      <w:r w:rsidRPr="002801CF">
        <w:t>б)</w:t>
      </w:r>
      <w:r w:rsidRPr="002801CF">
        <w:tab/>
        <w:t>Водеща инициатива за квантовите технологии</w:t>
      </w:r>
    </w:p>
    <w:p w:rsidR="009F7321" w:rsidRPr="002801CF" w:rsidRDefault="009F7321" w:rsidP="007A40D8">
      <w:pPr>
        <w:pStyle w:val="DashEqual2"/>
      </w:pPr>
      <w:r w:rsidRPr="002801CF">
        <w:t>Информация от Комисията</w:t>
      </w:r>
    </w:p>
    <w:p w:rsidR="005D42DC" w:rsidRPr="002801CF" w:rsidRDefault="005D42DC" w:rsidP="005D42DC">
      <w:pPr>
        <w:pStyle w:val="Text3"/>
      </w:pPr>
      <w:r w:rsidRPr="002801CF">
        <w:t>14579/16 RECH 321 COMPET 599 MI 732</w:t>
      </w:r>
    </w:p>
    <w:p w:rsidR="009F7321" w:rsidRPr="002801CF" w:rsidRDefault="008A71BA" w:rsidP="00BA2BE9">
      <w:pPr>
        <w:pStyle w:val="PointManual1"/>
        <w:spacing w:before="360"/>
      </w:pPr>
      <w:r w:rsidRPr="002801CF">
        <w:br w:type="page"/>
        <w:t>в)</w:t>
      </w:r>
      <w:r w:rsidRPr="002801CF">
        <w:tab/>
        <w:t>Съобщение относно ускоряването на иновациите в областта на чистата енергия</w:t>
      </w:r>
    </w:p>
    <w:p w:rsidR="009F7321" w:rsidRPr="002801CF" w:rsidRDefault="009F7321" w:rsidP="007A40D8">
      <w:pPr>
        <w:pStyle w:val="DashEqual2"/>
      </w:pPr>
      <w:r w:rsidRPr="002801CF">
        <w:t>Устна информация от Комисията</w:t>
      </w:r>
    </w:p>
    <w:p w:rsidR="009F7321" w:rsidRPr="002801CF" w:rsidRDefault="00391A06" w:rsidP="008A71BA">
      <w:pPr>
        <w:pStyle w:val="PointManual1"/>
        <w:spacing w:before="240"/>
      </w:pPr>
      <w:r w:rsidRPr="002801CF">
        <w:t>г)</w:t>
      </w:r>
      <w:r w:rsidRPr="002801CF">
        <w:tab/>
        <w:t>Конференция на високо равнище относно европейската биоикономика (Братислава, 17 октомври 2016 г.)</w:t>
      </w:r>
    </w:p>
    <w:p w:rsidR="009F7321" w:rsidRPr="002801CF" w:rsidRDefault="009F7321" w:rsidP="007A40D8">
      <w:pPr>
        <w:pStyle w:val="DashEqual2"/>
      </w:pPr>
      <w:r w:rsidRPr="002801CF">
        <w:t>Информация от председателството</w:t>
      </w:r>
    </w:p>
    <w:p w:rsidR="00DF6FD6" w:rsidRPr="002801CF" w:rsidRDefault="00DF6FD6" w:rsidP="008A71BA">
      <w:pPr>
        <w:pStyle w:val="Text3"/>
      </w:pPr>
      <w:r w:rsidRPr="002801CF">
        <w:t>13905/16 AGRI 582 RECH 301</w:t>
      </w:r>
    </w:p>
    <w:p w:rsidR="003D6348" w:rsidRPr="002801CF" w:rsidRDefault="00391A06" w:rsidP="001F26ED">
      <w:pPr>
        <w:pStyle w:val="PointManual1"/>
        <w:spacing w:before="240"/>
      </w:pPr>
      <w:r w:rsidRPr="002801CF">
        <w:t>д)</w:t>
      </w:r>
      <w:r w:rsidRPr="002801CF">
        <w:tab/>
        <w:t>Атлантически взаимодействия: Създаване на европейска инфраструктура за насърчаване на международното сътрудничество север—юг в областта на научните изследвания и иновациите</w:t>
      </w:r>
    </w:p>
    <w:p w:rsidR="003D6348" w:rsidRPr="002801CF" w:rsidRDefault="003D6348" w:rsidP="007A40D8">
      <w:pPr>
        <w:pStyle w:val="DashEqual2"/>
      </w:pPr>
      <w:r w:rsidRPr="002801CF">
        <w:t>Информация от делегацията на Португалия</w:t>
      </w:r>
    </w:p>
    <w:p w:rsidR="005D42DC" w:rsidRPr="002801CF" w:rsidRDefault="005D42DC" w:rsidP="005D42DC">
      <w:pPr>
        <w:pStyle w:val="Text3"/>
      </w:pPr>
      <w:r w:rsidRPr="002801CF">
        <w:t>14593/1/16 RECH 323 ESPACE 60 REV 1</w:t>
      </w:r>
    </w:p>
    <w:p w:rsidR="009F7321" w:rsidRPr="002801CF" w:rsidRDefault="009F7321" w:rsidP="0068791B">
      <w:pPr>
        <w:spacing w:before="240"/>
        <w:jc w:val="center"/>
        <w:rPr>
          <w:bCs/>
          <w:iCs/>
          <w:color w:val="000000"/>
        </w:rPr>
      </w:pPr>
      <w:r w:rsidRPr="002801CF">
        <w:rPr>
          <w:bCs/>
          <w:iCs/>
          <w:color w:val="000000"/>
        </w:rPr>
        <w:t>°</w:t>
      </w:r>
    </w:p>
    <w:p w:rsidR="009F7321" w:rsidRPr="002801CF" w:rsidRDefault="009F7321" w:rsidP="0068791B">
      <w:pPr>
        <w:jc w:val="center"/>
        <w:rPr>
          <w:bCs/>
          <w:iCs/>
          <w:color w:val="000000"/>
        </w:rPr>
      </w:pPr>
      <w:r w:rsidRPr="002801CF">
        <w:rPr>
          <w:bCs/>
          <w:iCs/>
          <w:color w:val="000000"/>
        </w:rPr>
        <w:t>°</w:t>
      </w:r>
      <w:r w:rsidRPr="002801CF">
        <w:rPr>
          <w:bCs/>
          <w:iCs/>
          <w:color w:val="000000"/>
        </w:rPr>
        <w:tab/>
        <w:t>°</w:t>
      </w:r>
    </w:p>
    <w:p w:rsidR="00427823" w:rsidRPr="002801CF" w:rsidRDefault="00427823" w:rsidP="00A77C39">
      <w:pPr>
        <w:pStyle w:val="PointManual"/>
        <w:spacing w:before="240"/>
        <w:rPr>
          <w:u w:val="single"/>
        </w:rPr>
      </w:pPr>
      <w:r w:rsidRPr="002801CF">
        <w:t>12.</w:t>
      </w:r>
      <w:r w:rsidRPr="002801CF">
        <w:tab/>
      </w:r>
      <w:r w:rsidRPr="002801CF">
        <w:rPr>
          <w:u w:val="single"/>
        </w:rPr>
        <w:t>Космическо пространство и научни изследвания</w:t>
      </w:r>
    </w:p>
    <w:p w:rsidR="009F7321" w:rsidRPr="002801CF" w:rsidRDefault="00391A06" w:rsidP="007A40D8">
      <w:pPr>
        <w:pStyle w:val="PointManual1"/>
        <w:spacing w:before="240"/>
      </w:pPr>
      <w:r w:rsidRPr="002801CF">
        <w:t>е)</w:t>
      </w:r>
      <w:r w:rsidRPr="002801CF">
        <w:tab/>
        <w:t>Работна програма на предстоящото председателство</w:t>
      </w:r>
    </w:p>
    <w:p w:rsidR="00C2087E" w:rsidRPr="002801CF" w:rsidRDefault="009F7321" w:rsidP="007A40D8">
      <w:pPr>
        <w:pStyle w:val="DashEqual2"/>
      </w:pPr>
      <w:r w:rsidRPr="002801CF">
        <w:t>Информация от делегацията на Малта</w:t>
      </w:r>
    </w:p>
    <w:p w:rsidR="001E7730" w:rsidRPr="002801CF" w:rsidRDefault="001E7730" w:rsidP="001E7730">
      <w:pPr>
        <w:spacing w:before="1080"/>
      </w:pPr>
      <w:r w:rsidRPr="002801CF">
        <w:t>_____________________</w:t>
      </w:r>
    </w:p>
    <w:p w:rsidR="001E7730" w:rsidRPr="002801CF" w:rsidRDefault="001E7730" w:rsidP="001E7730">
      <w:r w:rsidRPr="002801CF">
        <w:t>(x)</w:t>
      </w:r>
      <w:r w:rsidRPr="002801CF">
        <w:tab/>
        <w:t>Документът няма да бъде предоставен в заседателната зала.</w:t>
      </w:r>
    </w:p>
    <w:p w:rsidR="007B2102" w:rsidRPr="00E20C3B" w:rsidRDefault="007B2102" w:rsidP="00ED505C">
      <w:pPr>
        <w:pStyle w:val="FinalLine"/>
        <w:spacing w:before="1680" w:after="1440"/>
      </w:pPr>
    </w:p>
    <w:sectPr w:rsidR="007B2102" w:rsidRPr="00E20C3B" w:rsidSect="00CC671B">
      <w:footerReference w:type="default" r:id="rId10"/>
      <w:footerReference w:type="first" r:id="rId11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02A" w:rsidRDefault="004F602A" w:rsidP="007B2102">
      <w:r>
        <w:separator/>
      </w:r>
    </w:p>
  </w:endnote>
  <w:endnote w:type="continuationSeparator" w:id="0">
    <w:p w:rsidR="004F602A" w:rsidRDefault="004F602A" w:rsidP="007B2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CC671B" w:rsidRPr="00D94637" w:rsidTr="00CC671B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CC671B" w:rsidRPr="00D94637" w:rsidRDefault="00CC671B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CC671B" w:rsidRPr="00B310DC" w:rsidTr="00CC671B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CC671B" w:rsidRPr="00AD7BF2" w:rsidRDefault="00CC671B" w:rsidP="004F54B2">
          <w:pPr>
            <w:pStyle w:val="FooterText"/>
          </w:pPr>
          <w:r>
            <w:t>14509/16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CC671B" w:rsidRPr="00AD7BF2" w:rsidRDefault="00CC671B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CC671B" w:rsidRPr="002511D8" w:rsidRDefault="00CC671B" w:rsidP="00D94637">
          <w:pPr>
            <w:pStyle w:val="FooterText"/>
            <w:jc w:val="center"/>
          </w:pPr>
          <w:r>
            <w:t>sn/vv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CC671B" w:rsidRPr="00B310DC" w:rsidRDefault="00CC671B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CC671B" w:rsidRPr="00D94637" w:rsidTr="00CC671B">
      <w:trPr>
        <w:jc w:val="center"/>
      </w:trPr>
      <w:tc>
        <w:tcPr>
          <w:tcW w:w="1774" w:type="pct"/>
          <w:shd w:val="clear" w:color="auto" w:fill="auto"/>
        </w:tcPr>
        <w:p w:rsidR="00CC671B" w:rsidRPr="00AD7BF2" w:rsidRDefault="00CC671B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CC671B" w:rsidRPr="00AD7BF2" w:rsidRDefault="00CC671B" w:rsidP="00D204D6">
          <w:pPr>
            <w:pStyle w:val="FooterText"/>
            <w:spacing w:before="40"/>
            <w:jc w:val="center"/>
          </w:pPr>
          <w:r>
            <w:t>GIP 1B</w:t>
          </w:r>
        </w:p>
      </w:tc>
      <w:tc>
        <w:tcPr>
          <w:tcW w:w="1147" w:type="pct"/>
          <w:shd w:val="clear" w:color="auto" w:fill="auto"/>
        </w:tcPr>
        <w:p w:rsidR="00CC671B" w:rsidRPr="00D94637" w:rsidRDefault="00CC671B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CC671B" w:rsidRPr="00D94637" w:rsidRDefault="00CC671B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7B2102" w:rsidRPr="00CC671B" w:rsidRDefault="007B2102" w:rsidP="00CC671B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CC671B" w:rsidRPr="00D94637" w:rsidTr="00CC671B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CC671B" w:rsidRPr="00D94637" w:rsidRDefault="00CC671B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CC671B" w:rsidRPr="00B310DC" w:rsidTr="00CC671B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CC671B" w:rsidRPr="00AD7BF2" w:rsidRDefault="00CC671B" w:rsidP="004F54B2">
          <w:pPr>
            <w:pStyle w:val="FooterText"/>
          </w:pPr>
          <w:r>
            <w:t>14509/16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CC671B" w:rsidRPr="00AD7BF2" w:rsidRDefault="00CC671B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CC671B" w:rsidRPr="002511D8" w:rsidRDefault="00CC671B" w:rsidP="00D94637">
          <w:pPr>
            <w:pStyle w:val="FooterText"/>
            <w:jc w:val="center"/>
          </w:pPr>
          <w:r>
            <w:t>sn/vv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CC671B" w:rsidRPr="00B310DC" w:rsidRDefault="00CC671B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CC671B" w:rsidRPr="00D94637" w:rsidTr="00CC671B">
      <w:trPr>
        <w:jc w:val="center"/>
      </w:trPr>
      <w:tc>
        <w:tcPr>
          <w:tcW w:w="1774" w:type="pct"/>
          <w:shd w:val="clear" w:color="auto" w:fill="auto"/>
        </w:tcPr>
        <w:p w:rsidR="00CC671B" w:rsidRPr="00AD7BF2" w:rsidRDefault="00CC671B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CC671B" w:rsidRPr="00AD7BF2" w:rsidRDefault="00CC671B" w:rsidP="00D204D6">
          <w:pPr>
            <w:pStyle w:val="FooterText"/>
            <w:spacing w:before="40"/>
            <w:jc w:val="center"/>
          </w:pPr>
          <w:r>
            <w:t>GIP 1B</w:t>
          </w:r>
        </w:p>
      </w:tc>
      <w:tc>
        <w:tcPr>
          <w:tcW w:w="1147" w:type="pct"/>
          <w:shd w:val="clear" w:color="auto" w:fill="auto"/>
        </w:tcPr>
        <w:p w:rsidR="00CC671B" w:rsidRPr="00D94637" w:rsidRDefault="00CC671B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CC671B" w:rsidRPr="00D94637" w:rsidRDefault="00CC671B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7B2102" w:rsidRPr="00CC671B" w:rsidRDefault="007B2102" w:rsidP="00CC671B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02A" w:rsidRDefault="004F602A" w:rsidP="007B2102">
      <w:r>
        <w:separator/>
      </w:r>
    </w:p>
  </w:footnote>
  <w:footnote w:type="continuationSeparator" w:id="0">
    <w:p w:rsidR="004F602A" w:rsidRDefault="004F602A" w:rsidP="007B2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5604"/>
    <w:multiLevelType w:val="multilevel"/>
    <w:tmpl w:val="9F60CF46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</w:abstractNum>
  <w:abstractNum w:abstractNumId="1">
    <w:nsid w:val="066B5A68"/>
    <w:multiLevelType w:val="singleLevel"/>
    <w:tmpl w:val="8B0853B0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</w:abstractNum>
  <w:abstractNum w:abstractNumId="2">
    <w:nsid w:val="09C20093"/>
    <w:multiLevelType w:val="singleLevel"/>
    <w:tmpl w:val="05F6137C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</w:abstractNum>
  <w:abstractNum w:abstractNumId="3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dr w:val="none" w:sz="0" w:space="0" w:color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dr w:val="none" w:sz="0" w:space="0" w:color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4">
    <w:nsid w:val="176C37B8"/>
    <w:multiLevelType w:val="singleLevel"/>
    <w:tmpl w:val="E17861E4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dr w:val="none" w:sz="0" w:space="0" w:color="auto"/>
      </w:rPr>
    </w:lvl>
  </w:abstractNum>
  <w:abstractNum w:abstractNumId="5">
    <w:nsid w:val="1FC73EED"/>
    <w:multiLevelType w:val="singleLevel"/>
    <w:tmpl w:val="109A6A02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dr w:val="none" w:sz="0" w:space="0" w:color="auto"/>
      </w:rPr>
    </w:lvl>
  </w:abstractNum>
  <w:abstractNum w:abstractNumId="6">
    <w:nsid w:val="26596D70"/>
    <w:multiLevelType w:val="multilevel"/>
    <w:tmpl w:val="0ABAD01C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7">
    <w:nsid w:val="44830AE8"/>
    <w:multiLevelType w:val="singleLevel"/>
    <w:tmpl w:val="C694AB9E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dr w:val="none" w:sz="0" w:space="0" w:color="auto"/>
      </w:rPr>
    </w:lvl>
  </w:abstractNum>
  <w:abstractNum w:abstractNumId="8">
    <w:nsid w:val="57227889"/>
    <w:multiLevelType w:val="singleLevel"/>
    <w:tmpl w:val="B83C732C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</w:abstractNum>
  <w:abstractNum w:abstractNumId="9">
    <w:nsid w:val="57CF7392"/>
    <w:multiLevelType w:val="multilevel"/>
    <w:tmpl w:val="8F70357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dr w:val="none" w:sz="0" w:space="0" w:color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dr w:val="none" w:sz="0" w:space="0" w:color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10">
    <w:nsid w:val="5D60669B"/>
    <w:multiLevelType w:val="singleLevel"/>
    <w:tmpl w:val="A97ED7DE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</w:abstractNum>
  <w:abstractNum w:abstractNumId="11">
    <w:nsid w:val="6774118E"/>
    <w:multiLevelType w:val="singleLevel"/>
    <w:tmpl w:val="5944F242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</w:abstractNum>
  <w:abstractNum w:abstractNumId="12">
    <w:nsid w:val="69123630"/>
    <w:multiLevelType w:val="singleLevel"/>
    <w:tmpl w:val="1BE6CBF4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bdr w:val="none" w:sz="0" w:space="0" w:color="auto"/>
      </w:rPr>
    </w:lvl>
  </w:abstractNum>
  <w:abstractNum w:abstractNumId="13">
    <w:nsid w:val="6D9D664B"/>
    <w:multiLevelType w:val="singleLevel"/>
    <w:tmpl w:val="11148DA2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</w:abstractNum>
  <w:abstractNum w:abstractNumId="14">
    <w:nsid w:val="6F642730"/>
    <w:multiLevelType w:val="singleLevel"/>
    <w:tmpl w:val="142C218E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</w:abstractNum>
  <w:abstractNum w:abstractNumId="15">
    <w:nsid w:val="753F4BA1"/>
    <w:multiLevelType w:val="singleLevel"/>
    <w:tmpl w:val="E3B64B50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</w:abstractNum>
  <w:abstractNum w:abstractNumId="16">
    <w:nsid w:val="78250856"/>
    <w:multiLevelType w:val="singleLevel"/>
    <w:tmpl w:val="70ACDB5C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</w:abstractNum>
  <w:abstractNum w:abstractNumId="17">
    <w:nsid w:val="79904CA0"/>
    <w:multiLevelType w:val="singleLevel"/>
    <w:tmpl w:val="54F47DC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  <w:bdr w:val="none" w:sz="0" w:space="0" w:color="auto"/>
      </w:rPr>
    </w:lvl>
  </w:abstractNum>
  <w:abstractNum w:abstractNumId="18">
    <w:nsid w:val="7ACF3A8A"/>
    <w:multiLevelType w:val="singleLevel"/>
    <w:tmpl w:val="0E484FE6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</w:abstractNum>
  <w:num w:numId="1">
    <w:abstractNumId w:val="18"/>
    <w:lvlOverride w:ilvl="0">
      <w:startOverride w:val="1"/>
    </w:lvlOverride>
  </w:num>
  <w:num w:numId="2">
    <w:abstractNumId w:val="8"/>
    <w:lvlOverride w:ilvl="0">
      <w:startOverride w:val="1"/>
    </w:lvlOverride>
  </w:num>
  <w:num w:numId="3">
    <w:abstractNumId w:val="8"/>
    <w:lvlOverride w:ilvl="0">
      <w:startOverride w:val="1"/>
    </w:lvlOverride>
  </w:num>
  <w:num w:numId="4">
    <w:abstractNumId w:val="18"/>
  </w:num>
  <w:num w:numId="5">
    <w:abstractNumId w:val="13"/>
  </w:num>
  <w:num w:numId="6">
    <w:abstractNumId w:val="1"/>
  </w:num>
  <w:num w:numId="7">
    <w:abstractNumId w:val="14"/>
  </w:num>
  <w:num w:numId="8">
    <w:abstractNumId w:val="10"/>
  </w:num>
  <w:num w:numId="9">
    <w:abstractNumId w:val="2"/>
  </w:num>
  <w:num w:numId="10">
    <w:abstractNumId w:val="16"/>
  </w:num>
  <w:num w:numId="11">
    <w:abstractNumId w:val="18"/>
  </w:num>
  <w:num w:numId="12">
    <w:abstractNumId w:val="8"/>
  </w:num>
  <w:num w:numId="13">
    <w:abstractNumId w:val="15"/>
  </w:num>
  <w:num w:numId="14">
    <w:abstractNumId w:val="11"/>
  </w:num>
  <w:num w:numId="15">
    <w:abstractNumId w:val="7"/>
  </w:num>
  <w:num w:numId="16">
    <w:abstractNumId w:val="5"/>
  </w:num>
  <w:num w:numId="17">
    <w:abstractNumId w:val="4"/>
  </w:num>
  <w:num w:numId="18">
    <w:abstractNumId w:val="12"/>
  </w:num>
  <w:num w:numId="19">
    <w:abstractNumId w:val="17"/>
  </w:num>
  <w:num w:numId="20">
    <w:abstractNumId w:val="0"/>
  </w:num>
  <w:num w:numId="21">
    <w:abstractNumId w:val="6"/>
  </w:num>
  <w:num w:numId="22">
    <w:abstractNumId w:val="3"/>
  </w:num>
  <w:num w:numId="23">
    <w:abstractNumId w:val="9"/>
  </w:num>
  <w:num w:numId="24">
    <w:abstractNumId w:val="13"/>
  </w:num>
  <w:num w:numId="25">
    <w:abstractNumId w:val="1"/>
  </w:num>
  <w:num w:numId="26">
    <w:abstractNumId w:val="14"/>
  </w:num>
  <w:num w:numId="27">
    <w:abstractNumId w:val="10"/>
  </w:num>
  <w:num w:numId="28">
    <w:abstractNumId w:val="2"/>
  </w:num>
  <w:num w:numId="29">
    <w:abstractNumId w:val="16"/>
  </w:num>
  <w:num w:numId="30">
    <w:abstractNumId w:val="18"/>
  </w:num>
  <w:num w:numId="31">
    <w:abstractNumId w:val="8"/>
  </w:num>
  <w:num w:numId="32">
    <w:abstractNumId w:val="15"/>
  </w:num>
  <w:num w:numId="33">
    <w:abstractNumId w:val="11"/>
  </w:num>
  <w:num w:numId="34">
    <w:abstractNumId w:val="7"/>
  </w:num>
  <w:num w:numId="35">
    <w:abstractNumId w:val="5"/>
  </w:num>
  <w:num w:numId="36">
    <w:abstractNumId w:val="4"/>
  </w:num>
  <w:num w:numId="37">
    <w:abstractNumId w:val="12"/>
  </w:num>
  <w:num w:numId="38">
    <w:abstractNumId w:val="17"/>
  </w:num>
  <w:num w:numId="39">
    <w:abstractNumId w:val="0"/>
  </w:num>
  <w:num w:numId="40">
    <w:abstractNumId w:val="6"/>
  </w:num>
  <w:num w:numId="41">
    <w:abstractNumId w:val="3"/>
  </w:num>
  <w:num w:numId="42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8.2&quot; technicalblockguid=&quot;52d8aa76-3003-4c72-968f-3920af2fa659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2&quot; text=&quot;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6-11-24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14509&lt;/text&gt;_x000d__x000a_  &lt;/metadata&gt;_x000d__x000a_  &lt;metadata key=&quot;md_YearDocumentNumber&quot; translate=&quot;false&quot;&gt;_x000d__x000a_    &lt;text&gt;2016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 61&lt;/text&gt;_x000d__x000a_      &lt;text&gt;COMPET 593&lt;/text&gt;_x000d__x000a_      &lt;text&gt;RECH  318&lt;/text&gt;_x000d__x000a_      &lt;text&gt;ESPACE 57&lt;/text&gt;_x000d__x000a_      &lt;text&gt;MI 725&lt;/text&gt;_x000d__x000a_      &lt;text&gt;IND 244&lt;/text&gt;_x000d__x000a_    &lt;/textlist&gt;_x000d__x000a_  &lt;/metadata&gt;_x000d__x000a_  &lt;metadata key=&quot;md_Contact&quot; translate=&quot;false&quot;&gt;_x000d__x000a_    &lt;text&gt;&lt;/text&gt;_x000d__x000a_  &lt;/metadata&gt;_x000d__x000a_  &lt;metadata key=&quot;md_ContactPhoneFax&quot; translate=&quot;false&quot;&gt;_x000d__x000a_    &lt;text&gt;&lt;/text&gt;_x000d__x000a_  &lt;/metadata&gt;_x000d__x000a_  &lt;metadata key=&quot;md_MeetingVenue&quot; translate=&quot;false&quot;&gt;_x000d__x000a_    &lt;basicdatatype&gt;_x000d__x000a_      &lt;meetingvenue key=&quot;&quot; /&gt;_x000d__x000a_    &lt;/basicdatatype&gt;_x000d__x000a_  &lt;/metadata&gt;_x000d__x000a_  &lt;metadata key=&quot;md_ProvisionalVersion&quot; translate=&quot;false&quot;&gt;_x000d__x000a_    &lt;text&gt;&lt;/text&gt;_x000d__x000a_  &lt;/metadata&gt;_x000d__x000a_  &lt;metadata key=&quot;md_PresidentInformation&quot; translate=&quot;false&quot;&gt;_x000d__x000a_    &lt;presidents /&gt;_x000d__x000a_  &lt;/metadata&gt;_x000d__x000a_  &lt;metadata key=&quot;md_MeetingNumber&quot; translate=&quot;false&quot;&gt;_x000d__x000a_    &lt;text&gt;&lt;/text&gt;_x000d__x000a_  &lt;/metadata&gt;_x000d__x000a_  &lt;metadata key=&quot;md_CouncilConfiguration&quot; translate=&quot;false&quot;&gt;_x000d__x000a_    &lt;basicdatatype&gt;_x000d__x000a_      &lt;configuration key=&quot;&quot; /&gt;_x000d__x000a_    &lt;/basicdatatype&gt;_x000d__x000a_  &lt;/metadata&gt;_x000d__x000a_  &lt;metadata key=&quot;md_CouncilIssue&quot; translate=&quot;false&quot;&gt;_x000d__x000a_    &lt;text&gt;&lt;/text&gt;_x000d__x000a_  &lt;/metadata&gt;_x000d__x000a_  &lt;metadata key=&quot;md_PhoneNumber&quot; translate=&quot;false&quot;&gt;_x000d__x000a_    &lt;text&gt;&lt;/text&gt;_x000d__x000a_  &lt;/metadata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translate=&quot;false&quot;&gt;_x000d__x000a_    &lt;text&gt;&lt;/text&gt;_x000d__x000a_  &lt;/metadata&gt;_x000d__x000a_  &lt;metadata key=&quot;md_EPQuestionsData&quot; /&gt;_x000d__x000a_  &lt;metadata key=&quot;md_Deadline&quot; translate=&quot;false&quot;&gt;_x000d__x000a_    &lt;textlist /&gt;_x000d__x000a_  &lt;/metadata&gt;_x000d__x000a_  &lt;metadata key=&quot;md_InterinstitutionalFiles&quot; translate=&quot;false&quot;&gt;_x000d__x000a_    &lt;textlist /&gt;_x000d__x000a_  &lt;/metadata&gt;_x000d__x000a_  &lt;metadata key=&quot;md_AdditionalReferences&quot; translate=&quot;false&quot;&gt;_x000d__x000a_    &lt;textlist /&gt;_x000d__x000a_  &lt;/metadata&gt;_x000d__x000a_  &lt;metadata key=&quot;md_LEXNumber&quot; translate=&quot;false&quot;&gt;_x000d__x000a_    &lt;text&gt;&lt;/text&gt;_x000d__x000a_  &lt;/metadata&gt;_x000d__x000a_  &lt;metadata key=&quot;md_SousEmbargo&quot; translate=&quot;false&quot;&gt;_x000d__x000a_    &lt;text&gt;&lt;/text&gt;_x000d__x000a_  &lt;/metadata&gt;_x000d__x000a_  &lt;metadata key=&quot;md_Originator&quot; translate=&quot;false&quot;&gt;_x000d__x000a_    &lt;basicdatatype&gt;_x000d__x000a_      &lt;originator key=&quot;&quot; /&gt;_x000d__x000a_    &lt;/basicdatatype&gt;_x000d__x000a_  &lt;/metadata&gt;_x000d__x000a_  &lt;metadata key=&quot;md_Recipient&quot; translate=&quot;false&quot;&gt;_x000d__x000a_    &lt;basicdatatype&gt;_x000d__x000a_      &lt;recipient key=&quot;&quot; /&gt;_x000d__x000a_    &lt;/basicdatatype&gt;_x000d__x000a_  &lt;/metadata&gt;_x000d__x000a_  &lt;metadata key=&quot;md_DateOfReceipt&quot; translate=&quot;false&quot;&gt;_x000d__x000a_    &lt;text&gt;&lt;/text&gt;_x000d__x000a_  &lt;/metadata&gt;_x000d__x000a_  &lt;metadata key=&quot;md_FreeDate&quot;&gt;_x000d__x000a_    &lt;textlist /&gt;_x000d__x000a_  &lt;/metadata&gt;_x000d__x000a_  &lt;metadata key=&quot;md_PrecedingDocuments&quot; translate=&quot;false&quot;&gt;_x000d__x000a_    &lt;textlist /&gt;_x000d__x000a_  &lt;/metadata&gt;_x000d__x000a_  &lt;metadata key=&quot;md_CommissionDocuments&quot; translate=&quot;false&quot;&gt;_x000d__x000a_    &lt;textlist /&gt;_x000d__x000a_  &lt;/metadata&gt;_x000d__x000a_  &lt;metadata key=&quot;md_DocForDWNDCL&quot; translate=&quot;false&quot;&gt;_x000d__x000a_    &lt;text&gt;&lt;/text&gt;_x000d__x000a_  &lt;/metadata&gt;_x000d__x000a_  &lt;metadata key=&quot;md_Distribution_NewClassification&quot; translate=&quot;false&quot;&gt;_x000d__x000a_    &lt;text&gt;&lt;/text&gt;_x000d__x000a_  &lt;/metadata&gt;_x000d__x000a_  &lt;metadata key=&quot;md_DWNDCLAuthorization&quot; translate=&quot;false&quot;&gt;_x000d__x000a_    &lt;text&gt;&lt;/text&gt;_x000d__x000a_  &lt;/metadata&gt;_x000d__x000a_  &lt;metadata key=&quot;md_DateOfAuthorization&quot; translate=&quot;false&quot;&gt;_x000d__x000a_    &lt;text&gt;&lt;/text&gt;_x000d__x000a_  &lt;/metadata&gt;_x000d__x000a_  &lt;metadata key=&quot;md_MeetingLocation&quot; translate=&quot;false&quot;&gt;_x000d__x000a_    &lt;basicdatatype&gt;_x000d__x000a_      &lt;location key=&quot;&quot; /&gt;_x000d__x000a_    &lt;/basicdatatype&gt;_x000d__x000a_  &lt;/metadata&gt;_x000d__x000a_  &lt;metadata key=&quot;md_MeetingDate&quot; translate=&quot;false&quot;&gt;_x000d__x000a_    &lt;textlist /&gt;_x000d__x000a_  &lt;/metadata&gt;_x000d__x000a_  &lt;metadata key=&quot;md_MeetingInformation&quot; translate=&quot;false&quot;&gt;_x000d__x000a_    &lt;text&gt;&lt;/text&gt;_x000d__x000a_  &lt;/metadata&gt;_x000d__x000a_  &lt;metadata key=&quot;md_Item&quot; translate=&quot;false&quot;&gt;_x000d__x000a_    &lt;text&gt;&lt;/text&gt;_x000d__x000a_  &lt;/metadata&gt;_x000d__x000a_  &lt;metadata key=&quot;md_Subject&quot;&gt;_x000d__x000a_    &lt;xaml text=&quot;3503-&amp;#1090;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50;&amp;#1086;&amp;#1085;&amp;#1082;&amp;#1091;&amp;#1088;&amp;#1077;&amp;#1085;&amp;#1090;&amp;#1086;&amp;#1089;&amp;#1087;&amp;#1086;&amp;#1089;&amp;#1086;&amp;#1073;&amp;#1085;&amp;#1086;&amp;#1089;&amp;#1090;) (&amp;#1074;&amp;#1098;&amp;#1090;&amp;#1088;&amp;#1077;&amp;#1096;&amp;#1077;&amp;#1085; &amp;#1087;&amp;#1072;&amp;#1079;&amp;#1072;&amp;#1088;, &amp;#1087;&amp;#1088;&amp;#1086;&amp;#1084;&amp;#1080;&amp;#1096;&amp;#1083;&amp;#1077;&amp;#1085;&amp;#1086;&amp;#1089;&amp;#1090;, &amp;#1085;&amp;#1072;&amp;#1091;&amp;#1095;&amp;#1085;&amp;#1080; &amp;#1080;&amp;#1079;&amp;#1089;&amp;#1083;&amp;#1077;&amp;#1076;&amp;#1074;&amp;#1072;&amp;#1085;&amp;#1080;&amp;#1103; &amp;#1080; &amp;#1082;&amp;#1086;&amp;#1089;&amp;#1084;&amp;#1080;&amp;#1095;&amp;#1077;&amp;#1089;&amp;#1082;&amp;#1086; &amp;#1087;&amp;#1088;&amp;#1086;&amp;#1089;&amp;#1090;&amp;#1088;&amp;#1072;&amp;#1085;&amp;#1089;&amp;#1090;&amp;#1074;&amp;#1086;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en-gb&quot;&amp;gt;3503-&amp;#1090;&amp;#1086;&amp;lt;/Run&amp;gt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(&amp;#1050;&amp;#1086;&amp;#1085;&amp;#1082;&amp;#1091;&amp;#1088;&amp;#1077;&amp;#1085;&amp;#1090;&amp;#1086;&amp;#1089;&amp;#1087;&amp;#1086;&amp;#1089;&amp;#1086;&amp;#1073;&amp;#1085;&amp;#1086;&amp;#1089;&amp;#1090;) (&amp;lt;Run FontWeight=&quot;Bold&quot;&amp;gt;&amp;#1074;&amp;#1098;&amp;#1090;&amp;#1088;&amp;#1077;&amp;#1096;&amp;#1077;&amp;#1085; &amp;#1087;&amp;#1072;&amp;#1079;&amp;#1072;&amp;#1088;, &amp;#1087;&amp;#1088;&amp;#1086;&amp;#1084;&amp;#1080;&amp;#1096;&amp;#1083;&amp;#1077;&amp;#1085;&amp;#1086;&amp;#1089;&amp;#1090;, &amp;#1085;&amp;#1072;&amp;#1091;&amp;#1095;&amp;#1085;&amp;#1080; &amp;#1080;&amp;#1079;&amp;#1089;&amp;#1083;&amp;#1077;&amp;#1076;&amp;#1074;&amp;#1072;&amp;#1085;&amp;#1080;&amp;#1103;&amp;lt;/Run&amp;gt; &amp;#1080; &amp;lt;Run FontWeight=&quot;Bold&quot;&amp;gt;&amp;#1082;&amp;#1086;&amp;#1089;&amp;#1084;&amp;#1080;&amp;#1095;&amp;#1077;&amp;#1089;&amp;#1082;&amp;#1086; &amp;#1087;&amp;#1088;&amp;#1086;&amp;#1089;&amp;#1090;&amp;#1088;&amp;#1072;&amp;#1085;&amp;#1089;&amp;#1090;&amp;#1074;&amp;#1086;&amp;lt;/Run&amp;gt;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GIP 1B&lt;/text&gt;_x000d__x000a_  &lt;/metadata&gt;_x000d__x000a_  &lt;metadata key=&quot;md_Initials&quot; translate=&quot;false&quot;&gt;_x000d__x000a_    &lt;text&gt;sn/vv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6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2016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&lt;/text&gt;_x000d__x000a_  &lt;/metadata&gt;_x000d__x000a_  &lt;metadata key=&quot;md_NB2&quot; translate=&quot;false&quot;&gt;_x000d__x000a_    &lt;text&gt;&lt;/text&gt;_x000d__x000a_  &lt;/metadata&gt;_x000d__x000a_  &lt;metadata key=&quot;md_NB3&quot; translate=&quot;false&quot;&gt;_x000d__x000a_    &lt;text&gt;&lt;/text&gt;_x000d__x000a_  &lt;/metadata&gt;_x000d__x000a_  &lt;metadata key=&quot;md_Meetings&quot; translate=&quot;false&quot;&gt;_x000d__x000a_    &lt;meetings&gt;_x000d__x000a_      &lt;meeting date=&quot;2016-11-28T09:30:00&quot;&gt;_x000d__x000a_        &lt;meetingvenue&gt;_x000d__x000a_          &lt;basicdatatype&gt;_x000d__x000a_            &lt;meetingvenue key=&quot;mw_04&quot; text=&quot;&amp;#1041;&amp;#1088;&amp;#1102;&amp;#1082;&amp;#1089;&amp;#1077;&amp;#1083;&quot; /&gt;_x000d__x000a_          &lt;/basicdatatype&gt;_x000d__x000a_        &lt;/meetingvenue&gt;_x000d__x000a_      &lt;/meeting&gt;_x000d__x000a_      &lt;meeting date=&quot;2016-11-29T10:00:00&quot;&gt;_x000d__x000a_        &lt;meetingvenue&gt;_x000d__x000a_          &lt;basicdatatype&gt;_x000d__x000a_            &lt;meetingvenue key=&quot;mw_04&quot; text=&quot;&amp;#1041;&amp;#1088;&amp;#1102;&amp;#1082;&amp;#1089;&amp;#1077;&amp;#1083;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&gt;_x000d__x000a_    &lt;letterdata letterid=&quot;&quot; /&gt;_x000d__x000a_  &lt;/metadata&gt;_x000d__x000a_&lt;/metadataset&gt;"/>
    <w:docVar w:name="DocuWriteMetaDataSource1" w:val="&lt;metadataset docuwriteversion=&quot;3.8.2&quot; technicalblockguid=&quot;0f679e57-2380-4d63-b3cd-e149e9ab9aa7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6-11-11&lt;/text&gt;_x000d__x000a_  &lt;/metadata&gt;_x000d__x000a_  &lt;metadata key=&quot;md_Prefix&quot;&gt;_x000d__x000a_    &lt;text&gt;CM&lt;/text&gt;_x000d__x000a_  &lt;/metadata&gt;_x000d__x000a_  &lt;metadata key=&quot;md_DocumentNumber&quot;&gt;_x000d__x000a_    &lt;text&gt;4718&lt;/text&gt;_x000d__x000a_  &lt;/metadata&gt;_x000d__x000a_  &lt;metadata key=&quot;md_YearDocumentNumber&quot;&gt;_x000d__x000a_    &lt;text&gt;2016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 61&lt;/text&gt;_x000d__x000a_      &lt;text&gt;COMPET 593&lt;/text&gt;_x000d__x000a_      &lt;text&gt;RECH  318&lt;/text&gt;_x000d__x000a_      &lt;text&gt;ESPACE 57&lt;/text&gt;_x000d__x000a_      &lt;text&gt;MI 725&lt;/text&gt;_x000d__x000a_      &lt;text&gt;IND 244&lt;/text&gt;_x000d__x000a_    &lt;/textlist&gt;_x000d__x000a_  &lt;/metadata&gt;_x000d__x000a_  &lt;metadata key=&quot;md_Contact&quot;&gt;_x000d__x000a_    &lt;text&gt;coreper.1@consilium.europa.eu&lt;/text&gt;_x000d__x000a_  &lt;/metadata&gt;_x000d__x000a_  &lt;metadata key=&quot;md_ContactPhoneFax&quot;&gt;_x000d__x000a_    &lt;text&gt;0032.2.281.6167/8100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503rd meeting of the COUNCIL OF THE EUROPEAN UNION (Competitiveness (Internal Market, Industry, Research and Space)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en-gb&quot; xml:space=&quot;preserve&quot;&amp;gt;3503rd &amp;lt;/Run&amp;gt;meeting of the COUNCIL OF THE EUROPEAN UNION&amp;lt;LineBreak /&amp;gt;(Competitiveness (&amp;lt;Run FontWeight=&quot;Bold&quot; xml:space=&quot;preserve&quot;&amp;gt;Internal Market, Industry, Research &amp;lt;/Run&amp;gt;and &amp;lt;Run FontWeight=&quot;Bold&quot;&amp;gt;Space&amp;lt;/Run&amp;gt;)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6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6-11-28T09:30:00&quot;&gt;_x000d__x000a_        &lt;meetingvenue&gt;_x000d__x000a_          &lt;basicdatatype&gt;_x000d__x000a_            &lt;meetingvenue key=&quot;mw_01&quot; text=&quot;COUNCIL JUSTUS LIPSIUS BUILDING Rue de la Loi 175, 1048 BRUSSELS&quot; /&gt;_x000d__x000a_          &lt;/basicdatatype&gt;_x000d__x000a_        &lt;/meetingvenue&gt;_x000d__x000a_      &lt;/meeting&gt;_x000d__x000a_      &lt;meeting date=&quot;2016-11-29T10:00:00&quot;&gt;_x000d__x000a_        &lt;meetingvenue&gt;_x000d__x000a_          &lt;basicdatatype&gt;_x000d__x000a_            &lt;meetingvenue key=&quot;mw_01&quot; text=&quot;COUNCIL JUSTUS LIPSIUS BUILDING Rue de la Loi 175, 1048 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7B2102"/>
    <w:rsid w:val="000071DB"/>
    <w:rsid w:val="00010C1D"/>
    <w:rsid w:val="00025F3F"/>
    <w:rsid w:val="000369AA"/>
    <w:rsid w:val="0004759F"/>
    <w:rsid w:val="00055EFB"/>
    <w:rsid w:val="00073A68"/>
    <w:rsid w:val="0009656C"/>
    <w:rsid w:val="000B3BF6"/>
    <w:rsid w:val="000C6D63"/>
    <w:rsid w:val="000D582C"/>
    <w:rsid w:val="00101210"/>
    <w:rsid w:val="00113C67"/>
    <w:rsid w:val="00115C78"/>
    <w:rsid w:val="00165755"/>
    <w:rsid w:val="00171C63"/>
    <w:rsid w:val="001743ED"/>
    <w:rsid w:val="00182F2F"/>
    <w:rsid w:val="00187F66"/>
    <w:rsid w:val="001A14F8"/>
    <w:rsid w:val="001B021D"/>
    <w:rsid w:val="001C1958"/>
    <w:rsid w:val="001D5446"/>
    <w:rsid w:val="001D72C7"/>
    <w:rsid w:val="001E586A"/>
    <w:rsid w:val="001E7730"/>
    <w:rsid w:val="001F26ED"/>
    <w:rsid w:val="00213CB9"/>
    <w:rsid w:val="00213F1F"/>
    <w:rsid w:val="00214525"/>
    <w:rsid w:val="002168B4"/>
    <w:rsid w:val="0023205F"/>
    <w:rsid w:val="00277827"/>
    <w:rsid w:val="002801CF"/>
    <w:rsid w:val="002A2AE8"/>
    <w:rsid w:val="002A30DB"/>
    <w:rsid w:val="002B7340"/>
    <w:rsid w:val="002C6AD4"/>
    <w:rsid w:val="002D0733"/>
    <w:rsid w:val="002D10D2"/>
    <w:rsid w:val="002F3540"/>
    <w:rsid w:val="002F3710"/>
    <w:rsid w:val="0032539F"/>
    <w:rsid w:val="00334D54"/>
    <w:rsid w:val="00340C0C"/>
    <w:rsid w:val="0034205E"/>
    <w:rsid w:val="00352C61"/>
    <w:rsid w:val="00357332"/>
    <w:rsid w:val="00387B37"/>
    <w:rsid w:val="00391A06"/>
    <w:rsid w:val="003A6F65"/>
    <w:rsid w:val="003C6E8B"/>
    <w:rsid w:val="003D6348"/>
    <w:rsid w:val="003E10F8"/>
    <w:rsid w:val="003F0725"/>
    <w:rsid w:val="003F0D5A"/>
    <w:rsid w:val="004147DE"/>
    <w:rsid w:val="00420C2A"/>
    <w:rsid w:val="00421FE1"/>
    <w:rsid w:val="00424689"/>
    <w:rsid w:val="00427823"/>
    <w:rsid w:val="0043493A"/>
    <w:rsid w:val="0045669A"/>
    <w:rsid w:val="00456997"/>
    <w:rsid w:val="004572DF"/>
    <w:rsid w:val="00464B94"/>
    <w:rsid w:val="00481EB9"/>
    <w:rsid w:val="004C0E0A"/>
    <w:rsid w:val="004C3A88"/>
    <w:rsid w:val="004D3F45"/>
    <w:rsid w:val="004E468E"/>
    <w:rsid w:val="004F602A"/>
    <w:rsid w:val="004F778D"/>
    <w:rsid w:val="005157F5"/>
    <w:rsid w:val="00516F5D"/>
    <w:rsid w:val="005511AB"/>
    <w:rsid w:val="005568DD"/>
    <w:rsid w:val="00562D47"/>
    <w:rsid w:val="005662DF"/>
    <w:rsid w:val="00574493"/>
    <w:rsid w:val="005771A4"/>
    <w:rsid w:val="00581850"/>
    <w:rsid w:val="00585485"/>
    <w:rsid w:val="00594CCC"/>
    <w:rsid w:val="00595777"/>
    <w:rsid w:val="005A0EFF"/>
    <w:rsid w:val="005A15C3"/>
    <w:rsid w:val="005D42DC"/>
    <w:rsid w:val="005D4E1A"/>
    <w:rsid w:val="005D7FC5"/>
    <w:rsid w:val="00606E80"/>
    <w:rsid w:val="0063379B"/>
    <w:rsid w:val="00634742"/>
    <w:rsid w:val="0064337A"/>
    <w:rsid w:val="00643DDE"/>
    <w:rsid w:val="006525A1"/>
    <w:rsid w:val="00672C12"/>
    <w:rsid w:val="00675018"/>
    <w:rsid w:val="0068791B"/>
    <w:rsid w:val="00695988"/>
    <w:rsid w:val="006A14E8"/>
    <w:rsid w:val="006A24D1"/>
    <w:rsid w:val="006A38C5"/>
    <w:rsid w:val="006C1AD4"/>
    <w:rsid w:val="006E33E2"/>
    <w:rsid w:val="006F4741"/>
    <w:rsid w:val="0071348F"/>
    <w:rsid w:val="00716F18"/>
    <w:rsid w:val="0072129E"/>
    <w:rsid w:val="00723BDA"/>
    <w:rsid w:val="007517D0"/>
    <w:rsid w:val="0075756A"/>
    <w:rsid w:val="00767618"/>
    <w:rsid w:val="00770218"/>
    <w:rsid w:val="0078587A"/>
    <w:rsid w:val="007A40D8"/>
    <w:rsid w:val="007B2102"/>
    <w:rsid w:val="007B5A4F"/>
    <w:rsid w:val="007B7C4A"/>
    <w:rsid w:val="007C54D5"/>
    <w:rsid w:val="008179DC"/>
    <w:rsid w:val="00825503"/>
    <w:rsid w:val="00830135"/>
    <w:rsid w:val="00831398"/>
    <w:rsid w:val="00850560"/>
    <w:rsid w:val="00880D56"/>
    <w:rsid w:val="008826F8"/>
    <w:rsid w:val="00894C75"/>
    <w:rsid w:val="008A1D77"/>
    <w:rsid w:val="008A21CC"/>
    <w:rsid w:val="008A2ED7"/>
    <w:rsid w:val="008A6E99"/>
    <w:rsid w:val="008A71BA"/>
    <w:rsid w:val="008C2BB2"/>
    <w:rsid w:val="008D0C13"/>
    <w:rsid w:val="008E5FA0"/>
    <w:rsid w:val="00901C84"/>
    <w:rsid w:val="00906312"/>
    <w:rsid w:val="009130FA"/>
    <w:rsid w:val="00930B1B"/>
    <w:rsid w:val="00934DB7"/>
    <w:rsid w:val="00940A73"/>
    <w:rsid w:val="00956263"/>
    <w:rsid w:val="0095637B"/>
    <w:rsid w:val="00971CDA"/>
    <w:rsid w:val="009A2DAD"/>
    <w:rsid w:val="009B3710"/>
    <w:rsid w:val="009C6342"/>
    <w:rsid w:val="009D1F97"/>
    <w:rsid w:val="009D642F"/>
    <w:rsid w:val="009F7321"/>
    <w:rsid w:val="00A36232"/>
    <w:rsid w:val="00A37296"/>
    <w:rsid w:val="00A469D7"/>
    <w:rsid w:val="00A52894"/>
    <w:rsid w:val="00A77C39"/>
    <w:rsid w:val="00A808F3"/>
    <w:rsid w:val="00A82FEC"/>
    <w:rsid w:val="00AD3CC1"/>
    <w:rsid w:val="00AE2770"/>
    <w:rsid w:val="00AF7438"/>
    <w:rsid w:val="00B12100"/>
    <w:rsid w:val="00B1627D"/>
    <w:rsid w:val="00B23A0C"/>
    <w:rsid w:val="00B3720D"/>
    <w:rsid w:val="00B718E2"/>
    <w:rsid w:val="00B71E29"/>
    <w:rsid w:val="00B72D25"/>
    <w:rsid w:val="00BA2A9A"/>
    <w:rsid w:val="00BA2BE9"/>
    <w:rsid w:val="00BA65C7"/>
    <w:rsid w:val="00BC3CCD"/>
    <w:rsid w:val="00BE1373"/>
    <w:rsid w:val="00C07367"/>
    <w:rsid w:val="00C106A7"/>
    <w:rsid w:val="00C2087E"/>
    <w:rsid w:val="00C406B8"/>
    <w:rsid w:val="00C701C4"/>
    <w:rsid w:val="00C70EB6"/>
    <w:rsid w:val="00C85E69"/>
    <w:rsid w:val="00CA7783"/>
    <w:rsid w:val="00CC671B"/>
    <w:rsid w:val="00CE46DD"/>
    <w:rsid w:val="00CE607C"/>
    <w:rsid w:val="00D0544E"/>
    <w:rsid w:val="00D23B13"/>
    <w:rsid w:val="00D26A9D"/>
    <w:rsid w:val="00D3624F"/>
    <w:rsid w:val="00D364D9"/>
    <w:rsid w:val="00D40510"/>
    <w:rsid w:val="00D44C6C"/>
    <w:rsid w:val="00D451E4"/>
    <w:rsid w:val="00D63959"/>
    <w:rsid w:val="00D84E9E"/>
    <w:rsid w:val="00DA6A2E"/>
    <w:rsid w:val="00DB537A"/>
    <w:rsid w:val="00DC0BCA"/>
    <w:rsid w:val="00DC7517"/>
    <w:rsid w:val="00DF52BE"/>
    <w:rsid w:val="00DF6FD6"/>
    <w:rsid w:val="00E20C3B"/>
    <w:rsid w:val="00E3773A"/>
    <w:rsid w:val="00E4464F"/>
    <w:rsid w:val="00E50B3E"/>
    <w:rsid w:val="00E52E31"/>
    <w:rsid w:val="00E553B8"/>
    <w:rsid w:val="00E6196D"/>
    <w:rsid w:val="00E66C6E"/>
    <w:rsid w:val="00E87BFB"/>
    <w:rsid w:val="00E9412B"/>
    <w:rsid w:val="00E95FC3"/>
    <w:rsid w:val="00E96C15"/>
    <w:rsid w:val="00EC3632"/>
    <w:rsid w:val="00EC3F3A"/>
    <w:rsid w:val="00EC45F1"/>
    <w:rsid w:val="00ED08D4"/>
    <w:rsid w:val="00ED0BD6"/>
    <w:rsid w:val="00ED13D3"/>
    <w:rsid w:val="00ED505C"/>
    <w:rsid w:val="00EE46D1"/>
    <w:rsid w:val="00EF0EB7"/>
    <w:rsid w:val="00EF544E"/>
    <w:rsid w:val="00F44578"/>
    <w:rsid w:val="00F56052"/>
    <w:rsid w:val="00F73406"/>
    <w:rsid w:val="00F90F13"/>
    <w:rsid w:val="00FC0DCE"/>
    <w:rsid w:val="00FC4670"/>
    <w:rsid w:val="00FC6FE8"/>
    <w:rsid w:val="00FD6B53"/>
    <w:rsid w:val="00FD6BBF"/>
    <w:rsid w:val="00FE3F14"/>
    <w:rsid w:val="00FE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6B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7B2102"/>
    <w:pPr>
      <w:spacing w:after="440"/>
      <w:ind w:left="-1134" w:right="-1134"/>
    </w:pPr>
    <w:rPr>
      <w:rFonts w:asciiTheme="minorHAnsi" w:hAnsiTheme="minorHAnsi" w:cstheme="minorBidi"/>
      <w:sz w:val="2"/>
      <w:szCs w:val="24"/>
      <w:lang w:eastAsia="en-US"/>
    </w:rPr>
  </w:style>
  <w:style w:type="character" w:customStyle="1" w:styleId="TechnicalBlockChar">
    <w:name w:val="Technical Block Char"/>
    <w:basedOn w:val="DefaultParagraphFont"/>
    <w:rsid w:val="007B2102"/>
    <w:rPr>
      <w:rFonts w:eastAsiaTheme="minorHAnsi"/>
      <w:sz w:val="24"/>
      <w:szCs w:val="22"/>
      <w:lang w:val="bg-BG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7B2102"/>
    <w:rPr>
      <w:rFonts w:eastAsiaTheme="minorHAnsi"/>
      <w:sz w:val="2"/>
      <w:szCs w:val="24"/>
      <w:lang w:val="bg-BG" w:eastAsia="en-US"/>
    </w:rPr>
  </w:style>
  <w:style w:type="paragraph" w:customStyle="1" w:styleId="FooterText">
    <w:name w:val="Footer Text"/>
    <w:basedOn w:val="Normal"/>
    <w:rsid w:val="007B2102"/>
  </w:style>
  <w:style w:type="character" w:customStyle="1" w:styleId="PointManualChar">
    <w:name w:val="Point Manual Char"/>
    <w:locked/>
    <w:rsid w:val="009F7321"/>
    <w:rPr>
      <w:sz w:val="24"/>
      <w:szCs w:val="24"/>
      <w:lang w:val="bg-BG" w:eastAsia="en-US"/>
    </w:rPr>
  </w:style>
  <w:style w:type="character" w:customStyle="1" w:styleId="Text1Char">
    <w:name w:val="Text 1 Char"/>
    <w:rsid w:val="009F7321"/>
    <w:rPr>
      <w:sz w:val="24"/>
      <w:szCs w:val="24"/>
      <w:lang w:val="bg-BG" w:eastAsia="en-US"/>
    </w:rPr>
  </w:style>
  <w:style w:type="paragraph" w:styleId="ListParagraph">
    <w:name w:val="List Paragraph"/>
    <w:basedOn w:val="Normal"/>
    <w:uiPriority w:val="34"/>
    <w:qFormat/>
    <w:rsid w:val="009F7321"/>
    <w:pPr>
      <w:spacing w:line="240" w:lineRule="atLeast"/>
      <w:ind w:left="720"/>
      <w:contextualSpacing/>
    </w:pPr>
    <w:rPr>
      <w:rFonts w:ascii="Calibri" w:eastAsia="Calibri" w:hAnsi="Calibri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F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F97"/>
    <w:rPr>
      <w:rFonts w:ascii="Tahoma" w:hAnsi="Tahoma" w:cs="Tahoma"/>
      <w:sz w:val="16"/>
      <w:szCs w:val="16"/>
      <w:lang w:val="bg-BG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C3C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3C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3CCD"/>
    <w:rPr>
      <w:lang w:val="bg-BG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3C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3CCD"/>
    <w:rPr>
      <w:b/>
      <w:bCs/>
      <w:lang w:val="bg-BG" w:eastAsia="en-US"/>
    </w:rPr>
  </w:style>
  <w:style w:type="paragraph" w:styleId="Header">
    <w:name w:val="header"/>
    <w:basedOn w:val="Normal"/>
    <w:link w:val="HeaderChar"/>
    <w:uiPriority w:val="99"/>
    <w:unhideWhenUsed/>
    <w:rsid w:val="00BE6B17"/>
    <w:pPr>
      <w:tabs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B17"/>
    <w:rPr>
      <w:rFonts w:ascii="Times New Roman" w:hAnsi="Times New Roman" w:cs="Times New Roman"/>
      <w:sz w:val="24"/>
      <w:bdr w:val="none" w:sz="0" w:space="0" w:color="auto"/>
      <w:shd w:val="clear" w:color="auto" w:fill="auto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BE6B17"/>
    <w:pPr>
      <w:tabs>
        <w:tab w:val="center" w:pos="4819"/>
        <w:tab w:val="center" w:pos="7370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B17"/>
    <w:rPr>
      <w:rFonts w:ascii="Times New Roman" w:hAnsi="Times New Roman" w:cs="Times New Roman"/>
      <w:sz w:val="24"/>
      <w:bdr w:val="none" w:sz="0" w:space="0" w:color="auto"/>
      <w:shd w:val="clear" w:color="auto" w:fill="auto"/>
      <w:lang w:val="bg-BG"/>
    </w:rPr>
  </w:style>
  <w:style w:type="paragraph" w:styleId="FootnoteText">
    <w:name w:val="footnote text"/>
    <w:basedOn w:val="Normal"/>
    <w:link w:val="FootnoteTextChar"/>
    <w:uiPriority w:val="99"/>
    <w:unhideWhenUsed/>
    <w:rsid w:val="00BA2BE9"/>
    <w:pPr>
      <w:ind w:left="720" w:hanging="720"/>
    </w:pPr>
    <w:rPr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2BE9"/>
    <w:rPr>
      <w:rFonts w:ascii="Times New Roman" w:hAnsi="Times New Roman" w:cs="Times New Roman"/>
      <w:sz w:val="24"/>
      <w:szCs w:val="20"/>
      <w:lang w:val="bg-BG" w:eastAsia="en-US"/>
    </w:rPr>
  </w:style>
  <w:style w:type="paragraph" w:styleId="Title">
    <w:name w:val="Title"/>
    <w:basedOn w:val="Normal"/>
    <w:link w:val="TitleChar"/>
    <w:uiPriority w:val="10"/>
    <w:qFormat/>
    <w:rsid w:val="00BE6B17"/>
    <w:pPr>
      <w:pBdr>
        <w:bottom w:val="single" w:sz="8" w:space="4" w:color="4F81BD" w:themeColor="accent1"/>
      </w:pBdr>
      <w:spacing w:before="480" w:after="240"/>
      <w:jc w:val="center"/>
    </w:pPr>
    <w:rPr>
      <w:rFonts w:eastAsiaTheme="majorEastAsia"/>
      <w:b/>
      <w:i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BE6B17"/>
    <w:rPr>
      <w:rFonts w:ascii="Times New Roman" w:eastAsiaTheme="majorEastAsia" w:hAnsi="Times New Roman" w:cs="Times New Roman"/>
      <w:b/>
      <w:i/>
      <w:sz w:val="24"/>
      <w:szCs w:val="52"/>
      <w:u w:val="single"/>
      <w:bdr w:val="none" w:sz="0" w:space="0" w:color="auto"/>
      <w:shd w:val="clear" w:color="auto" w:fill="auto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BE6B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one" w:sz="0" w:space="0" w:color="auto"/>
      <w:shd w:val="clear" w:color="auto" w:fill="auto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BE6B17"/>
    <w:pPr>
      <w:spacing w:after="360"/>
      <w:jc w:val="center"/>
    </w:pPr>
    <w:rPr>
      <w:b/>
      <w:caps/>
      <w:sz w:val="28"/>
      <w:u w:val="single"/>
    </w:rPr>
  </w:style>
  <w:style w:type="paragraph" w:styleId="TOC1">
    <w:name w:val="toc 1"/>
    <w:basedOn w:val="Normal"/>
    <w:next w:val="Normal"/>
    <w:uiPriority w:val="39"/>
    <w:semiHidden/>
    <w:unhideWhenUsed/>
    <w:rsid w:val="00BE6B17"/>
    <w:pPr>
      <w:spacing w:before="180"/>
    </w:pPr>
    <w:rPr>
      <w:b/>
    </w:rPr>
  </w:style>
  <w:style w:type="paragraph" w:styleId="TOC2">
    <w:name w:val="toc 2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uiPriority w:val="39"/>
    <w:semiHidden/>
    <w:unhideWhenUsed/>
    <w:rsid w:val="00BE6B17"/>
    <w:pPr>
      <w:tabs>
        <w:tab w:val="right" w:leader="dot" w:pos="9071"/>
      </w:tabs>
    </w:pPr>
  </w:style>
  <w:style w:type="paragraph" w:styleId="TOC9">
    <w:name w:val="toc 9"/>
    <w:basedOn w:val="Normal"/>
    <w:next w:val="Normal"/>
    <w:uiPriority w:val="39"/>
    <w:semiHidden/>
    <w:unhideWhenUsed/>
    <w:rsid w:val="00BE6B17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BE6B17"/>
    <w:pPr>
      <w:spacing w:before="200"/>
      <w:jc w:val="center"/>
    </w:pPr>
  </w:style>
  <w:style w:type="paragraph" w:customStyle="1" w:styleId="NormalRight">
    <w:name w:val="Normal Right"/>
    <w:basedOn w:val="Normal"/>
    <w:rsid w:val="00BE6B17"/>
    <w:pPr>
      <w:spacing w:before="200"/>
      <w:jc w:val="right"/>
    </w:pPr>
  </w:style>
  <w:style w:type="paragraph" w:customStyle="1" w:styleId="NormalJustified">
    <w:name w:val="Normal Justified"/>
    <w:basedOn w:val="Normal"/>
    <w:rsid w:val="00BE6B17"/>
    <w:pPr>
      <w:spacing w:before="200"/>
      <w:jc w:val="both"/>
    </w:pPr>
  </w:style>
  <w:style w:type="paragraph" w:customStyle="1" w:styleId="HeaderLandscape">
    <w:name w:val="HeaderLandscape"/>
    <w:basedOn w:val="Normal"/>
    <w:rsid w:val="00BE6B17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BE6B17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basedOn w:val="DefaultParagraphFont"/>
    <w:uiPriority w:val="99"/>
    <w:unhideWhenUsed/>
    <w:rsid w:val="00BA2BE9"/>
    <w:rPr>
      <w:b/>
      <w:bdr w:val="none" w:sz="0" w:space="0" w:color="auto"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BE6B17"/>
    <w:rPr>
      <w:sz w:val="2"/>
    </w:rPr>
  </w:style>
  <w:style w:type="paragraph" w:customStyle="1" w:styleId="FooterCouncil">
    <w:name w:val="Footer Council"/>
    <w:basedOn w:val="Normal"/>
    <w:rsid w:val="00BE6B17"/>
    <w:rPr>
      <w:sz w:val="2"/>
    </w:rPr>
  </w:style>
  <w:style w:type="paragraph" w:customStyle="1" w:styleId="TechnicalBlock">
    <w:name w:val="Technical Block"/>
    <w:basedOn w:val="Normal"/>
    <w:next w:val="Normal"/>
    <w:rsid w:val="005D7FC5"/>
    <w:pPr>
      <w:spacing w:after="240"/>
      <w:jc w:val="center"/>
    </w:pPr>
    <w:rPr>
      <w:lang w:eastAsia="en-US"/>
    </w:rPr>
  </w:style>
  <w:style w:type="paragraph" w:customStyle="1" w:styleId="FinalLine">
    <w:name w:val="Final Line"/>
    <w:basedOn w:val="Normal"/>
    <w:next w:val="Normal"/>
    <w:rsid w:val="00BE6B17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BE6B17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BE6B17"/>
    <w:pPr>
      <w:ind w:left="567"/>
    </w:pPr>
  </w:style>
  <w:style w:type="paragraph" w:customStyle="1" w:styleId="Text2">
    <w:name w:val="Text 2"/>
    <w:basedOn w:val="Normal"/>
    <w:rsid w:val="00BE6B17"/>
    <w:pPr>
      <w:ind w:left="1134"/>
    </w:pPr>
  </w:style>
  <w:style w:type="paragraph" w:customStyle="1" w:styleId="Text3">
    <w:name w:val="Text 3"/>
    <w:basedOn w:val="Normal"/>
    <w:rsid w:val="00BE6B17"/>
    <w:pPr>
      <w:ind w:left="1701"/>
    </w:pPr>
  </w:style>
  <w:style w:type="paragraph" w:customStyle="1" w:styleId="Text4">
    <w:name w:val="Text 4"/>
    <w:basedOn w:val="Normal"/>
    <w:rsid w:val="00BE6B17"/>
    <w:pPr>
      <w:ind w:left="2268"/>
    </w:pPr>
  </w:style>
  <w:style w:type="paragraph" w:customStyle="1" w:styleId="Text5">
    <w:name w:val="Text 5"/>
    <w:basedOn w:val="Normal"/>
    <w:rsid w:val="00BE6B17"/>
    <w:pPr>
      <w:ind w:left="2835"/>
    </w:pPr>
  </w:style>
  <w:style w:type="paragraph" w:customStyle="1" w:styleId="Text6">
    <w:name w:val="Text 6"/>
    <w:basedOn w:val="Normal"/>
    <w:rsid w:val="00BE6B17"/>
    <w:pPr>
      <w:ind w:left="3402"/>
    </w:pPr>
  </w:style>
  <w:style w:type="paragraph" w:customStyle="1" w:styleId="PointManual">
    <w:name w:val="Point Manual"/>
    <w:basedOn w:val="Normal"/>
    <w:rsid w:val="00BE6B17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BE6B17"/>
    <w:pPr>
      <w:ind w:left="1134" w:hanging="567"/>
    </w:pPr>
  </w:style>
  <w:style w:type="paragraph" w:customStyle="1" w:styleId="PointManual2">
    <w:name w:val="Point Manual (2)"/>
    <w:basedOn w:val="Normal"/>
    <w:rsid w:val="00BE6B17"/>
    <w:pPr>
      <w:ind w:left="1701" w:hanging="567"/>
    </w:pPr>
  </w:style>
  <w:style w:type="paragraph" w:customStyle="1" w:styleId="PointManual3">
    <w:name w:val="Point Manual (3)"/>
    <w:basedOn w:val="Normal"/>
    <w:rsid w:val="00BE6B17"/>
    <w:pPr>
      <w:ind w:left="2268" w:hanging="567"/>
    </w:pPr>
  </w:style>
  <w:style w:type="paragraph" w:customStyle="1" w:styleId="PointManual4">
    <w:name w:val="Point Manual (4)"/>
    <w:basedOn w:val="Normal"/>
    <w:rsid w:val="00BE6B17"/>
    <w:pPr>
      <w:ind w:left="2835" w:hanging="567"/>
    </w:pPr>
  </w:style>
  <w:style w:type="paragraph" w:customStyle="1" w:styleId="PointDoubleManual">
    <w:name w:val="Point Double Manual"/>
    <w:basedOn w:val="Normal"/>
    <w:rsid w:val="00BE6B17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BE6B17"/>
    <w:pPr>
      <w:tabs>
        <w:tab w:val="left" w:pos="1134"/>
      </w:tabs>
      <w:ind w:left="1701" w:hanging="1134"/>
    </w:pPr>
  </w:style>
  <w:style w:type="paragraph" w:customStyle="1" w:styleId="PointDoubleManual2">
    <w:name w:val="Point Double Manual (2)"/>
    <w:basedOn w:val="Normal"/>
    <w:rsid w:val="00BE6B17"/>
    <w:pPr>
      <w:tabs>
        <w:tab w:val="left" w:pos="1701"/>
      </w:tabs>
      <w:ind w:left="2268" w:hanging="1134"/>
    </w:pPr>
  </w:style>
  <w:style w:type="paragraph" w:customStyle="1" w:styleId="PointDoubleManual3">
    <w:name w:val="Point Double Manual (3)"/>
    <w:basedOn w:val="Normal"/>
    <w:rsid w:val="00BE6B17"/>
    <w:pPr>
      <w:tabs>
        <w:tab w:val="left" w:pos="2268"/>
      </w:tabs>
      <w:ind w:left="2835" w:hanging="1134"/>
    </w:pPr>
  </w:style>
  <w:style w:type="paragraph" w:customStyle="1" w:styleId="PointDoubleManual4">
    <w:name w:val="Point Double Manual (4)"/>
    <w:basedOn w:val="Normal"/>
    <w:rsid w:val="00BE6B17"/>
    <w:pPr>
      <w:tabs>
        <w:tab w:val="left" w:pos="2835"/>
      </w:tabs>
      <w:ind w:left="3402" w:hanging="1134"/>
    </w:pPr>
  </w:style>
  <w:style w:type="paragraph" w:customStyle="1" w:styleId="Pointabc">
    <w:name w:val="Point abc"/>
    <w:basedOn w:val="Normal"/>
    <w:rsid w:val="00BE6B17"/>
    <w:pPr>
      <w:numPr>
        <w:ilvl w:val="1"/>
        <w:numId w:val="39"/>
      </w:numPr>
      <w:spacing w:before="200"/>
    </w:pPr>
  </w:style>
  <w:style w:type="paragraph" w:customStyle="1" w:styleId="Pointabc1">
    <w:name w:val="Point abc (1)"/>
    <w:basedOn w:val="Normal"/>
    <w:rsid w:val="00BE6B17"/>
    <w:pPr>
      <w:numPr>
        <w:ilvl w:val="3"/>
        <w:numId w:val="39"/>
      </w:numPr>
    </w:pPr>
  </w:style>
  <w:style w:type="paragraph" w:customStyle="1" w:styleId="Pointabc2">
    <w:name w:val="Point abc (2)"/>
    <w:basedOn w:val="Normal"/>
    <w:rsid w:val="00BE6B17"/>
    <w:pPr>
      <w:numPr>
        <w:ilvl w:val="5"/>
        <w:numId w:val="39"/>
      </w:numPr>
    </w:pPr>
  </w:style>
  <w:style w:type="paragraph" w:customStyle="1" w:styleId="Pointabc3">
    <w:name w:val="Point abc (3)"/>
    <w:basedOn w:val="Normal"/>
    <w:rsid w:val="00BE6B17"/>
    <w:pPr>
      <w:numPr>
        <w:ilvl w:val="7"/>
        <w:numId w:val="39"/>
      </w:numPr>
    </w:pPr>
  </w:style>
  <w:style w:type="paragraph" w:customStyle="1" w:styleId="Pointabc4">
    <w:name w:val="Point abc (4)"/>
    <w:basedOn w:val="Normal"/>
    <w:rsid w:val="00BE6B17"/>
    <w:pPr>
      <w:numPr>
        <w:ilvl w:val="8"/>
        <w:numId w:val="39"/>
      </w:numPr>
    </w:pPr>
  </w:style>
  <w:style w:type="paragraph" w:customStyle="1" w:styleId="Point123">
    <w:name w:val="Point 123"/>
    <w:basedOn w:val="Normal"/>
    <w:rsid w:val="00BE6B17"/>
    <w:pPr>
      <w:numPr>
        <w:numId w:val="39"/>
      </w:numPr>
      <w:spacing w:before="200"/>
    </w:pPr>
  </w:style>
  <w:style w:type="paragraph" w:customStyle="1" w:styleId="Point1231">
    <w:name w:val="Point 123 (1)"/>
    <w:basedOn w:val="Normal"/>
    <w:rsid w:val="00BE6B17"/>
    <w:pPr>
      <w:numPr>
        <w:ilvl w:val="2"/>
        <w:numId w:val="39"/>
      </w:numPr>
    </w:pPr>
  </w:style>
  <w:style w:type="paragraph" w:customStyle="1" w:styleId="Point1232">
    <w:name w:val="Point 123 (2)"/>
    <w:basedOn w:val="Normal"/>
    <w:rsid w:val="00BE6B17"/>
    <w:pPr>
      <w:numPr>
        <w:ilvl w:val="4"/>
        <w:numId w:val="39"/>
      </w:numPr>
    </w:pPr>
  </w:style>
  <w:style w:type="paragraph" w:customStyle="1" w:styleId="Point1233">
    <w:name w:val="Point 123 (3)"/>
    <w:basedOn w:val="Normal"/>
    <w:rsid w:val="00BE6B17"/>
    <w:pPr>
      <w:numPr>
        <w:ilvl w:val="6"/>
        <w:numId w:val="39"/>
      </w:numPr>
    </w:pPr>
  </w:style>
  <w:style w:type="paragraph" w:customStyle="1" w:styleId="Pointivx">
    <w:name w:val="Point ivx"/>
    <w:basedOn w:val="Normal"/>
    <w:rsid w:val="00BE6B17"/>
    <w:pPr>
      <w:numPr>
        <w:numId w:val="40"/>
      </w:numPr>
      <w:spacing w:before="200"/>
    </w:pPr>
  </w:style>
  <w:style w:type="paragraph" w:customStyle="1" w:styleId="Pointivx1">
    <w:name w:val="Point ivx (1)"/>
    <w:basedOn w:val="Normal"/>
    <w:rsid w:val="00BE6B17"/>
    <w:pPr>
      <w:numPr>
        <w:ilvl w:val="1"/>
        <w:numId w:val="40"/>
      </w:numPr>
    </w:pPr>
  </w:style>
  <w:style w:type="paragraph" w:customStyle="1" w:styleId="Pointivx2">
    <w:name w:val="Point ivx (2)"/>
    <w:basedOn w:val="Normal"/>
    <w:rsid w:val="00BE6B17"/>
    <w:pPr>
      <w:numPr>
        <w:ilvl w:val="2"/>
        <w:numId w:val="40"/>
      </w:numPr>
    </w:pPr>
  </w:style>
  <w:style w:type="paragraph" w:customStyle="1" w:styleId="Pointivx3">
    <w:name w:val="Point ivx (3)"/>
    <w:basedOn w:val="Normal"/>
    <w:rsid w:val="00BE6B17"/>
    <w:pPr>
      <w:numPr>
        <w:ilvl w:val="3"/>
        <w:numId w:val="40"/>
      </w:numPr>
    </w:pPr>
  </w:style>
  <w:style w:type="paragraph" w:customStyle="1" w:styleId="Pointivx4">
    <w:name w:val="Point ivx (4)"/>
    <w:basedOn w:val="Normal"/>
    <w:rsid w:val="00BE6B17"/>
    <w:pPr>
      <w:numPr>
        <w:ilvl w:val="4"/>
        <w:numId w:val="40"/>
      </w:numPr>
    </w:pPr>
  </w:style>
  <w:style w:type="paragraph" w:customStyle="1" w:styleId="Bullet">
    <w:name w:val="Bullet"/>
    <w:basedOn w:val="Normal"/>
    <w:rsid w:val="00BE6B17"/>
    <w:pPr>
      <w:numPr>
        <w:numId w:val="34"/>
      </w:numPr>
      <w:spacing w:before="200"/>
    </w:pPr>
  </w:style>
  <w:style w:type="paragraph" w:customStyle="1" w:styleId="Bullet1">
    <w:name w:val="Bullet 1"/>
    <w:basedOn w:val="Normal"/>
    <w:rsid w:val="00BE6B17"/>
    <w:pPr>
      <w:numPr>
        <w:numId w:val="35"/>
      </w:numPr>
    </w:pPr>
  </w:style>
  <w:style w:type="paragraph" w:customStyle="1" w:styleId="Bullet2">
    <w:name w:val="Bullet 2"/>
    <w:basedOn w:val="Normal"/>
    <w:rsid w:val="00BE6B17"/>
    <w:pPr>
      <w:numPr>
        <w:numId w:val="36"/>
      </w:numPr>
    </w:pPr>
  </w:style>
  <w:style w:type="paragraph" w:customStyle="1" w:styleId="Bullet3">
    <w:name w:val="Bullet 3"/>
    <w:basedOn w:val="Normal"/>
    <w:rsid w:val="00BE6B17"/>
    <w:pPr>
      <w:numPr>
        <w:numId w:val="37"/>
      </w:numPr>
    </w:pPr>
  </w:style>
  <w:style w:type="paragraph" w:customStyle="1" w:styleId="Bullet4">
    <w:name w:val="Bullet 4"/>
    <w:basedOn w:val="Normal"/>
    <w:rsid w:val="00BE6B17"/>
    <w:pPr>
      <w:numPr>
        <w:numId w:val="38"/>
      </w:numPr>
    </w:pPr>
  </w:style>
  <w:style w:type="paragraph" w:customStyle="1" w:styleId="Dash">
    <w:name w:val="Dash"/>
    <w:basedOn w:val="Normal"/>
    <w:rsid w:val="00BE6B17"/>
    <w:pPr>
      <w:numPr>
        <w:numId w:val="24"/>
      </w:numPr>
      <w:spacing w:before="200"/>
    </w:pPr>
  </w:style>
  <w:style w:type="paragraph" w:customStyle="1" w:styleId="Dash1">
    <w:name w:val="Dash 1"/>
    <w:basedOn w:val="Normal"/>
    <w:rsid w:val="00BE6B17"/>
    <w:pPr>
      <w:numPr>
        <w:numId w:val="25"/>
      </w:numPr>
    </w:pPr>
  </w:style>
  <w:style w:type="paragraph" w:customStyle="1" w:styleId="Dash2">
    <w:name w:val="Dash 2"/>
    <w:basedOn w:val="Normal"/>
    <w:rsid w:val="00BE6B17"/>
    <w:pPr>
      <w:numPr>
        <w:numId w:val="26"/>
      </w:numPr>
    </w:pPr>
  </w:style>
  <w:style w:type="paragraph" w:customStyle="1" w:styleId="Dash3">
    <w:name w:val="Dash 3"/>
    <w:basedOn w:val="Normal"/>
    <w:rsid w:val="00BE6B17"/>
    <w:pPr>
      <w:numPr>
        <w:numId w:val="27"/>
      </w:numPr>
    </w:pPr>
  </w:style>
  <w:style w:type="paragraph" w:customStyle="1" w:styleId="Dash4">
    <w:name w:val="Dash 4"/>
    <w:basedOn w:val="Normal"/>
    <w:rsid w:val="00BE6B17"/>
    <w:pPr>
      <w:numPr>
        <w:numId w:val="28"/>
      </w:numPr>
    </w:pPr>
  </w:style>
  <w:style w:type="paragraph" w:customStyle="1" w:styleId="DashEqual">
    <w:name w:val="Dash Equal"/>
    <w:basedOn w:val="Dash"/>
    <w:rsid w:val="00BE6B17"/>
    <w:pPr>
      <w:numPr>
        <w:numId w:val="29"/>
      </w:numPr>
    </w:pPr>
  </w:style>
  <w:style w:type="paragraph" w:customStyle="1" w:styleId="DashEqual1">
    <w:name w:val="Dash Equal 1"/>
    <w:basedOn w:val="Dash1"/>
    <w:rsid w:val="00BE6B17"/>
    <w:pPr>
      <w:numPr>
        <w:numId w:val="30"/>
      </w:numPr>
    </w:pPr>
  </w:style>
  <w:style w:type="paragraph" w:customStyle="1" w:styleId="DashEqual2">
    <w:name w:val="Dash Equal 2"/>
    <w:basedOn w:val="Dash2"/>
    <w:rsid w:val="00BE6B17"/>
    <w:pPr>
      <w:numPr>
        <w:numId w:val="31"/>
      </w:numPr>
    </w:pPr>
  </w:style>
  <w:style w:type="paragraph" w:customStyle="1" w:styleId="DashEqual3">
    <w:name w:val="Dash Equal 3"/>
    <w:basedOn w:val="Dash3"/>
    <w:rsid w:val="00BE6B17"/>
    <w:pPr>
      <w:numPr>
        <w:numId w:val="32"/>
      </w:numPr>
    </w:pPr>
  </w:style>
  <w:style w:type="paragraph" w:customStyle="1" w:styleId="DashEqual4">
    <w:name w:val="Dash Equal 4"/>
    <w:basedOn w:val="Dash4"/>
    <w:rsid w:val="00BE6B17"/>
    <w:pPr>
      <w:numPr>
        <w:numId w:val="33"/>
      </w:numPr>
    </w:pPr>
  </w:style>
  <w:style w:type="character" w:customStyle="1" w:styleId="Marker">
    <w:name w:val="Marker"/>
    <w:basedOn w:val="DefaultParagraphFont"/>
    <w:rsid w:val="00BE6B17"/>
    <w:rPr>
      <w:color w:val="0000FF"/>
      <w:bdr w:val="none" w:sz="0" w:space="0" w:color="auto"/>
      <w:shd w:val="clear" w:color="auto" w:fill="auto"/>
    </w:rPr>
  </w:style>
  <w:style w:type="character" w:customStyle="1" w:styleId="Marker1">
    <w:name w:val="Marker1"/>
    <w:basedOn w:val="DefaultParagraphFont"/>
    <w:rsid w:val="00BE6B17"/>
    <w:rPr>
      <w:color w:val="008000"/>
      <w:bdr w:val="none" w:sz="0" w:space="0" w:color="auto"/>
      <w:shd w:val="clear" w:color="auto" w:fill="auto"/>
    </w:rPr>
  </w:style>
  <w:style w:type="paragraph" w:customStyle="1" w:styleId="HeadingLeft">
    <w:name w:val="Heading Left"/>
    <w:basedOn w:val="Normal"/>
    <w:next w:val="Normal"/>
    <w:rsid w:val="00BE6B17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BE6B17"/>
    <w:pPr>
      <w:numPr>
        <w:numId w:val="41"/>
      </w:numPr>
    </w:pPr>
  </w:style>
  <w:style w:type="paragraph" w:customStyle="1" w:styleId="HeadingCentered">
    <w:name w:val="Heading Centered"/>
    <w:basedOn w:val="HeadingLeft"/>
    <w:next w:val="Normal"/>
    <w:rsid w:val="00BE6B17"/>
    <w:pPr>
      <w:jc w:val="center"/>
    </w:pPr>
  </w:style>
  <w:style w:type="paragraph" w:customStyle="1" w:styleId="HeadingIVX">
    <w:name w:val="Heading IVX"/>
    <w:basedOn w:val="HeadingLeft"/>
    <w:next w:val="Normal"/>
    <w:rsid w:val="00BE6B17"/>
    <w:pPr>
      <w:numPr>
        <w:numId w:val="42"/>
      </w:numPr>
    </w:pPr>
  </w:style>
  <w:style w:type="paragraph" w:customStyle="1" w:styleId="NB">
    <w:name w:val="NB"/>
    <w:basedOn w:val="PointManual"/>
    <w:rsid w:val="00BE6B17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BE6B17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customStyle="1" w:styleId="Annex">
    <w:name w:val="Annex"/>
    <w:basedOn w:val="Normal"/>
    <w:next w:val="Normal"/>
    <w:rsid w:val="00BE6B17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BE6B17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BE6B17"/>
    <w:pPr>
      <w:spacing w:after="480"/>
      <w:contextualSpacing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6B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7B2102"/>
    <w:pPr>
      <w:spacing w:after="440"/>
      <w:ind w:left="-1134" w:right="-1134"/>
    </w:pPr>
    <w:rPr>
      <w:rFonts w:asciiTheme="minorHAnsi" w:hAnsiTheme="minorHAnsi" w:cstheme="minorBidi"/>
      <w:sz w:val="2"/>
      <w:szCs w:val="24"/>
      <w:lang w:eastAsia="en-US"/>
    </w:rPr>
  </w:style>
  <w:style w:type="character" w:customStyle="1" w:styleId="TechnicalBlockChar">
    <w:name w:val="Technical Block Char"/>
    <w:basedOn w:val="DefaultParagraphFont"/>
    <w:rsid w:val="007B2102"/>
    <w:rPr>
      <w:rFonts w:eastAsiaTheme="minorHAnsi"/>
      <w:sz w:val="24"/>
      <w:szCs w:val="22"/>
      <w:lang w:val="bg-BG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7B2102"/>
    <w:rPr>
      <w:rFonts w:eastAsiaTheme="minorHAnsi"/>
      <w:sz w:val="2"/>
      <w:szCs w:val="24"/>
      <w:lang w:val="bg-BG" w:eastAsia="en-US"/>
    </w:rPr>
  </w:style>
  <w:style w:type="paragraph" w:customStyle="1" w:styleId="FooterText">
    <w:name w:val="Footer Text"/>
    <w:basedOn w:val="Normal"/>
    <w:rsid w:val="007B2102"/>
  </w:style>
  <w:style w:type="character" w:customStyle="1" w:styleId="PointManualChar">
    <w:name w:val="Point Manual Char"/>
    <w:locked/>
    <w:rsid w:val="009F7321"/>
    <w:rPr>
      <w:sz w:val="24"/>
      <w:szCs w:val="24"/>
      <w:lang w:val="bg-BG" w:eastAsia="en-US"/>
    </w:rPr>
  </w:style>
  <w:style w:type="character" w:customStyle="1" w:styleId="Text1Char">
    <w:name w:val="Text 1 Char"/>
    <w:rsid w:val="009F7321"/>
    <w:rPr>
      <w:sz w:val="24"/>
      <w:szCs w:val="24"/>
      <w:lang w:val="bg-BG" w:eastAsia="en-US"/>
    </w:rPr>
  </w:style>
  <w:style w:type="paragraph" w:styleId="ListParagraph">
    <w:name w:val="List Paragraph"/>
    <w:basedOn w:val="Normal"/>
    <w:uiPriority w:val="34"/>
    <w:qFormat/>
    <w:rsid w:val="009F7321"/>
    <w:pPr>
      <w:spacing w:line="240" w:lineRule="atLeast"/>
      <w:ind w:left="720"/>
      <w:contextualSpacing/>
    </w:pPr>
    <w:rPr>
      <w:rFonts w:ascii="Calibri" w:eastAsia="Calibri" w:hAnsi="Calibri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F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F97"/>
    <w:rPr>
      <w:rFonts w:ascii="Tahoma" w:hAnsi="Tahoma" w:cs="Tahoma"/>
      <w:sz w:val="16"/>
      <w:szCs w:val="16"/>
      <w:lang w:val="bg-BG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C3C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3C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3CCD"/>
    <w:rPr>
      <w:lang w:val="bg-BG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3C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3CCD"/>
    <w:rPr>
      <w:b/>
      <w:bCs/>
      <w:lang w:val="bg-BG" w:eastAsia="en-US"/>
    </w:rPr>
  </w:style>
  <w:style w:type="paragraph" w:styleId="Header">
    <w:name w:val="header"/>
    <w:basedOn w:val="Normal"/>
    <w:link w:val="HeaderChar"/>
    <w:uiPriority w:val="99"/>
    <w:unhideWhenUsed/>
    <w:rsid w:val="00BE6B17"/>
    <w:pPr>
      <w:tabs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B17"/>
    <w:rPr>
      <w:rFonts w:ascii="Times New Roman" w:hAnsi="Times New Roman" w:cs="Times New Roman"/>
      <w:sz w:val="24"/>
      <w:bdr w:val="none" w:sz="0" w:space="0" w:color="auto"/>
      <w:shd w:val="clear" w:color="auto" w:fill="auto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BE6B17"/>
    <w:pPr>
      <w:tabs>
        <w:tab w:val="center" w:pos="4819"/>
        <w:tab w:val="center" w:pos="7370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B17"/>
    <w:rPr>
      <w:rFonts w:ascii="Times New Roman" w:hAnsi="Times New Roman" w:cs="Times New Roman"/>
      <w:sz w:val="24"/>
      <w:bdr w:val="none" w:sz="0" w:space="0" w:color="auto"/>
      <w:shd w:val="clear" w:color="auto" w:fill="auto"/>
      <w:lang w:val="bg-BG"/>
    </w:rPr>
  </w:style>
  <w:style w:type="paragraph" w:styleId="FootnoteText">
    <w:name w:val="footnote text"/>
    <w:basedOn w:val="Normal"/>
    <w:link w:val="FootnoteTextChar"/>
    <w:uiPriority w:val="99"/>
    <w:unhideWhenUsed/>
    <w:rsid w:val="00BA2BE9"/>
    <w:pPr>
      <w:ind w:left="720" w:hanging="720"/>
    </w:pPr>
    <w:rPr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2BE9"/>
    <w:rPr>
      <w:rFonts w:ascii="Times New Roman" w:hAnsi="Times New Roman" w:cs="Times New Roman"/>
      <w:sz w:val="24"/>
      <w:szCs w:val="20"/>
      <w:lang w:val="bg-BG" w:eastAsia="en-US"/>
    </w:rPr>
  </w:style>
  <w:style w:type="paragraph" w:styleId="Title">
    <w:name w:val="Title"/>
    <w:basedOn w:val="Normal"/>
    <w:link w:val="TitleChar"/>
    <w:uiPriority w:val="10"/>
    <w:qFormat/>
    <w:rsid w:val="00BE6B17"/>
    <w:pPr>
      <w:pBdr>
        <w:bottom w:val="single" w:sz="8" w:space="4" w:color="4F81BD" w:themeColor="accent1"/>
      </w:pBdr>
      <w:spacing w:before="480" w:after="240"/>
      <w:jc w:val="center"/>
    </w:pPr>
    <w:rPr>
      <w:rFonts w:eastAsiaTheme="majorEastAsia"/>
      <w:b/>
      <w:i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BE6B17"/>
    <w:rPr>
      <w:rFonts w:ascii="Times New Roman" w:eastAsiaTheme="majorEastAsia" w:hAnsi="Times New Roman" w:cs="Times New Roman"/>
      <w:b/>
      <w:i/>
      <w:sz w:val="24"/>
      <w:szCs w:val="52"/>
      <w:u w:val="single"/>
      <w:bdr w:val="none" w:sz="0" w:space="0" w:color="auto"/>
      <w:shd w:val="clear" w:color="auto" w:fill="auto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BE6B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one" w:sz="0" w:space="0" w:color="auto"/>
      <w:shd w:val="clear" w:color="auto" w:fill="auto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BE6B17"/>
    <w:pPr>
      <w:spacing w:after="360"/>
      <w:jc w:val="center"/>
    </w:pPr>
    <w:rPr>
      <w:b/>
      <w:caps/>
      <w:sz w:val="28"/>
      <w:u w:val="single"/>
    </w:rPr>
  </w:style>
  <w:style w:type="paragraph" w:styleId="TOC1">
    <w:name w:val="toc 1"/>
    <w:basedOn w:val="Normal"/>
    <w:next w:val="Normal"/>
    <w:uiPriority w:val="39"/>
    <w:semiHidden/>
    <w:unhideWhenUsed/>
    <w:rsid w:val="00BE6B17"/>
    <w:pPr>
      <w:spacing w:before="180"/>
    </w:pPr>
    <w:rPr>
      <w:b/>
    </w:rPr>
  </w:style>
  <w:style w:type="paragraph" w:styleId="TOC2">
    <w:name w:val="toc 2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uiPriority w:val="39"/>
    <w:semiHidden/>
    <w:unhideWhenUsed/>
    <w:rsid w:val="00BE6B17"/>
    <w:pPr>
      <w:tabs>
        <w:tab w:val="right" w:leader="dot" w:pos="9071"/>
      </w:tabs>
    </w:pPr>
  </w:style>
  <w:style w:type="paragraph" w:styleId="TOC9">
    <w:name w:val="toc 9"/>
    <w:basedOn w:val="Normal"/>
    <w:next w:val="Normal"/>
    <w:uiPriority w:val="39"/>
    <w:semiHidden/>
    <w:unhideWhenUsed/>
    <w:rsid w:val="00BE6B17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BE6B17"/>
    <w:pPr>
      <w:spacing w:before="200"/>
      <w:jc w:val="center"/>
    </w:pPr>
  </w:style>
  <w:style w:type="paragraph" w:customStyle="1" w:styleId="NormalRight">
    <w:name w:val="Normal Right"/>
    <w:basedOn w:val="Normal"/>
    <w:rsid w:val="00BE6B17"/>
    <w:pPr>
      <w:spacing w:before="200"/>
      <w:jc w:val="right"/>
    </w:pPr>
  </w:style>
  <w:style w:type="paragraph" w:customStyle="1" w:styleId="NormalJustified">
    <w:name w:val="Normal Justified"/>
    <w:basedOn w:val="Normal"/>
    <w:rsid w:val="00BE6B17"/>
    <w:pPr>
      <w:spacing w:before="200"/>
      <w:jc w:val="both"/>
    </w:pPr>
  </w:style>
  <w:style w:type="paragraph" w:customStyle="1" w:styleId="HeaderLandscape">
    <w:name w:val="HeaderLandscape"/>
    <w:basedOn w:val="Normal"/>
    <w:rsid w:val="00BE6B17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BE6B17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basedOn w:val="DefaultParagraphFont"/>
    <w:uiPriority w:val="99"/>
    <w:unhideWhenUsed/>
    <w:rsid w:val="00BA2BE9"/>
    <w:rPr>
      <w:b/>
      <w:bdr w:val="none" w:sz="0" w:space="0" w:color="auto"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BE6B17"/>
    <w:rPr>
      <w:sz w:val="2"/>
    </w:rPr>
  </w:style>
  <w:style w:type="paragraph" w:customStyle="1" w:styleId="FooterCouncil">
    <w:name w:val="Footer Council"/>
    <w:basedOn w:val="Normal"/>
    <w:rsid w:val="00BE6B17"/>
    <w:rPr>
      <w:sz w:val="2"/>
    </w:rPr>
  </w:style>
  <w:style w:type="paragraph" w:customStyle="1" w:styleId="TechnicalBlock">
    <w:name w:val="Technical Block"/>
    <w:basedOn w:val="Normal"/>
    <w:next w:val="Normal"/>
    <w:rsid w:val="005D7FC5"/>
    <w:pPr>
      <w:spacing w:after="240"/>
      <w:jc w:val="center"/>
    </w:pPr>
    <w:rPr>
      <w:lang w:eastAsia="en-US"/>
    </w:rPr>
  </w:style>
  <w:style w:type="paragraph" w:customStyle="1" w:styleId="FinalLine">
    <w:name w:val="Final Line"/>
    <w:basedOn w:val="Normal"/>
    <w:next w:val="Normal"/>
    <w:rsid w:val="00BE6B17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BE6B17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BE6B17"/>
    <w:pPr>
      <w:ind w:left="567"/>
    </w:pPr>
  </w:style>
  <w:style w:type="paragraph" w:customStyle="1" w:styleId="Text2">
    <w:name w:val="Text 2"/>
    <w:basedOn w:val="Normal"/>
    <w:rsid w:val="00BE6B17"/>
    <w:pPr>
      <w:ind w:left="1134"/>
    </w:pPr>
  </w:style>
  <w:style w:type="paragraph" w:customStyle="1" w:styleId="Text3">
    <w:name w:val="Text 3"/>
    <w:basedOn w:val="Normal"/>
    <w:rsid w:val="00BE6B17"/>
    <w:pPr>
      <w:ind w:left="1701"/>
    </w:pPr>
  </w:style>
  <w:style w:type="paragraph" w:customStyle="1" w:styleId="Text4">
    <w:name w:val="Text 4"/>
    <w:basedOn w:val="Normal"/>
    <w:rsid w:val="00BE6B17"/>
    <w:pPr>
      <w:ind w:left="2268"/>
    </w:pPr>
  </w:style>
  <w:style w:type="paragraph" w:customStyle="1" w:styleId="Text5">
    <w:name w:val="Text 5"/>
    <w:basedOn w:val="Normal"/>
    <w:rsid w:val="00BE6B17"/>
    <w:pPr>
      <w:ind w:left="2835"/>
    </w:pPr>
  </w:style>
  <w:style w:type="paragraph" w:customStyle="1" w:styleId="Text6">
    <w:name w:val="Text 6"/>
    <w:basedOn w:val="Normal"/>
    <w:rsid w:val="00BE6B17"/>
    <w:pPr>
      <w:ind w:left="3402"/>
    </w:pPr>
  </w:style>
  <w:style w:type="paragraph" w:customStyle="1" w:styleId="PointManual">
    <w:name w:val="Point Manual"/>
    <w:basedOn w:val="Normal"/>
    <w:rsid w:val="00BE6B17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BE6B17"/>
    <w:pPr>
      <w:ind w:left="1134" w:hanging="567"/>
    </w:pPr>
  </w:style>
  <w:style w:type="paragraph" w:customStyle="1" w:styleId="PointManual2">
    <w:name w:val="Point Manual (2)"/>
    <w:basedOn w:val="Normal"/>
    <w:rsid w:val="00BE6B17"/>
    <w:pPr>
      <w:ind w:left="1701" w:hanging="567"/>
    </w:pPr>
  </w:style>
  <w:style w:type="paragraph" w:customStyle="1" w:styleId="PointManual3">
    <w:name w:val="Point Manual (3)"/>
    <w:basedOn w:val="Normal"/>
    <w:rsid w:val="00BE6B17"/>
    <w:pPr>
      <w:ind w:left="2268" w:hanging="567"/>
    </w:pPr>
  </w:style>
  <w:style w:type="paragraph" w:customStyle="1" w:styleId="PointManual4">
    <w:name w:val="Point Manual (4)"/>
    <w:basedOn w:val="Normal"/>
    <w:rsid w:val="00BE6B17"/>
    <w:pPr>
      <w:ind w:left="2835" w:hanging="567"/>
    </w:pPr>
  </w:style>
  <w:style w:type="paragraph" w:customStyle="1" w:styleId="PointDoubleManual">
    <w:name w:val="Point Double Manual"/>
    <w:basedOn w:val="Normal"/>
    <w:rsid w:val="00BE6B17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BE6B17"/>
    <w:pPr>
      <w:tabs>
        <w:tab w:val="left" w:pos="1134"/>
      </w:tabs>
      <w:ind w:left="1701" w:hanging="1134"/>
    </w:pPr>
  </w:style>
  <w:style w:type="paragraph" w:customStyle="1" w:styleId="PointDoubleManual2">
    <w:name w:val="Point Double Manual (2)"/>
    <w:basedOn w:val="Normal"/>
    <w:rsid w:val="00BE6B17"/>
    <w:pPr>
      <w:tabs>
        <w:tab w:val="left" w:pos="1701"/>
      </w:tabs>
      <w:ind w:left="2268" w:hanging="1134"/>
    </w:pPr>
  </w:style>
  <w:style w:type="paragraph" w:customStyle="1" w:styleId="PointDoubleManual3">
    <w:name w:val="Point Double Manual (3)"/>
    <w:basedOn w:val="Normal"/>
    <w:rsid w:val="00BE6B17"/>
    <w:pPr>
      <w:tabs>
        <w:tab w:val="left" w:pos="2268"/>
      </w:tabs>
      <w:ind w:left="2835" w:hanging="1134"/>
    </w:pPr>
  </w:style>
  <w:style w:type="paragraph" w:customStyle="1" w:styleId="PointDoubleManual4">
    <w:name w:val="Point Double Manual (4)"/>
    <w:basedOn w:val="Normal"/>
    <w:rsid w:val="00BE6B17"/>
    <w:pPr>
      <w:tabs>
        <w:tab w:val="left" w:pos="2835"/>
      </w:tabs>
      <w:ind w:left="3402" w:hanging="1134"/>
    </w:pPr>
  </w:style>
  <w:style w:type="paragraph" w:customStyle="1" w:styleId="Pointabc">
    <w:name w:val="Point abc"/>
    <w:basedOn w:val="Normal"/>
    <w:rsid w:val="00BE6B17"/>
    <w:pPr>
      <w:numPr>
        <w:ilvl w:val="1"/>
        <w:numId w:val="39"/>
      </w:numPr>
      <w:spacing w:before="200"/>
    </w:pPr>
  </w:style>
  <w:style w:type="paragraph" w:customStyle="1" w:styleId="Pointabc1">
    <w:name w:val="Point abc (1)"/>
    <w:basedOn w:val="Normal"/>
    <w:rsid w:val="00BE6B17"/>
    <w:pPr>
      <w:numPr>
        <w:ilvl w:val="3"/>
        <w:numId w:val="39"/>
      </w:numPr>
    </w:pPr>
  </w:style>
  <w:style w:type="paragraph" w:customStyle="1" w:styleId="Pointabc2">
    <w:name w:val="Point abc (2)"/>
    <w:basedOn w:val="Normal"/>
    <w:rsid w:val="00BE6B17"/>
    <w:pPr>
      <w:numPr>
        <w:ilvl w:val="5"/>
        <w:numId w:val="39"/>
      </w:numPr>
    </w:pPr>
  </w:style>
  <w:style w:type="paragraph" w:customStyle="1" w:styleId="Pointabc3">
    <w:name w:val="Point abc (3)"/>
    <w:basedOn w:val="Normal"/>
    <w:rsid w:val="00BE6B17"/>
    <w:pPr>
      <w:numPr>
        <w:ilvl w:val="7"/>
        <w:numId w:val="39"/>
      </w:numPr>
    </w:pPr>
  </w:style>
  <w:style w:type="paragraph" w:customStyle="1" w:styleId="Pointabc4">
    <w:name w:val="Point abc (4)"/>
    <w:basedOn w:val="Normal"/>
    <w:rsid w:val="00BE6B17"/>
    <w:pPr>
      <w:numPr>
        <w:ilvl w:val="8"/>
        <w:numId w:val="39"/>
      </w:numPr>
    </w:pPr>
  </w:style>
  <w:style w:type="paragraph" w:customStyle="1" w:styleId="Point123">
    <w:name w:val="Point 123"/>
    <w:basedOn w:val="Normal"/>
    <w:rsid w:val="00BE6B17"/>
    <w:pPr>
      <w:numPr>
        <w:numId w:val="39"/>
      </w:numPr>
      <w:spacing w:before="200"/>
    </w:pPr>
  </w:style>
  <w:style w:type="paragraph" w:customStyle="1" w:styleId="Point1231">
    <w:name w:val="Point 123 (1)"/>
    <w:basedOn w:val="Normal"/>
    <w:rsid w:val="00BE6B17"/>
    <w:pPr>
      <w:numPr>
        <w:ilvl w:val="2"/>
        <w:numId w:val="39"/>
      </w:numPr>
    </w:pPr>
  </w:style>
  <w:style w:type="paragraph" w:customStyle="1" w:styleId="Point1232">
    <w:name w:val="Point 123 (2)"/>
    <w:basedOn w:val="Normal"/>
    <w:rsid w:val="00BE6B17"/>
    <w:pPr>
      <w:numPr>
        <w:ilvl w:val="4"/>
        <w:numId w:val="39"/>
      </w:numPr>
    </w:pPr>
  </w:style>
  <w:style w:type="paragraph" w:customStyle="1" w:styleId="Point1233">
    <w:name w:val="Point 123 (3)"/>
    <w:basedOn w:val="Normal"/>
    <w:rsid w:val="00BE6B17"/>
    <w:pPr>
      <w:numPr>
        <w:ilvl w:val="6"/>
        <w:numId w:val="39"/>
      </w:numPr>
    </w:pPr>
  </w:style>
  <w:style w:type="paragraph" w:customStyle="1" w:styleId="Pointivx">
    <w:name w:val="Point ivx"/>
    <w:basedOn w:val="Normal"/>
    <w:rsid w:val="00BE6B17"/>
    <w:pPr>
      <w:numPr>
        <w:numId w:val="40"/>
      </w:numPr>
      <w:spacing w:before="200"/>
    </w:pPr>
  </w:style>
  <w:style w:type="paragraph" w:customStyle="1" w:styleId="Pointivx1">
    <w:name w:val="Point ivx (1)"/>
    <w:basedOn w:val="Normal"/>
    <w:rsid w:val="00BE6B17"/>
    <w:pPr>
      <w:numPr>
        <w:ilvl w:val="1"/>
        <w:numId w:val="40"/>
      </w:numPr>
    </w:pPr>
  </w:style>
  <w:style w:type="paragraph" w:customStyle="1" w:styleId="Pointivx2">
    <w:name w:val="Point ivx (2)"/>
    <w:basedOn w:val="Normal"/>
    <w:rsid w:val="00BE6B17"/>
    <w:pPr>
      <w:numPr>
        <w:ilvl w:val="2"/>
        <w:numId w:val="40"/>
      </w:numPr>
    </w:pPr>
  </w:style>
  <w:style w:type="paragraph" w:customStyle="1" w:styleId="Pointivx3">
    <w:name w:val="Point ivx (3)"/>
    <w:basedOn w:val="Normal"/>
    <w:rsid w:val="00BE6B17"/>
    <w:pPr>
      <w:numPr>
        <w:ilvl w:val="3"/>
        <w:numId w:val="40"/>
      </w:numPr>
    </w:pPr>
  </w:style>
  <w:style w:type="paragraph" w:customStyle="1" w:styleId="Pointivx4">
    <w:name w:val="Point ivx (4)"/>
    <w:basedOn w:val="Normal"/>
    <w:rsid w:val="00BE6B17"/>
    <w:pPr>
      <w:numPr>
        <w:ilvl w:val="4"/>
        <w:numId w:val="40"/>
      </w:numPr>
    </w:pPr>
  </w:style>
  <w:style w:type="paragraph" w:customStyle="1" w:styleId="Bullet">
    <w:name w:val="Bullet"/>
    <w:basedOn w:val="Normal"/>
    <w:rsid w:val="00BE6B17"/>
    <w:pPr>
      <w:numPr>
        <w:numId w:val="34"/>
      </w:numPr>
      <w:spacing w:before="200"/>
    </w:pPr>
  </w:style>
  <w:style w:type="paragraph" w:customStyle="1" w:styleId="Bullet1">
    <w:name w:val="Bullet 1"/>
    <w:basedOn w:val="Normal"/>
    <w:rsid w:val="00BE6B17"/>
    <w:pPr>
      <w:numPr>
        <w:numId w:val="35"/>
      </w:numPr>
    </w:pPr>
  </w:style>
  <w:style w:type="paragraph" w:customStyle="1" w:styleId="Bullet2">
    <w:name w:val="Bullet 2"/>
    <w:basedOn w:val="Normal"/>
    <w:rsid w:val="00BE6B17"/>
    <w:pPr>
      <w:numPr>
        <w:numId w:val="36"/>
      </w:numPr>
    </w:pPr>
  </w:style>
  <w:style w:type="paragraph" w:customStyle="1" w:styleId="Bullet3">
    <w:name w:val="Bullet 3"/>
    <w:basedOn w:val="Normal"/>
    <w:rsid w:val="00BE6B17"/>
    <w:pPr>
      <w:numPr>
        <w:numId w:val="37"/>
      </w:numPr>
    </w:pPr>
  </w:style>
  <w:style w:type="paragraph" w:customStyle="1" w:styleId="Bullet4">
    <w:name w:val="Bullet 4"/>
    <w:basedOn w:val="Normal"/>
    <w:rsid w:val="00BE6B17"/>
    <w:pPr>
      <w:numPr>
        <w:numId w:val="38"/>
      </w:numPr>
    </w:pPr>
  </w:style>
  <w:style w:type="paragraph" w:customStyle="1" w:styleId="Dash">
    <w:name w:val="Dash"/>
    <w:basedOn w:val="Normal"/>
    <w:rsid w:val="00BE6B17"/>
    <w:pPr>
      <w:numPr>
        <w:numId w:val="24"/>
      </w:numPr>
      <w:spacing w:before="200"/>
    </w:pPr>
  </w:style>
  <w:style w:type="paragraph" w:customStyle="1" w:styleId="Dash1">
    <w:name w:val="Dash 1"/>
    <w:basedOn w:val="Normal"/>
    <w:rsid w:val="00BE6B17"/>
    <w:pPr>
      <w:numPr>
        <w:numId w:val="25"/>
      </w:numPr>
    </w:pPr>
  </w:style>
  <w:style w:type="paragraph" w:customStyle="1" w:styleId="Dash2">
    <w:name w:val="Dash 2"/>
    <w:basedOn w:val="Normal"/>
    <w:rsid w:val="00BE6B17"/>
    <w:pPr>
      <w:numPr>
        <w:numId w:val="26"/>
      </w:numPr>
    </w:pPr>
  </w:style>
  <w:style w:type="paragraph" w:customStyle="1" w:styleId="Dash3">
    <w:name w:val="Dash 3"/>
    <w:basedOn w:val="Normal"/>
    <w:rsid w:val="00BE6B17"/>
    <w:pPr>
      <w:numPr>
        <w:numId w:val="27"/>
      </w:numPr>
    </w:pPr>
  </w:style>
  <w:style w:type="paragraph" w:customStyle="1" w:styleId="Dash4">
    <w:name w:val="Dash 4"/>
    <w:basedOn w:val="Normal"/>
    <w:rsid w:val="00BE6B17"/>
    <w:pPr>
      <w:numPr>
        <w:numId w:val="28"/>
      </w:numPr>
    </w:pPr>
  </w:style>
  <w:style w:type="paragraph" w:customStyle="1" w:styleId="DashEqual">
    <w:name w:val="Dash Equal"/>
    <w:basedOn w:val="Dash"/>
    <w:rsid w:val="00BE6B17"/>
    <w:pPr>
      <w:numPr>
        <w:numId w:val="29"/>
      </w:numPr>
    </w:pPr>
  </w:style>
  <w:style w:type="paragraph" w:customStyle="1" w:styleId="DashEqual1">
    <w:name w:val="Dash Equal 1"/>
    <w:basedOn w:val="Dash1"/>
    <w:rsid w:val="00BE6B17"/>
    <w:pPr>
      <w:numPr>
        <w:numId w:val="30"/>
      </w:numPr>
    </w:pPr>
  </w:style>
  <w:style w:type="paragraph" w:customStyle="1" w:styleId="DashEqual2">
    <w:name w:val="Dash Equal 2"/>
    <w:basedOn w:val="Dash2"/>
    <w:rsid w:val="00BE6B17"/>
    <w:pPr>
      <w:numPr>
        <w:numId w:val="31"/>
      </w:numPr>
    </w:pPr>
  </w:style>
  <w:style w:type="paragraph" w:customStyle="1" w:styleId="DashEqual3">
    <w:name w:val="Dash Equal 3"/>
    <w:basedOn w:val="Dash3"/>
    <w:rsid w:val="00BE6B17"/>
    <w:pPr>
      <w:numPr>
        <w:numId w:val="32"/>
      </w:numPr>
    </w:pPr>
  </w:style>
  <w:style w:type="paragraph" w:customStyle="1" w:styleId="DashEqual4">
    <w:name w:val="Dash Equal 4"/>
    <w:basedOn w:val="Dash4"/>
    <w:rsid w:val="00BE6B17"/>
    <w:pPr>
      <w:numPr>
        <w:numId w:val="33"/>
      </w:numPr>
    </w:pPr>
  </w:style>
  <w:style w:type="character" w:customStyle="1" w:styleId="Marker">
    <w:name w:val="Marker"/>
    <w:basedOn w:val="DefaultParagraphFont"/>
    <w:rsid w:val="00BE6B17"/>
    <w:rPr>
      <w:color w:val="0000FF"/>
      <w:bdr w:val="none" w:sz="0" w:space="0" w:color="auto"/>
      <w:shd w:val="clear" w:color="auto" w:fill="auto"/>
    </w:rPr>
  </w:style>
  <w:style w:type="character" w:customStyle="1" w:styleId="Marker1">
    <w:name w:val="Marker1"/>
    <w:basedOn w:val="DefaultParagraphFont"/>
    <w:rsid w:val="00BE6B17"/>
    <w:rPr>
      <w:color w:val="008000"/>
      <w:bdr w:val="none" w:sz="0" w:space="0" w:color="auto"/>
      <w:shd w:val="clear" w:color="auto" w:fill="auto"/>
    </w:rPr>
  </w:style>
  <w:style w:type="paragraph" w:customStyle="1" w:styleId="HeadingLeft">
    <w:name w:val="Heading Left"/>
    <w:basedOn w:val="Normal"/>
    <w:next w:val="Normal"/>
    <w:rsid w:val="00BE6B17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BE6B17"/>
    <w:pPr>
      <w:numPr>
        <w:numId w:val="41"/>
      </w:numPr>
    </w:pPr>
  </w:style>
  <w:style w:type="paragraph" w:customStyle="1" w:styleId="HeadingCentered">
    <w:name w:val="Heading Centered"/>
    <w:basedOn w:val="HeadingLeft"/>
    <w:next w:val="Normal"/>
    <w:rsid w:val="00BE6B17"/>
    <w:pPr>
      <w:jc w:val="center"/>
    </w:pPr>
  </w:style>
  <w:style w:type="paragraph" w:customStyle="1" w:styleId="HeadingIVX">
    <w:name w:val="Heading IVX"/>
    <w:basedOn w:val="HeadingLeft"/>
    <w:next w:val="Normal"/>
    <w:rsid w:val="00BE6B17"/>
    <w:pPr>
      <w:numPr>
        <w:numId w:val="42"/>
      </w:numPr>
    </w:pPr>
  </w:style>
  <w:style w:type="paragraph" w:customStyle="1" w:styleId="NB">
    <w:name w:val="NB"/>
    <w:basedOn w:val="PointManual"/>
    <w:rsid w:val="00BE6B17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BE6B17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customStyle="1" w:styleId="Annex">
    <w:name w:val="Annex"/>
    <w:basedOn w:val="Normal"/>
    <w:next w:val="Normal"/>
    <w:rsid w:val="00BE6B17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BE6B17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BE6B17"/>
    <w:pPr>
      <w:spacing w:after="480"/>
      <w:contextualSpacing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9D285-6939-4153-AA77-ECD3E0961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3</TotalTime>
  <Pages>4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7331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DQC</dc:creator>
  <cp:lastModifiedBy>VASILEVA Sokolova Veselina</cp:lastModifiedBy>
  <cp:revision>4</cp:revision>
  <cp:lastPrinted>2016-11-24T09:56:00Z</cp:lastPrinted>
  <dcterms:created xsi:type="dcterms:W3CDTF">2016-11-24T13:04:00Z</dcterms:created>
  <dcterms:modified xsi:type="dcterms:W3CDTF">2016-11-24T13:08:00Z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3.7.7, Build 20151207</vt:lpwstr>
  </property>
  <property fmtid="{D5CDD505-2E9C-101B-9397-08002B2CF9AE}" pid="4" name="Last edited using">
    <vt:lpwstr>DocuWrite 3.8.2, Build 20161102</vt:lpwstr>
  </property>
</Properties>
</file>