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106" w:rsidRPr="00F150AA" w:rsidRDefault="00544814" w:rsidP="00F150AA">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781a662-c53d-4cb3-94a9-13e219edaf06_0" style="width:568.55pt;height:489.75pt">
            <v:imagedata r:id="rId9" o:title=""/>
          </v:shape>
        </w:pict>
      </w:r>
      <w:bookmarkEnd w:id="0"/>
    </w:p>
    <w:p w:rsidR="002962A7" w:rsidRPr="00692376" w:rsidRDefault="002962A7" w:rsidP="009E7B12">
      <w:pPr>
        <w:spacing w:before="360"/>
        <w:rPr>
          <w:b/>
          <w:bCs/>
        </w:rPr>
      </w:pPr>
      <w:r w:rsidRPr="00692376">
        <w:rPr>
          <w:b/>
          <w:bCs/>
        </w:rPr>
        <w:t>A.</w:t>
      </w:r>
      <w:r w:rsidRPr="00692376">
        <w:rPr>
          <w:b/>
          <w:bCs/>
        </w:rPr>
        <w:tab/>
      </w:r>
      <w:r w:rsidRPr="00692376">
        <w:rPr>
          <w:b/>
          <w:bCs/>
          <w:u w:val="single"/>
        </w:rPr>
        <w:t>ЧЕТВЪРТЪК, 8 ДЕКЕМВРИ 2016 г. (10,00 ч.)</w:t>
      </w:r>
    </w:p>
    <w:p w:rsidR="002962A7" w:rsidRPr="00692376" w:rsidRDefault="009E7B12" w:rsidP="002962A7">
      <w:pPr>
        <w:spacing w:before="240"/>
        <w:rPr>
          <w:b/>
          <w:u w:val="single"/>
        </w:rPr>
      </w:pPr>
      <w:r w:rsidRPr="00692376">
        <w:rPr>
          <w:b/>
          <w:u w:val="single"/>
        </w:rPr>
        <w:t>ПРАВОСЪДИЕ</w:t>
      </w:r>
    </w:p>
    <w:p w:rsidR="002962A7" w:rsidRPr="00692376" w:rsidRDefault="002962A7" w:rsidP="00F70268">
      <w:pPr>
        <w:pStyle w:val="PointManual"/>
        <w:spacing w:before="240"/>
      </w:pPr>
      <w:r w:rsidRPr="00692376">
        <w:t>–</w:t>
      </w:r>
      <w:r w:rsidRPr="00692376">
        <w:tab/>
        <w:t>Приемане на дневния ред</w:t>
      </w:r>
    </w:p>
    <w:p w:rsidR="002962A7" w:rsidRPr="00692376" w:rsidRDefault="002962A7" w:rsidP="002962A7">
      <w:pPr>
        <w:pStyle w:val="NormalCentered"/>
        <w:spacing w:before="360"/>
        <w:rPr>
          <w:b/>
          <w:bCs/>
          <w:i/>
          <w:u w:val="single"/>
        </w:rPr>
      </w:pPr>
      <w:r w:rsidRPr="00692376">
        <w:rPr>
          <w:b/>
          <w:bCs/>
          <w:u w:val="single"/>
        </w:rPr>
        <w:t>Обсъждания на законодателни актове</w:t>
      </w:r>
    </w:p>
    <w:p w:rsidR="002962A7" w:rsidRPr="00692376" w:rsidRDefault="002962A7" w:rsidP="002962A7">
      <w:pPr>
        <w:pStyle w:val="NormalCentered"/>
        <w:spacing w:before="0"/>
        <w:rPr>
          <w:b/>
          <w:bCs/>
          <w:i/>
        </w:rPr>
      </w:pPr>
      <w:r w:rsidRPr="00692376">
        <w:rPr>
          <w:b/>
          <w:bCs/>
        </w:rPr>
        <w:t>(открито обсъждане съгласно член 16, параграф 8 от Договора за Европейския съюз)</w:t>
      </w:r>
    </w:p>
    <w:p w:rsidR="002962A7" w:rsidRPr="00692376" w:rsidRDefault="002962A7" w:rsidP="00F70268">
      <w:pPr>
        <w:pStyle w:val="PointManual"/>
        <w:spacing w:before="240"/>
      </w:pPr>
      <w:r w:rsidRPr="00692376">
        <w:t>–</w:t>
      </w:r>
      <w:r w:rsidRPr="00692376">
        <w:tab/>
        <w:t>(евентуално) Одобряване на списъка на точки А</w:t>
      </w:r>
    </w:p>
    <w:p w:rsidR="009E7B12" w:rsidRPr="00692376" w:rsidRDefault="00F52D35" w:rsidP="00F70268">
      <w:pPr>
        <w:pStyle w:val="PointManual"/>
        <w:spacing w:before="240"/>
      </w:pPr>
      <w:r w:rsidRPr="00692376">
        <w:br w:type="page"/>
      </w:r>
      <w:r w:rsidRPr="00692376">
        <w:rPr>
          <w:b/>
          <w:bCs/>
          <w:color w:val="0000FF"/>
        </w:rPr>
        <w:lastRenderedPageBreak/>
        <w:t>–</w:t>
      </w:r>
      <w:r w:rsidRPr="00692376">
        <w:rPr>
          <w:b/>
          <w:bCs/>
          <w:color w:val="0000FF"/>
        </w:rPr>
        <w:tab/>
      </w:r>
      <w:r w:rsidRPr="00692376">
        <w:rPr>
          <w:b/>
          <w:bCs/>
        </w:rPr>
        <w:t xml:space="preserve">Европейска прокуратура </w:t>
      </w:r>
      <w:r w:rsidRPr="00692376">
        <w:t>: Предложение за регламент на Съвета за създаване на Европейска прокуратура</w:t>
      </w:r>
    </w:p>
    <w:p w:rsidR="009E7B12" w:rsidRPr="00692376" w:rsidRDefault="00017E39" w:rsidP="00D156A0">
      <w:pPr>
        <w:pStyle w:val="DashEqual1"/>
      </w:pPr>
      <w:r w:rsidRPr="00692376">
        <w:t>Общ подход</w:t>
      </w:r>
    </w:p>
    <w:p w:rsidR="009E7B12" w:rsidRPr="00692376" w:rsidRDefault="009E7B12" w:rsidP="00F70268">
      <w:pPr>
        <w:pStyle w:val="PointManual"/>
        <w:spacing w:before="240"/>
        <w:rPr>
          <w:b/>
          <w:bCs/>
        </w:rPr>
      </w:pPr>
      <w:r w:rsidRPr="00692376">
        <w:rPr>
          <w:i/>
          <w:iCs/>
        </w:rPr>
        <w:t>–</w:t>
      </w:r>
      <w:r w:rsidRPr="00692376">
        <w:rPr>
          <w:i/>
          <w:iCs/>
        </w:rPr>
        <w:tab/>
      </w:r>
      <w:r w:rsidRPr="00692376">
        <w:rPr>
          <w:b/>
          <w:bCs/>
        </w:rPr>
        <w:t xml:space="preserve">Защита на финансовите интереси: </w:t>
      </w:r>
      <w:r w:rsidRPr="00692376">
        <w:t xml:space="preserve">Предложение за директива на Европейския парламент и на Съвета относно борбата с измамите, засягащи финансовите интереси на Съюза, по наказателноправен ред </w:t>
      </w:r>
      <w:r w:rsidRPr="00692376">
        <w:rPr>
          <w:b/>
          <w:bCs/>
        </w:rPr>
        <w:t>(първо четене)</w:t>
      </w:r>
    </w:p>
    <w:p w:rsidR="009E7B12" w:rsidRPr="00692376" w:rsidRDefault="009E7B12" w:rsidP="00D156A0">
      <w:pPr>
        <w:pStyle w:val="DashEqual1"/>
        <w:rPr>
          <w:rFonts w:asciiTheme="majorBidi" w:hAnsiTheme="majorBidi" w:cstheme="majorBidi"/>
        </w:rPr>
      </w:pPr>
      <w:r w:rsidRPr="00692376">
        <w:rPr>
          <w:rFonts w:asciiTheme="majorBidi" w:hAnsiTheme="majorBidi"/>
        </w:rPr>
        <w:t>Доклад за напредъка</w:t>
      </w:r>
    </w:p>
    <w:p w:rsidR="009E7B12" w:rsidRPr="00692376" w:rsidRDefault="009E7B12" w:rsidP="00F70268">
      <w:pPr>
        <w:pStyle w:val="PointManual"/>
        <w:spacing w:before="240"/>
      </w:pPr>
      <w:r w:rsidRPr="00692376">
        <w:t>–</w:t>
      </w:r>
      <w:r w:rsidRPr="00692376">
        <w:tab/>
      </w:r>
      <w:r w:rsidRPr="00692376">
        <w:rPr>
          <w:b/>
        </w:rPr>
        <w:t>Предоставяне на цифрово съдържание</w:t>
      </w:r>
      <w:r w:rsidRPr="00692376">
        <w:t xml:space="preserve">: Предложение за директива на Европейския парламент и на Съвета относно някои аспекти на договорите за предоставяне на цифрово съдържание </w:t>
      </w:r>
    </w:p>
    <w:p w:rsidR="009E7B12" w:rsidRPr="00692376" w:rsidRDefault="009E7B12" w:rsidP="009E7B12">
      <w:pPr>
        <w:ind w:left="567"/>
        <w:rPr>
          <w:rFonts w:asciiTheme="majorBidi" w:hAnsiTheme="majorBidi" w:cstheme="majorBidi"/>
          <w:b/>
        </w:rPr>
      </w:pPr>
      <w:r w:rsidRPr="00692376">
        <w:rPr>
          <w:rFonts w:asciiTheme="majorBidi" w:hAnsiTheme="majorBidi"/>
          <w:b/>
        </w:rPr>
        <w:t>(първо четене)</w:t>
      </w:r>
    </w:p>
    <w:p w:rsidR="009E7B12" w:rsidRPr="00692376" w:rsidRDefault="009E7B12" w:rsidP="00D156A0">
      <w:pPr>
        <w:pStyle w:val="DashEqual1"/>
        <w:rPr>
          <w:rFonts w:asciiTheme="majorBidi" w:hAnsiTheme="majorBidi" w:cstheme="majorBidi"/>
          <w:bCs/>
        </w:rPr>
      </w:pPr>
      <w:r w:rsidRPr="00692376">
        <w:rPr>
          <w:rFonts w:asciiTheme="majorBidi" w:hAnsiTheme="majorBidi"/>
          <w:bCs/>
        </w:rPr>
        <w:t>Ориентационен дебат</w:t>
      </w:r>
    </w:p>
    <w:p w:rsidR="009E7B12" w:rsidRPr="00692376" w:rsidRDefault="009E7B12" w:rsidP="004F3E19">
      <w:pPr>
        <w:pStyle w:val="PointManual"/>
        <w:spacing w:before="240"/>
      </w:pPr>
      <w:r w:rsidRPr="00692376">
        <w:t>–</w:t>
      </w:r>
      <w:r w:rsidRPr="00692376">
        <w:tab/>
      </w:r>
      <w:r w:rsidRPr="00692376">
        <w:rPr>
          <w:b/>
          <w:bCs/>
        </w:rPr>
        <w:t>Други въпроси</w:t>
      </w:r>
    </w:p>
    <w:p w:rsidR="001F75A2" w:rsidRPr="00692376" w:rsidRDefault="009E7B12" w:rsidP="00D156A0">
      <w:pPr>
        <w:pStyle w:val="DashEqual1"/>
        <w:rPr>
          <w:rFonts w:asciiTheme="majorBidi" w:hAnsiTheme="majorBidi" w:cstheme="majorBidi"/>
        </w:rPr>
      </w:pPr>
      <w:r w:rsidRPr="00692376">
        <w:rPr>
          <w:rFonts w:asciiTheme="majorBidi" w:hAnsiTheme="majorBidi"/>
        </w:rPr>
        <w:t>Информация от председателството относно текущи законодателни предложения</w:t>
      </w:r>
    </w:p>
    <w:p w:rsidR="002962A7" w:rsidRPr="00692376" w:rsidRDefault="002962A7" w:rsidP="002962A7">
      <w:pPr>
        <w:pStyle w:val="NormalCentered"/>
        <w:spacing w:before="360"/>
        <w:rPr>
          <w:b/>
          <w:bCs/>
          <w:u w:val="single"/>
        </w:rPr>
      </w:pPr>
      <w:r w:rsidRPr="00692376">
        <w:rPr>
          <w:b/>
          <w:bCs/>
          <w:u w:val="single"/>
        </w:rPr>
        <w:t>Незаконодателни дейности</w:t>
      </w:r>
    </w:p>
    <w:p w:rsidR="002962A7" w:rsidRPr="00692376" w:rsidRDefault="002962A7" w:rsidP="00F70268">
      <w:pPr>
        <w:pStyle w:val="PointManual"/>
        <w:spacing w:before="240"/>
      </w:pPr>
      <w:r w:rsidRPr="00692376">
        <w:t>–</w:t>
      </w:r>
      <w:r w:rsidRPr="00692376">
        <w:tab/>
        <w:t>Одобряване на списъка на точки А</w:t>
      </w:r>
    </w:p>
    <w:p w:rsidR="009E7B12" w:rsidRPr="00692376" w:rsidRDefault="00D156A0" w:rsidP="00F70268">
      <w:pPr>
        <w:pStyle w:val="PointManual"/>
        <w:spacing w:before="240"/>
      </w:pPr>
      <w:r w:rsidRPr="00692376">
        <w:t>–</w:t>
      </w:r>
      <w:r w:rsidRPr="00692376">
        <w:tab/>
      </w:r>
      <w:r w:rsidRPr="00692376">
        <w:rPr>
          <w:b/>
          <w:bCs/>
        </w:rPr>
        <w:t>Наказателно правосъдие по отношение на киберпространството</w:t>
      </w:r>
    </w:p>
    <w:p w:rsidR="009E7B12" w:rsidRPr="00692376" w:rsidRDefault="009E7B12" w:rsidP="00D156A0">
      <w:pPr>
        <w:pStyle w:val="PointManual1"/>
        <w:spacing w:before="120"/>
      </w:pPr>
      <w:r w:rsidRPr="00692376">
        <w:t>а)</w:t>
      </w:r>
      <w:r w:rsidRPr="00692376">
        <w:tab/>
      </w:r>
      <w:r w:rsidRPr="00692376">
        <w:rPr>
          <w:b/>
          <w:bCs/>
        </w:rPr>
        <w:t>Електронни доказателства</w:t>
      </w:r>
      <w:r w:rsidRPr="00692376">
        <w:t>: Изпълнение на заключенията на Съвета относно повишаване на ефективността на наказателното правосъдие в киберпространството</w:t>
      </w:r>
    </w:p>
    <w:p w:rsidR="009E7B12" w:rsidRPr="00692376" w:rsidRDefault="009E7B12" w:rsidP="00D156A0">
      <w:pPr>
        <w:pStyle w:val="DashEqual2"/>
      </w:pPr>
      <w:r w:rsidRPr="00692376">
        <w:t>Доклад на Комисията за напредъка</w:t>
      </w:r>
    </w:p>
    <w:p w:rsidR="009E7B12" w:rsidRPr="00692376" w:rsidRDefault="009E7B12" w:rsidP="00583E24">
      <w:pPr>
        <w:pStyle w:val="PointManual1"/>
        <w:spacing w:before="120"/>
      </w:pPr>
      <w:r w:rsidRPr="00692376">
        <w:t>б)</w:t>
      </w:r>
      <w:r w:rsidRPr="00692376">
        <w:tab/>
      </w:r>
      <w:r w:rsidRPr="00692376">
        <w:rPr>
          <w:b/>
          <w:bCs/>
        </w:rPr>
        <w:t>Криптиране</w:t>
      </w:r>
      <w:r w:rsidRPr="00692376">
        <w:t>: Предизвикателства пред наказателното правосъдие във връзка с използването на криптиране - следващи стъпки</w:t>
      </w:r>
    </w:p>
    <w:p w:rsidR="009E7B12" w:rsidRPr="00692376" w:rsidRDefault="004F3E19" w:rsidP="00D156A0">
      <w:pPr>
        <w:pStyle w:val="DashEqual2"/>
      </w:pPr>
      <w:r w:rsidRPr="00692376">
        <w:t>Доклад на председателството за напредъка</w:t>
      </w:r>
    </w:p>
    <w:p w:rsidR="009E7B12" w:rsidRPr="00692376" w:rsidRDefault="009E7B12" w:rsidP="00F70268">
      <w:pPr>
        <w:pStyle w:val="PointManual"/>
        <w:spacing w:before="240"/>
        <w:rPr>
          <w:rFonts w:asciiTheme="majorBidi" w:hAnsiTheme="majorBidi" w:cstheme="majorBidi"/>
        </w:rPr>
      </w:pPr>
      <w:r w:rsidRPr="00692376">
        <w:rPr>
          <w:rFonts w:asciiTheme="majorBidi" w:hAnsiTheme="majorBidi"/>
        </w:rPr>
        <w:t>–</w:t>
      </w:r>
      <w:r w:rsidRPr="00692376">
        <w:rPr>
          <w:rFonts w:asciiTheme="majorBidi" w:hAnsiTheme="majorBidi"/>
        </w:rPr>
        <w:tab/>
      </w:r>
      <w:r w:rsidRPr="00692376">
        <w:rPr>
          <w:rFonts w:asciiTheme="majorBidi" w:hAnsiTheme="majorBidi"/>
          <w:b/>
          <w:bCs/>
        </w:rPr>
        <w:t>Други въпроси</w:t>
      </w:r>
    </w:p>
    <w:p w:rsidR="009E7B12" w:rsidRPr="00692376" w:rsidRDefault="009E7B12" w:rsidP="004F3E19">
      <w:pPr>
        <w:pStyle w:val="PointManual1"/>
        <w:spacing w:before="120"/>
      </w:pPr>
      <w:r w:rsidRPr="00692376">
        <w:rPr>
          <w:rFonts w:asciiTheme="majorBidi" w:hAnsiTheme="majorBidi"/>
        </w:rPr>
        <w:t>а)</w:t>
      </w:r>
      <w:r w:rsidRPr="00692376">
        <w:rPr>
          <w:rFonts w:asciiTheme="majorBidi" w:hAnsiTheme="majorBidi"/>
        </w:rPr>
        <w:tab/>
      </w:r>
      <w:r w:rsidRPr="00692376">
        <w:t>Среща на министрите на правосъдието и вътрешните работи от ЕС и САЩ на 4 и 5 декември 2016 г.</w:t>
      </w:r>
    </w:p>
    <w:p w:rsidR="009E7B12" w:rsidRPr="00692376" w:rsidRDefault="009E7B12" w:rsidP="00D156A0">
      <w:pPr>
        <w:pStyle w:val="DashEqual2"/>
      </w:pPr>
      <w:r w:rsidRPr="00692376">
        <w:t>Информация от председателството</w:t>
      </w:r>
    </w:p>
    <w:p w:rsidR="009E7B12" w:rsidRPr="00692376" w:rsidRDefault="009E7B12" w:rsidP="00DC2117">
      <w:pPr>
        <w:pStyle w:val="PointManual1"/>
        <w:spacing w:before="120"/>
      </w:pPr>
      <w:r w:rsidRPr="00692376">
        <w:t>б)</w:t>
      </w:r>
      <w:r w:rsidRPr="00692376">
        <w:tab/>
        <w:t>Конференция на равнище министри от ЕС и Западните Балкани по въпросите на правосъдието и вътрешните работи,</w:t>
      </w:r>
      <w:r w:rsidRPr="00692376">
        <w:br/>
        <w:t>(Brdo Pri Kranju, Словения, 15 и 16 декември 2016 г.)</w:t>
      </w:r>
    </w:p>
    <w:p w:rsidR="009E7B12" w:rsidRPr="00692376" w:rsidRDefault="009E7B12" w:rsidP="00D156A0">
      <w:pPr>
        <w:pStyle w:val="DashEqual2"/>
      </w:pPr>
      <w:r w:rsidRPr="00692376">
        <w:t>Информация от председателството</w:t>
      </w:r>
    </w:p>
    <w:p w:rsidR="004F3E19" w:rsidRPr="00692376" w:rsidRDefault="004F3E19" w:rsidP="004F3E19">
      <w:pPr>
        <w:pStyle w:val="PointManual1"/>
        <w:spacing w:before="120"/>
      </w:pPr>
      <w:r w:rsidRPr="00692376">
        <w:t>в)</w:t>
      </w:r>
      <w:r w:rsidRPr="00692376">
        <w:tab/>
        <w:t>Работна програма на предстоящото председателство</w:t>
      </w:r>
    </w:p>
    <w:p w:rsidR="004F3E19" w:rsidRPr="00692376" w:rsidRDefault="004F3E19" w:rsidP="004F3E19">
      <w:pPr>
        <w:pStyle w:val="DashEqual2"/>
      </w:pPr>
      <w:r w:rsidRPr="00692376">
        <w:t>Представяне от делегацията на Малта</w:t>
      </w:r>
    </w:p>
    <w:p w:rsidR="002962A7" w:rsidRPr="00692376" w:rsidRDefault="002962A7" w:rsidP="0001587A">
      <w:pPr>
        <w:spacing w:line="240" w:lineRule="exact"/>
        <w:rPr>
          <w:b/>
          <w:bCs/>
          <w:u w:val="single"/>
        </w:rPr>
      </w:pPr>
      <w:r w:rsidRPr="00692376">
        <w:br w:type="page"/>
      </w:r>
      <w:r w:rsidRPr="00692376">
        <w:rPr>
          <w:b/>
          <w:bCs/>
        </w:rPr>
        <w:lastRenderedPageBreak/>
        <w:t>Б.</w:t>
      </w:r>
      <w:r w:rsidRPr="00692376">
        <w:rPr>
          <w:b/>
          <w:bCs/>
        </w:rPr>
        <w:tab/>
      </w:r>
      <w:r w:rsidRPr="00692376">
        <w:rPr>
          <w:b/>
          <w:bCs/>
          <w:u w:val="single"/>
        </w:rPr>
        <w:t>ПЕТЪК, 9 ДЕКЕМВРИ 2016 г. (9,30 ч.)</w:t>
      </w:r>
    </w:p>
    <w:p w:rsidR="002962A7" w:rsidRPr="00692376" w:rsidRDefault="009E7B12" w:rsidP="0001587A">
      <w:pPr>
        <w:spacing w:before="240" w:line="240" w:lineRule="exact"/>
        <w:rPr>
          <w:b/>
          <w:u w:val="single"/>
        </w:rPr>
      </w:pPr>
      <w:r w:rsidRPr="00692376">
        <w:rPr>
          <w:b/>
          <w:u w:val="single"/>
        </w:rPr>
        <w:t xml:space="preserve">ВЪТРЕШНИ РАБОТИ </w:t>
      </w:r>
    </w:p>
    <w:p w:rsidR="002962A7" w:rsidRPr="00692376" w:rsidRDefault="002962A7" w:rsidP="0001587A">
      <w:pPr>
        <w:pStyle w:val="NormalCentered"/>
        <w:spacing w:before="360" w:line="240" w:lineRule="exact"/>
        <w:rPr>
          <w:b/>
          <w:bCs/>
          <w:i/>
          <w:u w:val="single"/>
        </w:rPr>
      </w:pPr>
      <w:r w:rsidRPr="00692376">
        <w:rPr>
          <w:b/>
          <w:bCs/>
          <w:u w:val="single"/>
        </w:rPr>
        <w:t>Обсъждания на законодателни актове</w:t>
      </w:r>
    </w:p>
    <w:p w:rsidR="002962A7" w:rsidRPr="00692376" w:rsidRDefault="002962A7" w:rsidP="0001587A">
      <w:pPr>
        <w:pStyle w:val="NormalCentered"/>
        <w:spacing w:before="0" w:line="240" w:lineRule="exact"/>
        <w:rPr>
          <w:b/>
          <w:bCs/>
        </w:rPr>
      </w:pPr>
      <w:r w:rsidRPr="00692376">
        <w:rPr>
          <w:b/>
          <w:bCs/>
        </w:rPr>
        <w:t>(открито обсъждане съгласно член 16, параграф 8 от Договора за Европейския съюз)</w:t>
      </w:r>
    </w:p>
    <w:p w:rsidR="009E7B12" w:rsidRPr="00692376" w:rsidRDefault="009E7B12" w:rsidP="0001587A">
      <w:pPr>
        <w:pStyle w:val="PointManual"/>
        <w:spacing w:before="240" w:line="240" w:lineRule="exact"/>
        <w:rPr>
          <w:rFonts w:eastAsia="Arial Unicode MS"/>
        </w:rPr>
      </w:pPr>
      <w:r w:rsidRPr="00692376">
        <w:t>–</w:t>
      </w:r>
      <w:r w:rsidRPr="00692376">
        <w:tab/>
      </w:r>
      <w:r w:rsidRPr="00692376">
        <w:rPr>
          <w:b/>
          <w:bCs/>
        </w:rPr>
        <w:t>Реформа на общата европейска система за убежище и презаселване</w:t>
      </w:r>
    </w:p>
    <w:p w:rsidR="009E7B12" w:rsidRPr="00692376" w:rsidRDefault="009E7B12" w:rsidP="0001587A">
      <w:pPr>
        <w:pStyle w:val="PointManual1"/>
        <w:spacing w:before="120" w:line="240" w:lineRule="exact"/>
        <w:rPr>
          <w:b/>
          <w:bCs/>
        </w:rPr>
      </w:pPr>
      <w:r w:rsidRPr="00692376">
        <w:t>а)</w:t>
      </w:r>
      <w:r w:rsidRPr="00692376">
        <w:tab/>
      </w:r>
      <w:r w:rsidRPr="00692376">
        <w:rPr>
          <w:b/>
          <w:bCs/>
        </w:rPr>
        <w:t>Дъблин</w:t>
      </w:r>
      <w:r w:rsidRPr="00692376">
        <w:t xml:space="preserve">: Предложение за регламент на Европейския парламент и на Съвета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 </w:t>
      </w:r>
      <w:r w:rsidRPr="00692376">
        <w:rPr>
          <w:b/>
          <w:bCs/>
        </w:rPr>
        <w:t>(първо четене)</w:t>
      </w:r>
      <w:r w:rsidRPr="00692376">
        <w:cr/>
      </w:r>
      <w:r w:rsidRPr="00692376">
        <w:br/>
      </w:r>
    </w:p>
    <w:p w:rsidR="004F3E19" w:rsidRPr="00692376" w:rsidRDefault="009E7B12" w:rsidP="0001587A">
      <w:pPr>
        <w:pStyle w:val="PointManual1"/>
        <w:spacing w:line="240" w:lineRule="exact"/>
        <w:rPr>
          <w:b/>
          <w:bCs/>
        </w:rPr>
      </w:pPr>
      <w:r w:rsidRPr="00692376">
        <w:t>б)</w:t>
      </w:r>
      <w:r w:rsidRPr="00692376">
        <w:tab/>
      </w:r>
      <w:r w:rsidRPr="00692376">
        <w:rPr>
          <w:b/>
          <w:bCs/>
        </w:rPr>
        <w:t>Условия за приемане:</w:t>
      </w:r>
      <w:r w:rsidRPr="00692376">
        <w:t xml:space="preserve"> Предложение за директива на Европейския парламент и на Съвета за определяне на стандарти относно приемането на кандидати за международна закрила (преработен текст) </w:t>
      </w:r>
      <w:r w:rsidRPr="00692376">
        <w:rPr>
          <w:b/>
          <w:bCs/>
        </w:rPr>
        <w:t xml:space="preserve">(първо четене) </w:t>
      </w:r>
    </w:p>
    <w:p w:rsidR="009E7B12" w:rsidRPr="00692376" w:rsidRDefault="009E7B12" w:rsidP="0001587A">
      <w:pPr>
        <w:pStyle w:val="PointManual1"/>
        <w:spacing w:line="240" w:lineRule="exact"/>
      </w:pPr>
      <w:r w:rsidRPr="00692376">
        <w:t>в)</w:t>
      </w:r>
      <w:r w:rsidRPr="00692376">
        <w:tab/>
      </w:r>
      <w:r w:rsidRPr="00692376">
        <w:rPr>
          <w:b/>
          <w:bCs/>
        </w:rPr>
        <w:t>Условия за предоставяне на международна закрила:</w:t>
      </w:r>
      <w:r w:rsidRPr="00692376">
        <w:t xml:space="preserve"> Предложение за регламент на Европейския парламент и на Съвета относно стандартите за условията, на които трябва да отговарят гражданите на трети държави или лицата без гражданство, за да може да им бъде предоставена международна закрила, за единен статут на бежанците или на лицата, които отговарят на условията за субсидиарна закрила, и за съдържанието на предоставената закрила и за изменение на Директива 2003/109/ЕО на Съвета от 25 ноември 2003 г. относно статута на дългосрочно пребиваващи граждани от трети страни </w:t>
      </w:r>
      <w:r w:rsidRPr="00692376">
        <w:rPr>
          <w:b/>
          <w:bCs/>
        </w:rPr>
        <w:t>(първо четене)</w:t>
      </w:r>
      <w:r w:rsidRPr="00692376">
        <w:cr/>
      </w:r>
      <w:r w:rsidRPr="00692376">
        <w:br/>
      </w:r>
    </w:p>
    <w:p w:rsidR="009E7B12" w:rsidRPr="00692376" w:rsidRDefault="009E7B12" w:rsidP="0001587A">
      <w:pPr>
        <w:pStyle w:val="PointManual1"/>
        <w:spacing w:line="240" w:lineRule="exact"/>
      </w:pPr>
      <w:r w:rsidRPr="00692376">
        <w:t>г)</w:t>
      </w:r>
      <w:r w:rsidRPr="00692376">
        <w:tab/>
      </w:r>
      <w:r w:rsidRPr="00692376">
        <w:rPr>
          <w:b/>
          <w:bCs/>
        </w:rPr>
        <w:t>Процедура:</w:t>
      </w:r>
      <w:r w:rsidRPr="00692376">
        <w:t xml:space="preserve"> Предложение за регламент на Европейския парламент и на Съвета за установяване на обща процедура за международна закрила в Съюза и за отмяна на Директива 2013/32/ЕС </w:t>
      </w:r>
      <w:r w:rsidRPr="00692376">
        <w:rPr>
          <w:b/>
          <w:bCs/>
        </w:rPr>
        <w:t>(първо четене)</w:t>
      </w:r>
      <w:r w:rsidRPr="00692376">
        <w:cr/>
      </w:r>
      <w:r w:rsidRPr="00692376">
        <w:br/>
      </w:r>
    </w:p>
    <w:p w:rsidR="009E7B12" w:rsidRPr="00692376" w:rsidRDefault="009E7B12" w:rsidP="0001587A">
      <w:pPr>
        <w:pStyle w:val="PointManual1"/>
        <w:spacing w:line="240" w:lineRule="exact"/>
      </w:pPr>
      <w:r w:rsidRPr="00692376">
        <w:t>д)</w:t>
      </w:r>
      <w:r w:rsidRPr="00692376">
        <w:tab/>
      </w:r>
      <w:r w:rsidRPr="00692376">
        <w:rPr>
          <w:b/>
          <w:bCs/>
        </w:rPr>
        <w:t>Рамка по отношение на презаселването</w:t>
      </w:r>
      <w:r w:rsidRPr="00692376">
        <w:t xml:space="preserve">: Предложение за регламент на Европейския парламент и на Съвета за установяване на рамка на ЕС по отношение на презаселването и за изменение на Регламент (ЕС) № 516/2014 на Европейския парламент и на Съвета </w:t>
      </w:r>
      <w:r w:rsidRPr="00692376">
        <w:rPr>
          <w:b/>
          <w:bCs/>
        </w:rPr>
        <w:t>(първо четене)</w:t>
      </w:r>
    </w:p>
    <w:p w:rsidR="009E7B12" w:rsidRPr="00692376" w:rsidRDefault="009E7B12" w:rsidP="0001587A">
      <w:pPr>
        <w:pStyle w:val="DashEqual1"/>
        <w:spacing w:line="240" w:lineRule="exact"/>
      </w:pPr>
      <w:r w:rsidRPr="00692376">
        <w:t>Доклад за напредъка</w:t>
      </w:r>
    </w:p>
    <w:p w:rsidR="009E7B12" w:rsidRPr="00692376" w:rsidRDefault="009E7B12" w:rsidP="0001587A">
      <w:pPr>
        <w:pStyle w:val="PointManual1"/>
        <w:spacing w:before="120" w:line="240" w:lineRule="exact"/>
        <w:rPr>
          <w:rFonts w:eastAsia="Arial Unicode MS"/>
        </w:rPr>
      </w:pPr>
      <w:r w:rsidRPr="00692376">
        <w:t>е)</w:t>
      </w:r>
      <w:r w:rsidRPr="00692376">
        <w:rPr>
          <w:b/>
          <w:bCs/>
        </w:rPr>
        <w:tab/>
        <w:t>Евродак</w:t>
      </w:r>
      <w:r w:rsidRPr="00692376">
        <w:t xml:space="preserve">: Предложение за регламент на Европейския парламент и на Съвета за създаване на система Евродак за сравняване на дактилоскопични отпечатъци с оглед ефективното прилагане на [Регламент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за установяване на самоличността на незаконно пребиваващ гражданин на трета държава или на лице без гражданство и за искане на сравнения с данните в Евродак от правоприлагащите органи на държавите членки за целите на правоприлагането (преработен текст) </w:t>
      </w:r>
      <w:r w:rsidRPr="00692376">
        <w:rPr>
          <w:b/>
          <w:bCs/>
        </w:rPr>
        <w:t>(първо четене)</w:t>
      </w:r>
      <w:r w:rsidRPr="00692376">
        <w:cr/>
      </w:r>
      <w:r w:rsidRPr="00692376">
        <w:br/>
      </w:r>
    </w:p>
    <w:p w:rsidR="000977B0" w:rsidRPr="00692376" w:rsidRDefault="000977B0" w:rsidP="0001587A">
      <w:pPr>
        <w:pStyle w:val="DashEqual1"/>
        <w:spacing w:line="240" w:lineRule="exact"/>
      </w:pPr>
      <w:r w:rsidRPr="00692376">
        <w:t>Частичен общ подход/доклад за напредъка</w:t>
      </w:r>
    </w:p>
    <w:p w:rsidR="009E7B12" w:rsidRPr="00692376" w:rsidRDefault="009E7B12" w:rsidP="0001587A">
      <w:pPr>
        <w:pStyle w:val="PointManual1"/>
        <w:spacing w:before="120" w:line="240" w:lineRule="exact"/>
        <w:rPr>
          <w:rFonts w:eastAsia="Arial Unicode MS"/>
        </w:rPr>
      </w:pPr>
      <w:r w:rsidRPr="00692376">
        <w:t>ж)</w:t>
      </w:r>
      <w:r w:rsidRPr="00692376">
        <w:rPr>
          <w:b/>
          <w:bCs/>
        </w:rPr>
        <w:tab/>
        <w:t>Европейска служба за подкрепа в областта на убежището: Предложение</w:t>
      </w:r>
      <w:r w:rsidRPr="00692376">
        <w:t xml:space="preserve"> за регламент на Европейския парламент и на Съвета относно Европейска служба за подкрепа в областта на убежището и за отмяна на Регламент (ЕС) 439/2010</w:t>
      </w:r>
    </w:p>
    <w:p w:rsidR="004F3E19" w:rsidRPr="00692376" w:rsidRDefault="009E7B12" w:rsidP="0001587A">
      <w:pPr>
        <w:pStyle w:val="Text2"/>
        <w:spacing w:line="240" w:lineRule="exact"/>
        <w:rPr>
          <w:rFonts w:eastAsia="Arial Unicode MS"/>
          <w:b/>
          <w:bCs/>
        </w:rPr>
      </w:pPr>
      <w:r w:rsidRPr="00692376">
        <w:rPr>
          <w:b/>
          <w:bCs/>
        </w:rPr>
        <w:t>(първо четене)</w:t>
      </w:r>
    </w:p>
    <w:p w:rsidR="009E7B12" w:rsidRPr="00692376" w:rsidRDefault="009E7B12" w:rsidP="0001587A">
      <w:pPr>
        <w:pStyle w:val="DashEqual1"/>
        <w:spacing w:line="240" w:lineRule="exact"/>
      </w:pPr>
      <w:r w:rsidRPr="00692376">
        <w:t>Доклад за напредъка</w:t>
      </w:r>
    </w:p>
    <w:p w:rsidR="009E7B12" w:rsidRPr="00692376" w:rsidRDefault="00F70268" w:rsidP="00F70268">
      <w:pPr>
        <w:pStyle w:val="PointManual"/>
        <w:spacing w:before="240"/>
      </w:pPr>
      <w:r w:rsidRPr="00692376">
        <w:br w:type="page"/>
      </w:r>
      <w:r w:rsidRPr="00692376">
        <w:rPr>
          <w:color w:val="365F91" w:themeColor="accent1" w:themeShade="BF"/>
        </w:rPr>
        <w:lastRenderedPageBreak/>
        <w:t>–</w:t>
      </w:r>
      <w:r w:rsidRPr="00692376">
        <w:rPr>
          <w:color w:val="365F91" w:themeColor="accent1" w:themeShade="BF"/>
        </w:rPr>
        <w:tab/>
      </w:r>
      <w:r w:rsidRPr="00692376">
        <w:rPr>
          <w:b/>
          <w:bCs/>
        </w:rPr>
        <w:t>Система за влизане/излизане (EES)</w:t>
      </w:r>
    </w:p>
    <w:p w:rsidR="009E7B12" w:rsidRPr="00692376" w:rsidRDefault="00B31F41" w:rsidP="00017E39">
      <w:pPr>
        <w:pStyle w:val="PointManual1"/>
        <w:rPr>
          <w:rFonts w:asciiTheme="majorBidi" w:hAnsiTheme="majorBidi" w:cstheme="majorBidi"/>
        </w:rPr>
      </w:pPr>
      <w:r w:rsidRPr="00692376">
        <w:t>а)</w:t>
      </w:r>
      <w:r w:rsidRPr="00692376">
        <w:tab/>
        <w:t xml:space="preserve">Предложение за регламент на Европейския парламент и на Съвета за създаване на система за влизане/излизане (EES) с цел регистриране на данните относно влизането и излизането и данните за отказ за влизане на граждани на трети държави, преминаващи външните граници на държавите—членки на Европейския съюз, за определяне на условията за достъп до системата за влизане/излизане за целите на правоприлагането и за изменение на Регламент (ЕО) № 767/2008 и на Регламент (ЕС) № 1077/2011 </w:t>
      </w:r>
      <w:r w:rsidRPr="00692376">
        <w:rPr>
          <w:b/>
          <w:bCs/>
        </w:rPr>
        <w:t>(първо четене)</w:t>
      </w:r>
      <w:r w:rsidRPr="00692376">
        <w:rPr>
          <w:rFonts w:asciiTheme="majorBidi" w:hAnsiTheme="majorBidi"/>
        </w:rPr>
        <w:t xml:space="preserve"> </w:t>
      </w:r>
    </w:p>
    <w:p w:rsidR="009E7B12" w:rsidRPr="00692376" w:rsidRDefault="00B31F41" w:rsidP="00017E39">
      <w:pPr>
        <w:pStyle w:val="PointManual1"/>
      </w:pPr>
      <w:r w:rsidRPr="00692376">
        <w:t>б)</w:t>
      </w:r>
      <w:r w:rsidRPr="00692376">
        <w:tab/>
        <w:t xml:space="preserve">Предложение за регламент на Европейския парламент и на Съвета за изменение на Регламент (ЕС) № 2016/399 във връзка с използването на системата за влизане/излизане </w:t>
      </w:r>
      <w:r w:rsidRPr="00692376">
        <w:rPr>
          <w:rFonts w:asciiTheme="majorBidi" w:hAnsiTheme="majorBidi"/>
          <w:b/>
          <w:bCs/>
        </w:rPr>
        <w:t>(първо четене)</w:t>
      </w:r>
    </w:p>
    <w:p w:rsidR="009E7B12" w:rsidRPr="00692376" w:rsidRDefault="009E7B12" w:rsidP="00F70268">
      <w:pPr>
        <w:pStyle w:val="DashEqual1"/>
      </w:pPr>
      <w:r w:rsidRPr="00692376">
        <w:t>Доклад за напредъка</w:t>
      </w:r>
    </w:p>
    <w:p w:rsidR="004F3E19" w:rsidRPr="00692376" w:rsidRDefault="004F3E19" w:rsidP="004F3E19">
      <w:pPr>
        <w:pStyle w:val="PointManual"/>
        <w:spacing w:before="240"/>
      </w:pPr>
      <w:r w:rsidRPr="00692376">
        <w:t>–</w:t>
      </w:r>
      <w:r w:rsidRPr="00692376">
        <w:tab/>
      </w:r>
      <w:r w:rsidRPr="00692376">
        <w:rPr>
          <w:b/>
          <w:bCs/>
        </w:rPr>
        <w:t>Други въпроси</w:t>
      </w:r>
    </w:p>
    <w:p w:rsidR="004F3E19" w:rsidRPr="00692376" w:rsidRDefault="004F3E19" w:rsidP="004F3E19">
      <w:pPr>
        <w:pStyle w:val="PointManual1"/>
        <w:spacing w:before="120"/>
        <w:rPr>
          <w:iCs/>
        </w:rPr>
      </w:pPr>
      <w:r w:rsidRPr="00692376">
        <w:t>а)</w:t>
      </w:r>
      <w:r w:rsidRPr="00692376">
        <w:tab/>
        <w:t>Информация от председателството относно текущи законодателни предложения</w:t>
      </w:r>
    </w:p>
    <w:p w:rsidR="009E7B12" w:rsidRPr="00692376" w:rsidRDefault="004F3E19" w:rsidP="004F3E19">
      <w:pPr>
        <w:pStyle w:val="PointManual1"/>
        <w:spacing w:before="120"/>
      </w:pPr>
      <w:r w:rsidRPr="00692376">
        <w:t>б)</w:t>
      </w:r>
      <w:r w:rsidRPr="00692376">
        <w:tab/>
        <w:t>(евентуално)</w:t>
      </w:r>
      <w:r w:rsidRPr="00692376">
        <w:rPr>
          <w:b/>
          <w:bCs/>
        </w:rPr>
        <w:t xml:space="preserve"> ШИС II</w:t>
      </w:r>
      <w:r w:rsidRPr="00692376">
        <w:t xml:space="preserve"> </w:t>
      </w:r>
    </w:p>
    <w:p w:rsidR="009E7B12" w:rsidRPr="00692376" w:rsidRDefault="009E7B12" w:rsidP="00017E39">
      <w:pPr>
        <w:pStyle w:val="PointManual2"/>
      </w:pPr>
      <w:r w:rsidRPr="00692376">
        <w:t>i)</w:t>
      </w:r>
      <w:r w:rsidRPr="00692376">
        <w:tab/>
        <w:t xml:space="preserve">Предложение за регламент на Европейския парламент и на Съвета относно създаването, функционирането и използването на Шенгенската информационна система (ШИС) в областта на граничния контрол </w:t>
      </w:r>
      <w:r w:rsidRPr="00692376">
        <w:rPr>
          <w:b/>
          <w:bCs/>
        </w:rPr>
        <w:t>(първо четене)</w:t>
      </w:r>
    </w:p>
    <w:p w:rsidR="009E7B12" w:rsidRPr="00692376" w:rsidRDefault="009E7B12" w:rsidP="00017E39">
      <w:pPr>
        <w:pStyle w:val="PointManual2"/>
        <w:rPr>
          <w:b/>
          <w:bCs/>
        </w:rPr>
      </w:pPr>
      <w:r w:rsidRPr="00692376">
        <w:t>ii)</w:t>
      </w:r>
      <w:r w:rsidRPr="00692376">
        <w:tab/>
        <w:t xml:space="preserve">Предложение за регламент на Европейския парламент и на Съвета относно създаването, функционирането и използването на Шенгенската информационна система (ШИС) в областта на полицейското сътрудничество и на съдебното сътрудничество по наказателноправни въпроси </w:t>
      </w:r>
      <w:r w:rsidRPr="00692376">
        <w:rPr>
          <w:b/>
          <w:bCs/>
        </w:rPr>
        <w:t>(първо четене)</w:t>
      </w:r>
    </w:p>
    <w:p w:rsidR="0044630B" w:rsidRPr="00692376" w:rsidRDefault="0044630B" w:rsidP="00017E39">
      <w:pPr>
        <w:pStyle w:val="PointManual2"/>
      </w:pPr>
      <w:r w:rsidRPr="00692376">
        <w:t>iii)</w:t>
      </w:r>
      <w:r w:rsidRPr="00692376">
        <w:tab/>
        <w:t xml:space="preserve">Предложение за регламент на Европейския парламент и на Съвета относно използването на Шенгенската информационна система (ШИС) за връщането на незаконно пребиваващи граждани на трети държави </w:t>
      </w:r>
      <w:r w:rsidRPr="00692376">
        <w:rPr>
          <w:b/>
          <w:bCs/>
        </w:rPr>
        <w:t>(първо четене)</w:t>
      </w:r>
    </w:p>
    <w:p w:rsidR="009E7B12" w:rsidRPr="00692376" w:rsidRDefault="004F3E19" w:rsidP="004F3E19">
      <w:pPr>
        <w:pStyle w:val="DashEqual2"/>
      </w:pPr>
      <w:r w:rsidRPr="00692376">
        <w:t>Информация от Комисията</w:t>
      </w:r>
    </w:p>
    <w:p w:rsidR="002962A7" w:rsidRPr="00692376" w:rsidRDefault="002962A7" w:rsidP="002962A7">
      <w:pPr>
        <w:pStyle w:val="NormalCentered"/>
        <w:spacing w:before="360"/>
        <w:rPr>
          <w:b/>
          <w:bCs/>
          <w:u w:val="single"/>
        </w:rPr>
      </w:pPr>
      <w:r w:rsidRPr="00692376">
        <w:rPr>
          <w:b/>
          <w:bCs/>
          <w:u w:val="single"/>
        </w:rPr>
        <w:t>Незаконодателни дейности</w:t>
      </w:r>
    </w:p>
    <w:p w:rsidR="009E7B12" w:rsidRPr="00692376" w:rsidRDefault="009E7B12" w:rsidP="00F70268">
      <w:pPr>
        <w:pStyle w:val="PointManual"/>
        <w:spacing w:before="240"/>
      </w:pPr>
      <w:r w:rsidRPr="00692376">
        <w:t>–</w:t>
      </w:r>
      <w:r w:rsidRPr="00692376">
        <w:tab/>
      </w:r>
      <w:r w:rsidRPr="00692376">
        <w:rPr>
          <w:b/>
          <w:bCs/>
        </w:rPr>
        <w:t>Миграция</w:t>
      </w:r>
    </w:p>
    <w:p w:rsidR="009E7B12" w:rsidRPr="00692376" w:rsidRDefault="009E7B12" w:rsidP="00F70268">
      <w:pPr>
        <w:pStyle w:val="DashEqual1"/>
        <w:rPr>
          <w:rFonts w:asciiTheme="majorBidi" w:hAnsiTheme="majorBidi" w:cstheme="majorBidi"/>
        </w:rPr>
      </w:pPr>
      <w:r w:rsidRPr="00692376">
        <w:rPr>
          <w:rFonts w:asciiTheme="majorBidi" w:hAnsiTheme="majorBidi"/>
        </w:rPr>
        <w:t>Прилагане</w:t>
      </w:r>
      <w:r w:rsidRPr="00692376">
        <w:rPr>
          <w:rFonts w:asciiTheme="majorBidi" w:hAnsiTheme="majorBidi" w:cstheme="majorBidi"/>
          <w:b/>
          <w:vertAlign w:val="superscript"/>
        </w:rPr>
        <w:footnoteReference w:id="1"/>
      </w:r>
    </w:p>
    <w:p w:rsidR="004F3E19" w:rsidRPr="00692376" w:rsidRDefault="004F3E19" w:rsidP="004F3E19">
      <w:pPr>
        <w:pStyle w:val="PointManual"/>
        <w:rPr>
          <w:vertAlign w:val="superscript"/>
        </w:rPr>
      </w:pPr>
      <w:r w:rsidRPr="00692376">
        <w:t>–</w:t>
      </w:r>
      <w:r w:rsidRPr="00692376">
        <w:tab/>
      </w:r>
      <w:r w:rsidRPr="00692376">
        <w:rPr>
          <w:b/>
          <w:bCs/>
        </w:rPr>
        <w:t>Борба с тероризма и организираната престъпност</w:t>
      </w:r>
      <w:r w:rsidRPr="00692376">
        <w:t xml:space="preserve"> </w:t>
      </w:r>
      <w:r w:rsidRPr="00692376">
        <w:rPr>
          <w:b/>
          <w:bCs/>
          <w:vertAlign w:val="superscript"/>
        </w:rPr>
        <w:t>1</w:t>
      </w:r>
    </w:p>
    <w:p w:rsidR="004F3E19" w:rsidRPr="00692376" w:rsidRDefault="004F3E19" w:rsidP="00F91766">
      <w:pPr>
        <w:pStyle w:val="PointManual1"/>
        <w:spacing w:before="120"/>
      </w:pPr>
      <w:r w:rsidRPr="00692376">
        <w:t>а)</w:t>
      </w:r>
      <w:r w:rsidRPr="00692376">
        <w:tab/>
        <w:t>Сътрудничество между правоприлагащите органи и доставчиците на електронни съобщителни услуги</w:t>
      </w:r>
    </w:p>
    <w:p w:rsidR="004F3E19" w:rsidRPr="00692376" w:rsidRDefault="004F3E19" w:rsidP="004F3E19">
      <w:pPr>
        <w:pStyle w:val="DashEqual2"/>
      </w:pPr>
      <w:r w:rsidRPr="00692376">
        <w:t>Съвместно писмо от Германия и Франция</w:t>
      </w:r>
    </w:p>
    <w:p w:rsidR="004F3E19" w:rsidRPr="00692376" w:rsidRDefault="004F3E19" w:rsidP="004F3E19">
      <w:pPr>
        <w:pStyle w:val="PointManual1"/>
        <w:spacing w:before="120"/>
      </w:pPr>
      <w:r w:rsidRPr="00692376">
        <w:t>б)</w:t>
      </w:r>
      <w:r w:rsidRPr="00692376">
        <w:tab/>
        <w:t>Завърнали се чуждестранни бойци терористи</w:t>
      </w:r>
    </w:p>
    <w:p w:rsidR="004F3E19" w:rsidRPr="00692376" w:rsidRDefault="004F3E19" w:rsidP="004F3E19">
      <w:pPr>
        <w:pStyle w:val="DashEqual2"/>
      </w:pPr>
      <w:r w:rsidRPr="00692376">
        <w:t>Варианти на политиката</w:t>
      </w:r>
    </w:p>
    <w:p w:rsidR="009E7B12" w:rsidRPr="00692376" w:rsidRDefault="009E7B12" w:rsidP="00F70268">
      <w:pPr>
        <w:pStyle w:val="PointManual"/>
        <w:spacing w:before="240"/>
        <w:rPr>
          <w:b/>
          <w:bCs/>
          <w:color w:val="365F91"/>
        </w:rPr>
      </w:pPr>
      <w:r w:rsidRPr="00692376">
        <w:rPr>
          <w:b/>
          <w:bCs/>
        </w:rPr>
        <w:t>–</w:t>
      </w:r>
      <w:r w:rsidRPr="00692376">
        <w:rPr>
          <w:b/>
          <w:bCs/>
        </w:rPr>
        <w:tab/>
        <w:t xml:space="preserve">Управление на последиците от терористични атаки: </w:t>
      </w:r>
      <w:r w:rsidRPr="00692376">
        <w:t>укрепване на подготвеността и отговора от страна на гражданската защита и разширяване на сътрудничеството със службите за спешна помощ и службите за сигурност</w:t>
      </w:r>
      <w:r w:rsidRPr="00692376">
        <w:rPr>
          <w:b/>
          <w:bCs/>
        </w:rPr>
        <w:t xml:space="preserve"> </w:t>
      </w:r>
    </w:p>
    <w:p w:rsidR="009E7B12" w:rsidRPr="00692376" w:rsidRDefault="009E7B12" w:rsidP="00F70268">
      <w:pPr>
        <w:pStyle w:val="DashEqual1"/>
      </w:pPr>
      <w:r w:rsidRPr="00692376">
        <w:t>Обмен на мнения</w:t>
      </w:r>
    </w:p>
    <w:p w:rsidR="009E7B12" w:rsidRPr="00692376" w:rsidRDefault="00157D58" w:rsidP="0001587A">
      <w:pPr>
        <w:pStyle w:val="PointManual"/>
        <w:spacing w:before="240" w:line="240" w:lineRule="exact"/>
      </w:pPr>
      <w:r w:rsidRPr="00692376">
        <w:br w:type="page"/>
      </w:r>
      <w:r w:rsidRPr="00692376">
        <w:lastRenderedPageBreak/>
        <w:t>–</w:t>
      </w:r>
      <w:r w:rsidRPr="00692376">
        <w:tab/>
      </w:r>
      <w:r w:rsidRPr="00692376">
        <w:rPr>
          <w:b/>
          <w:bCs/>
        </w:rPr>
        <w:t>Други въпроси</w:t>
      </w:r>
    </w:p>
    <w:p w:rsidR="009E7B12" w:rsidRPr="00692376" w:rsidRDefault="009E7B12" w:rsidP="0001587A">
      <w:pPr>
        <w:pStyle w:val="PointManual1"/>
        <w:spacing w:before="120" w:line="240" w:lineRule="exact"/>
      </w:pPr>
      <w:r w:rsidRPr="00692376">
        <w:rPr>
          <w:rFonts w:asciiTheme="majorBidi" w:hAnsiTheme="majorBidi"/>
        </w:rPr>
        <w:t>а)</w:t>
      </w:r>
      <w:r w:rsidRPr="00692376">
        <w:rPr>
          <w:rFonts w:asciiTheme="majorBidi" w:hAnsiTheme="majorBidi"/>
        </w:rPr>
        <w:tab/>
      </w:r>
      <w:r w:rsidRPr="00692376">
        <w:t>Среща на министрите на правосъдието и вътрешните работи от ЕС и САЩ на 4 и 5 декември 2016 г.</w:t>
      </w:r>
    </w:p>
    <w:p w:rsidR="009E7B12" w:rsidRPr="00692376" w:rsidRDefault="009E7B12" w:rsidP="0001587A">
      <w:pPr>
        <w:pStyle w:val="DashEqual2"/>
        <w:spacing w:line="240" w:lineRule="exact"/>
      </w:pPr>
      <w:r w:rsidRPr="00692376">
        <w:t>Информация от председателството</w:t>
      </w:r>
    </w:p>
    <w:p w:rsidR="009E7B12" w:rsidRPr="00692376" w:rsidRDefault="009E7B12" w:rsidP="0001587A">
      <w:pPr>
        <w:pStyle w:val="PointManual1"/>
        <w:spacing w:before="120" w:line="240" w:lineRule="exact"/>
      </w:pPr>
      <w:r w:rsidRPr="00692376">
        <w:t>б)</w:t>
      </w:r>
      <w:r w:rsidRPr="00692376">
        <w:tab/>
        <w:t>Конференция на равнище министри от ЕС и Западните Балкани по въпросите на правосъдието и вътрешните работи,</w:t>
      </w:r>
      <w:r w:rsidRPr="00692376">
        <w:br/>
        <w:t>(Brdo Pri Kranju, Словения, 15 и 16 декември 2016 г.)</w:t>
      </w:r>
    </w:p>
    <w:p w:rsidR="009E7B12" w:rsidRPr="00692376" w:rsidRDefault="009E7B12" w:rsidP="0001587A">
      <w:pPr>
        <w:pStyle w:val="DashEqual2"/>
        <w:spacing w:line="240" w:lineRule="exact"/>
        <w:rPr>
          <w:b/>
          <w:bCs/>
          <w:u w:val="single"/>
        </w:rPr>
      </w:pPr>
      <w:r w:rsidRPr="00692376">
        <w:t>Информация от председателството</w:t>
      </w:r>
    </w:p>
    <w:p w:rsidR="004F3E19" w:rsidRPr="00692376" w:rsidRDefault="004F3E19" w:rsidP="0001587A">
      <w:pPr>
        <w:pStyle w:val="PointManual1"/>
        <w:spacing w:before="120" w:line="240" w:lineRule="exact"/>
      </w:pPr>
      <w:r w:rsidRPr="00692376">
        <w:t>в)</w:t>
      </w:r>
      <w:r w:rsidRPr="00692376">
        <w:tab/>
        <w:t>Работна програма на предстоящото председателство</w:t>
      </w:r>
    </w:p>
    <w:p w:rsidR="004F3E19" w:rsidRPr="00692376" w:rsidRDefault="004F3E19" w:rsidP="0001587A">
      <w:pPr>
        <w:pStyle w:val="DashEqual2"/>
        <w:spacing w:line="240" w:lineRule="exact"/>
      </w:pPr>
      <w:r w:rsidRPr="00692376">
        <w:t>Представяне от делегацията на Малта</w:t>
      </w:r>
    </w:p>
    <w:p w:rsidR="002962A7" w:rsidRPr="00692376" w:rsidRDefault="002962A7" w:rsidP="0001587A">
      <w:pPr>
        <w:spacing w:before="480" w:line="240" w:lineRule="exact"/>
        <w:jc w:val="center"/>
        <w:rPr>
          <w:snapToGrid w:val="0"/>
        </w:rPr>
      </w:pPr>
      <w:r w:rsidRPr="00692376">
        <w:rPr>
          <w:snapToGrid w:val="0"/>
        </w:rPr>
        <w:t>o</w:t>
      </w:r>
    </w:p>
    <w:p w:rsidR="002962A7" w:rsidRPr="00692376" w:rsidRDefault="002962A7" w:rsidP="0001587A">
      <w:pPr>
        <w:spacing w:before="120" w:line="240" w:lineRule="exact"/>
        <w:jc w:val="center"/>
        <w:rPr>
          <w:snapToGrid w:val="0"/>
        </w:rPr>
      </w:pPr>
      <w:r w:rsidRPr="00692376">
        <w:rPr>
          <w:snapToGrid w:val="0"/>
        </w:rPr>
        <w:t>o</w:t>
      </w:r>
      <w:r w:rsidRPr="00692376">
        <w:rPr>
          <w:snapToGrid w:val="0"/>
        </w:rPr>
        <w:tab/>
        <w:t>o</w:t>
      </w:r>
    </w:p>
    <w:p w:rsidR="002962A7" w:rsidRPr="00692376" w:rsidRDefault="002962A7" w:rsidP="0001587A">
      <w:pPr>
        <w:spacing w:before="240" w:line="240" w:lineRule="exact"/>
        <w:outlineLvl w:val="0"/>
        <w:rPr>
          <w:b/>
          <w:bCs/>
        </w:rPr>
      </w:pPr>
      <w:r w:rsidRPr="00692376">
        <w:rPr>
          <w:b/>
          <w:bCs/>
          <w:u w:val="single"/>
        </w:rPr>
        <w:t>Успоредно със заседанието на Съвета</w:t>
      </w:r>
    </w:p>
    <w:p w:rsidR="002962A7" w:rsidRPr="00692376" w:rsidRDefault="002962A7" w:rsidP="0001587A">
      <w:pPr>
        <w:spacing w:before="240" w:line="240" w:lineRule="exact"/>
        <w:rPr>
          <w:b/>
          <w:bCs/>
          <w:u w:val="single"/>
        </w:rPr>
      </w:pPr>
      <w:r w:rsidRPr="00692376">
        <w:rPr>
          <w:b/>
          <w:bCs/>
          <w:u w:val="single"/>
        </w:rPr>
        <w:t>Заседание на СМЕСЕНИЯ КОМИТЕТ (ПЕТЪК, 9 ДЕКЕМВРИ 2016 г. – 9,30 ч.)</w:t>
      </w:r>
    </w:p>
    <w:p w:rsidR="00F8088A" w:rsidRPr="00692376" w:rsidRDefault="00F8088A" w:rsidP="0001587A">
      <w:pPr>
        <w:pStyle w:val="PointManual"/>
        <w:spacing w:before="240" w:line="240" w:lineRule="exact"/>
      </w:pPr>
      <w:r w:rsidRPr="00692376">
        <w:rPr>
          <w:color w:val="365F91" w:themeColor="accent1" w:themeShade="BF"/>
        </w:rPr>
        <w:t>–</w:t>
      </w:r>
      <w:r w:rsidRPr="00692376">
        <w:rPr>
          <w:color w:val="365F91" w:themeColor="accent1" w:themeShade="BF"/>
        </w:rPr>
        <w:tab/>
      </w:r>
      <w:r w:rsidRPr="00692376">
        <w:rPr>
          <w:b/>
          <w:bCs/>
        </w:rPr>
        <w:t>Система за влизане/излизане (EES)</w:t>
      </w:r>
    </w:p>
    <w:p w:rsidR="00F8088A" w:rsidRPr="00692376" w:rsidRDefault="00B31F41" w:rsidP="0001587A">
      <w:pPr>
        <w:pStyle w:val="PointManual1"/>
        <w:spacing w:line="240" w:lineRule="exact"/>
      </w:pPr>
      <w:r w:rsidRPr="00692376">
        <w:t>а)</w:t>
      </w:r>
      <w:r w:rsidRPr="00692376">
        <w:tab/>
        <w:t xml:space="preserve">Предложение за регламент на Европейския парламент и на Съвета за създаване на система за влизане/излизане (EES) с цел регистриране на данните относно влизането и излизането и данните за отказ за влизане на граждани на трети държави, преминаващи външните граници на държавите—членки на Европейския съюз , за определяне на условията за достъп до системата за влизане/излизане за целите на правоприлагането и за изменение на Регламент (ЕО) № 767/2008 и на Регламент (ЕС) № 1077/2011 </w:t>
      </w:r>
      <w:r w:rsidRPr="00692376">
        <w:rPr>
          <w:b/>
          <w:bCs/>
        </w:rPr>
        <w:t>(първо четене)</w:t>
      </w:r>
    </w:p>
    <w:p w:rsidR="00F8088A" w:rsidRPr="00692376" w:rsidRDefault="00B31F41" w:rsidP="0001587A">
      <w:pPr>
        <w:pStyle w:val="PointManual1"/>
        <w:spacing w:line="240" w:lineRule="exact"/>
      </w:pPr>
      <w:r w:rsidRPr="00692376">
        <w:t>б)</w:t>
      </w:r>
      <w:r w:rsidRPr="00692376">
        <w:tab/>
        <w:t xml:space="preserve">Предложение за регламент на Европейския парламент и на Съвета за изменение на Регламент (ЕС) № 2016/399 във връзка с използването на системата за влизане/излизане </w:t>
      </w:r>
      <w:r w:rsidRPr="00692376">
        <w:rPr>
          <w:rFonts w:asciiTheme="majorBidi" w:hAnsiTheme="majorBidi"/>
          <w:b/>
          <w:bCs/>
        </w:rPr>
        <w:t>(първо четене)</w:t>
      </w:r>
    </w:p>
    <w:p w:rsidR="00F8088A" w:rsidRPr="00692376" w:rsidRDefault="00F8088A" w:rsidP="0001587A">
      <w:pPr>
        <w:pStyle w:val="DashEqual1"/>
        <w:spacing w:line="240" w:lineRule="exact"/>
      </w:pPr>
      <w:r w:rsidRPr="00692376">
        <w:t>Доклад за напредъка</w:t>
      </w:r>
    </w:p>
    <w:p w:rsidR="00F8088A" w:rsidRPr="00692376" w:rsidRDefault="00F8088A" w:rsidP="0001587A">
      <w:pPr>
        <w:pStyle w:val="PointManual"/>
        <w:spacing w:before="240" w:line="240" w:lineRule="exact"/>
        <w:rPr>
          <w:bCs/>
        </w:rPr>
      </w:pPr>
      <w:r w:rsidRPr="00692376">
        <w:t>–</w:t>
      </w:r>
      <w:r w:rsidRPr="00692376">
        <w:tab/>
      </w:r>
      <w:r w:rsidRPr="00692376">
        <w:rPr>
          <w:b/>
          <w:bCs/>
        </w:rPr>
        <w:t>Други въпроси</w:t>
      </w:r>
    </w:p>
    <w:p w:rsidR="001F75A2" w:rsidRPr="00692376" w:rsidRDefault="004F3E19" w:rsidP="0001587A">
      <w:pPr>
        <w:pStyle w:val="PointManual1"/>
        <w:spacing w:before="120" w:line="240" w:lineRule="exact"/>
      </w:pPr>
      <w:r w:rsidRPr="00692376">
        <w:t>а)</w:t>
      </w:r>
      <w:r w:rsidRPr="00692376">
        <w:tab/>
        <w:t>Информация от председателството относно текущи законодателни предложения</w:t>
      </w:r>
    </w:p>
    <w:p w:rsidR="004F3E19" w:rsidRPr="00692376" w:rsidRDefault="004F3E19" w:rsidP="0001587A">
      <w:pPr>
        <w:pStyle w:val="PointManual1"/>
        <w:spacing w:before="120" w:line="240" w:lineRule="exact"/>
      </w:pPr>
      <w:r w:rsidRPr="00692376">
        <w:t>б)</w:t>
      </w:r>
      <w:r w:rsidRPr="00692376">
        <w:tab/>
        <w:t>(евентуално)</w:t>
      </w:r>
      <w:r w:rsidRPr="00692376">
        <w:rPr>
          <w:b/>
          <w:bCs/>
        </w:rPr>
        <w:t xml:space="preserve"> ШИС II</w:t>
      </w:r>
      <w:r w:rsidRPr="00692376">
        <w:t xml:space="preserve"> </w:t>
      </w:r>
    </w:p>
    <w:p w:rsidR="004F3E19" w:rsidRPr="00692376" w:rsidRDefault="004F3E19" w:rsidP="0001587A">
      <w:pPr>
        <w:pStyle w:val="PointManual2"/>
        <w:spacing w:line="240" w:lineRule="exact"/>
      </w:pPr>
      <w:r w:rsidRPr="00692376">
        <w:t>и)</w:t>
      </w:r>
      <w:r w:rsidRPr="00692376">
        <w:tab/>
        <w:t xml:space="preserve">Предложение за регламент на Европейския парламент и на Съвета относно създаването, функционирането и използването на Шенгенската информационна система (ШИС) в областта на граничния контрол </w:t>
      </w:r>
      <w:r w:rsidRPr="00692376">
        <w:rPr>
          <w:b/>
          <w:bCs/>
        </w:rPr>
        <w:t>(първо четене)</w:t>
      </w:r>
    </w:p>
    <w:p w:rsidR="004F3E19" w:rsidRPr="00692376" w:rsidRDefault="004F3E19" w:rsidP="0001587A">
      <w:pPr>
        <w:pStyle w:val="PointManual2"/>
        <w:spacing w:line="240" w:lineRule="exact"/>
      </w:pPr>
      <w:r w:rsidRPr="00692376">
        <w:t>ii)</w:t>
      </w:r>
      <w:r w:rsidRPr="00692376">
        <w:tab/>
        <w:t xml:space="preserve">Предложение за регламент на Европейския парламент и на Съвета относно създаването, функционирането и използването на Шенгенската информационна система (ШИС) в областта на полицейското сътрудничество и на съдебното сътрудничество по наказателноправни въпроси </w:t>
      </w:r>
      <w:r w:rsidRPr="00692376">
        <w:rPr>
          <w:b/>
          <w:bCs/>
        </w:rPr>
        <w:t>(първо четене)</w:t>
      </w:r>
    </w:p>
    <w:p w:rsidR="0044630B" w:rsidRPr="00692376" w:rsidRDefault="0044630B" w:rsidP="0001587A">
      <w:pPr>
        <w:pStyle w:val="PointManual2"/>
        <w:spacing w:line="240" w:lineRule="exact"/>
      </w:pPr>
      <w:r w:rsidRPr="00692376">
        <w:t>iii)</w:t>
      </w:r>
      <w:r w:rsidRPr="00692376">
        <w:tab/>
        <w:t xml:space="preserve">Предложение за регламент на Европейския парламент и на Съвета относно използването на Шенгенската информационна система (ШИС) за връщането на незаконно пребиваващи граждани на трети държави </w:t>
      </w:r>
      <w:r w:rsidRPr="00692376">
        <w:rPr>
          <w:b/>
          <w:bCs/>
        </w:rPr>
        <w:t>(първо четене)</w:t>
      </w:r>
    </w:p>
    <w:p w:rsidR="004F3E19" w:rsidRPr="00692376" w:rsidRDefault="004F3E19" w:rsidP="0001587A">
      <w:pPr>
        <w:pStyle w:val="DashEqual2"/>
        <w:spacing w:line="240" w:lineRule="exact"/>
      </w:pPr>
      <w:r w:rsidRPr="00692376">
        <w:t>Информация от Комисията</w:t>
      </w:r>
    </w:p>
    <w:p w:rsidR="00922106" w:rsidRPr="00692376" w:rsidRDefault="00922106" w:rsidP="00922106">
      <w:pPr>
        <w:pStyle w:val="FinalLine"/>
      </w:pPr>
    </w:p>
    <w:p w:rsidR="00922106" w:rsidRPr="00692376" w:rsidRDefault="004F3E19" w:rsidP="008F22F2">
      <w:pPr>
        <w:pStyle w:val="NB"/>
      </w:pPr>
      <w:r w:rsidRPr="00692376">
        <w:br w:type="page"/>
      </w:r>
      <w:r w:rsidRPr="00692376">
        <w:lastRenderedPageBreak/>
        <w:t>NB:</w:t>
      </w:r>
      <w:r w:rsidRPr="00692376">
        <w:tab/>
        <w:t>Моля изпратете до служба „Протокол“ във възможно най-кратък срок списък на делегатите, които ще участват в заседанието, на адрес protocole.participants@consilium.europa.eu.</w:t>
      </w:r>
    </w:p>
    <w:p w:rsidR="00FC4670" w:rsidRPr="008F22F2" w:rsidRDefault="008F22F2" w:rsidP="008F22F2">
      <w:pPr>
        <w:pStyle w:val="NB"/>
      </w:pPr>
      <w:r w:rsidRPr="00692376">
        <w:t>NB:</w:t>
      </w:r>
      <w:r w:rsidRPr="00692376">
        <w:tab/>
        <w:t>Делегатите, които се нуждаят от еднодневни служебни карти, за да посещават заседанията, следва да се запознаят с док. 14387/1/12 REV 1 във връзка с начина за получаването им.</w:t>
      </w:r>
    </w:p>
    <w:sectPr w:rsidR="00FC4670" w:rsidRPr="008F22F2" w:rsidSect="00544814">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106" w:rsidRDefault="00922106" w:rsidP="00922106">
      <w:r>
        <w:separator/>
      </w:r>
    </w:p>
  </w:endnote>
  <w:endnote w:type="continuationSeparator" w:id="0">
    <w:p w:rsidR="00922106" w:rsidRDefault="00922106" w:rsidP="0092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14" w:rsidRPr="00544814" w:rsidRDefault="00544814" w:rsidP="005448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544814" w:rsidRPr="00D94637" w:rsidTr="00544814">
      <w:trPr>
        <w:jc w:val="center"/>
      </w:trPr>
      <w:tc>
        <w:tcPr>
          <w:tcW w:w="5000" w:type="pct"/>
          <w:gridSpan w:val="7"/>
          <w:shd w:val="clear" w:color="auto" w:fill="auto"/>
          <w:tcMar>
            <w:top w:w="57" w:type="dxa"/>
          </w:tcMar>
        </w:tcPr>
        <w:p w:rsidR="00544814" w:rsidRPr="00D94637" w:rsidRDefault="00544814" w:rsidP="00D94637">
          <w:pPr>
            <w:pStyle w:val="FooterText"/>
            <w:pBdr>
              <w:top w:val="single" w:sz="4" w:space="1" w:color="auto"/>
            </w:pBdr>
            <w:spacing w:before="200"/>
            <w:rPr>
              <w:sz w:val="2"/>
              <w:szCs w:val="2"/>
            </w:rPr>
          </w:pPr>
          <w:bookmarkStart w:id="2" w:name="FOOTER_STANDARD"/>
        </w:p>
      </w:tc>
    </w:tr>
    <w:tr w:rsidR="00544814" w:rsidRPr="00B310DC" w:rsidTr="00544814">
      <w:trPr>
        <w:jc w:val="center"/>
      </w:trPr>
      <w:tc>
        <w:tcPr>
          <w:tcW w:w="2500" w:type="pct"/>
          <w:gridSpan w:val="2"/>
          <w:shd w:val="clear" w:color="auto" w:fill="auto"/>
          <w:tcMar>
            <w:top w:w="0" w:type="dxa"/>
          </w:tcMar>
        </w:tcPr>
        <w:p w:rsidR="00544814" w:rsidRPr="00AD7BF2" w:rsidRDefault="00544814" w:rsidP="004F54B2">
          <w:pPr>
            <w:pStyle w:val="FooterText"/>
          </w:pPr>
          <w:r>
            <w:t>CM 4948/16</w:t>
          </w:r>
          <w:r w:rsidRPr="002511D8">
            <w:t xml:space="preserve"> </w:t>
          </w:r>
        </w:p>
      </w:tc>
      <w:tc>
        <w:tcPr>
          <w:tcW w:w="625" w:type="pct"/>
          <w:shd w:val="clear" w:color="auto" w:fill="auto"/>
          <w:tcMar>
            <w:top w:w="0" w:type="dxa"/>
          </w:tcMar>
        </w:tcPr>
        <w:p w:rsidR="00544814" w:rsidRPr="00AD7BF2" w:rsidRDefault="00544814" w:rsidP="00D94637">
          <w:pPr>
            <w:pStyle w:val="FooterText"/>
            <w:jc w:val="center"/>
          </w:pPr>
        </w:p>
      </w:tc>
      <w:tc>
        <w:tcPr>
          <w:tcW w:w="1287" w:type="pct"/>
          <w:gridSpan w:val="3"/>
          <w:shd w:val="clear" w:color="auto" w:fill="auto"/>
          <w:tcMar>
            <w:top w:w="0" w:type="dxa"/>
          </w:tcMar>
        </w:tcPr>
        <w:p w:rsidR="00544814" w:rsidRPr="002511D8" w:rsidRDefault="00544814" w:rsidP="00D94637">
          <w:pPr>
            <w:pStyle w:val="FooterText"/>
            <w:jc w:val="center"/>
          </w:pPr>
        </w:p>
      </w:tc>
      <w:tc>
        <w:tcPr>
          <w:tcW w:w="588" w:type="pct"/>
          <w:shd w:val="clear" w:color="auto" w:fill="auto"/>
          <w:tcMar>
            <w:top w:w="0" w:type="dxa"/>
          </w:tcMar>
        </w:tcPr>
        <w:p w:rsidR="00544814" w:rsidRPr="00B310DC" w:rsidRDefault="00544814" w:rsidP="00D94637">
          <w:pPr>
            <w:pStyle w:val="FooterText"/>
            <w:jc w:val="right"/>
          </w:pPr>
          <w:r>
            <w:fldChar w:fldCharType="begin"/>
          </w:r>
          <w:r>
            <w:instrText xml:space="preserve"> PAGE  \* MERGEFORMAT </w:instrText>
          </w:r>
          <w:r>
            <w:fldChar w:fldCharType="separate"/>
          </w:r>
          <w:r>
            <w:rPr>
              <w:noProof/>
            </w:rPr>
            <w:t>6</w:t>
          </w:r>
          <w:r>
            <w:fldChar w:fldCharType="end"/>
          </w:r>
        </w:p>
      </w:tc>
    </w:tr>
    <w:tr w:rsidR="00544814" w:rsidRPr="00D94637" w:rsidTr="00544814">
      <w:trPr>
        <w:jc w:val="center"/>
      </w:trPr>
      <w:tc>
        <w:tcPr>
          <w:tcW w:w="1774" w:type="pct"/>
          <w:shd w:val="clear" w:color="auto" w:fill="auto"/>
        </w:tcPr>
        <w:p w:rsidR="00544814" w:rsidRPr="00AD7BF2" w:rsidRDefault="00544814" w:rsidP="00D94637">
          <w:pPr>
            <w:pStyle w:val="FooterText"/>
            <w:spacing w:before="40"/>
          </w:pPr>
        </w:p>
      </w:tc>
      <w:tc>
        <w:tcPr>
          <w:tcW w:w="1455" w:type="pct"/>
          <w:gridSpan w:val="3"/>
          <w:shd w:val="clear" w:color="auto" w:fill="auto"/>
        </w:tcPr>
        <w:p w:rsidR="00544814" w:rsidRPr="00AD7BF2" w:rsidRDefault="00544814" w:rsidP="00D204D6">
          <w:pPr>
            <w:pStyle w:val="FooterText"/>
            <w:spacing w:before="40"/>
            <w:jc w:val="center"/>
          </w:pPr>
        </w:p>
      </w:tc>
      <w:tc>
        <w:tcPr>
          <w:tcW w:w="1147" w:type="pct"/>
          <w:shd w:val="clear" w:color="auto" w:fill="auto"/>
        </w:tcPr>
        <w:p w:rsidR="00544814" w:rsidRPr="00D94637" w:rsidRDefault="00544814" w:rsidP="00D94637">
          <w:pPr>
            <w:pStyle w:val="FooterText"/>
            <w:jc w:val="right"/>
            <w:rPr>
              <w:b/>
              <w:position w:val="-4"/>
              <w:sz w:val="36"/>
            </w:rPr>
          </w:pPr>
        </w:p>
      </w:tc>
      <w:tc>
        <w:tcPr>
          <w:tcW w:w="625" w:type="pct"/>
          <w:gridSpan w:val="2"/>
          <w:shd w:val="clear" w:color="auto" w:fill="auto"/>
        </w:tcPr>
        <w:p w:rsidR="00544814" w:rsidRPr="00D94637" w:rsidRDefault="00544814" w:rsidP="00D94637">
          <w:pPr>
            <w:pStyle w:val="FooterText"/>
            <w:jc w:val="right"/>
            <w:rPr>
              <w:sz w:val="16"/>
            </w:rPr>
          </w:pPr>
          <w:r>
            <w:rPr>
              <w:b/>
              <w:position w:val="-4"/>
              <w:sz w:val="36"/>
            </w:rPr>
            <w:t>BG</w:t>
          </w:r>
        </w:p>
      </w:tc>
    </w:tr>
    <w:bookmarkEnd w:id="2"/>
  </w:tbl>
  <w:p w:rsidR="00922106" w:rsidRPr="00544814" w:rsidRDefault="00922106" w:rsidP="00544814">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544814" w:rsidRPr="00D94637" w:rsidTr="00544814">
      <w:trPr>
        <w:jc w:val="center"/>
      </w:trPr>
      <w:tc>
        <w:tcPr>
          <w:tcW w:w="5000" w:type="pct"/>
          <w:gridSpan w:val="7"/>
          <w:shd w:val="clear" w:color="auto" w:fill="auto"/>
          <w:tcMar>
            <w:top w:w="57" w:type="dxa"/>
          </w:tcMar>
        </w:tcPr>
        <w:p w:rsidR="00544814" w:rsidRPr="00D94637" w:rsidRDefault="00544814" w:rsidP="00D94637">
          <w:pPr>
            <w:pStyle w:val="FooterText"/>
            <w:pBdr>
              <w:top w:val="single" w:sz="4" w:space="1" w:color="auto"/>
            </w:pBdr>
            <w:spacing w:before="200"/>
            <w:rPr>
              <w:sz w:val="2"/>
              <w:szCs w:val="2"/>
            </w:rPr>
          </w:pPr>
        </w:p>
      </w:tc>
    </w:tr>
    <w:tr w:rsidR="00544814" w:rsidRPr="00B310DC" w:rsidTr="00544814">
      <w:trPr>
        <w:jc w:val="center"/>
      </w:trPr>
      <w:tc>
        <w:tcPr>
          <w:tcW w:w="2500" w:type="pct"/>
          <w:gridSpan w:val="2"/>
          <w:shd w:val="clear" w:color="auto" w:fill="auto"/>
          <w:tcMar>
            <w:top w:w="0" w:type="dxa"/>
          </w:tcMar>
        </w:tcPr>
        <w:p w:rsidR="00544814" w:rsidRPr="00AD7BF2" w:rsidRDefault="00544814" w:rsidP="004F54B2">
          <w:pPr>
            <w:pStyle w:val="FooterText"/>
          </w:pPr>
          <w:r>
            <w:t>CM 4948/16</w:t>
          </w:r>
          <w:r w:rsidRPr="002511D8">
            <w:t xml:space="preserve"> </w:t>
          </w:r>
        </w:p>
      </w:tc>
      <w:tc>
        <w:tcPr>
          <w:tcW w:w="625" w:type="pct"/>
          <w:shd w:val="clear" w:color="auto" w:fill="auto"/>
          <w:tcMar>
            <w:top w:w="0" w:type="dxa"/>
          </w:tcMar>
        </w:tcPr>
        <w:p w:rsidR="00544814" w:rsidRPr="00AD7BF2" w:rsidRDefault="00544814" w:rsidP="00D94637">
          <w:pPr>
            <w:pStyle w:val="FooterText"/>
            <w:jc w:val="center"/>
          </w:pPr>
        </w:p>
      </w:tc>
      <w:tc>
        <w:tcPr>
          <w:tcW w:w="1287" w:type="pct"/>
          <w:gridSpan w:val="3"/>
          <w:shd w:val="clear" w:color="auto" w:fill="auto"/>
          <w:tcMar>
            <w:top w:w="0" w:type="dxa"/>
          </w:tcMar>
        </w:tcPr>
        <w:p w:rsidR="00544814" w:rsidRPr="002511D8" w:rsidRDefault="00544814" w:rsidP="00D94637">
          <w:pPr>
            <w:pStyle w:val="FooterText"/>
            <w:jc w:val="center"/>
          </w:pPr>
        </w:p>
      </w:tc>
      <w:tc>
        <w:tcPr>
          <w:tcW w:w="588" w:type="pct"/>
          <w:shd w:val="clear" w:color="auto" w:fill="auto"/>
          <w:tcMar>
            <w:top w:w="0" w:type="dxa"/>
          </w:tcMar>
        </w:tcPr>
        <w:p w:rsidR="00544814" w:rsidRPr="00B310DC" w:rsidRDefault="00544814"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544814" w:rsidRPr="00D94637" w:rsidTr="00544814">
      <w:trPr>
        <w:jc w:val="center"/>
      </w:trPr>
      <w:tc>
        <w:tcPr>
          <w:tcW w:w="1774" w:type="pct"/>
          <w:shd w:val="clear" w:color="auto" w:fill="auto"/>
        </w:tcPr>
        <w:p w:rsidR="00544814" w:rsidRPr="00AD7BF2" w:rsidRDefault="00544814" w:rsidP="00D94637">
          <w:pPr>
            <w:pStyle w:val="FooterText"/>
            <w:spacing w:before="40"/>
          </w:pPr>
        </w:p>
      </w:tc>
      <w:tc>
        <w:tcPr>
          <w:tcW w:w="1455" w:type="pct"/>
          <w:gridSpan w:val="3"/>
          <w:shd w:val="clear" w:color="auto" w:fill="auto"/>
        </w:tcPr>
        <w:p w:rsidR="00544814" w:rsidRPr="00AD7BF2" w:rsidRDefault="00544814" w:rsidP="00D204D6">
          <w:pPr>
            <w:pStyle w:val="FooterText"/>
            <w:spacing w:before="40"/>
            <w:jc w:val="center"/>
          </w:pPr>
        </w:p>
      </w:tc>
      <w:tc>
        <w:tcPr>
          <w:tcW w:w="1147" w:type="pct"/>
          <w:shd w:val="clear" w:color="auto" w:fill="auto"/>
        </w:tcPr>
        <w:p w:rsidR="00544814" w:rsidRPr="00D94637" w:rsidRDefault="00544814" w:rsidP="00D94637">
          <w:pPr>
            <w:pStyle w:val="FooterText"/>
            <w:jc w:val="right"/>
            <w:rPr>
              <w:b/>
              <w:position w:val="-4"/>
              <w:sz w:val="36"/>
            </w:rPr>
          </w:pPr>
        </w:p>
      </w:tc>
      <w:tc>
        <w:tcPr>
          <w:tcW w:w="625" w:type="pct"/>
          <w:gridSpan w:val="2"/>
          <w:shd w:val="clear" w:color="auto" w:fill="auto"/>
        </w:tcPr>
        <w:p w:rsidR="00544814" w:rsidRPr="00D94637" w:rsidRDefault="00544814" w:rsidP="00D94637">
          <w:pPr>
            <w:pStyle w:val="FooterText"/>
            <w:jc w:val="right"/>
            <w:rPr>
              <w:sz w:val="16"/>
            </w:rPr>
          </w:pPr>
          <w:r>
            <w:rPr>
              <w:b/>
              <w:position w:val="-4"/>
              <w:sz w:val="36"/>
            </w:rPr>
            <w:t>BG</w:t>
          </w:r>
        </w:p>
      </w:tc>
    </w:tr>
  </w:tbl>
  <w:p w:rsidR="00922106" w:rsidRPr="00544814" w:rsidRDefault="00922106" w:rsidP="00544814">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106" w:rsidRDefault="00922106" w:rsidP="00922106">
      <w:r>
        <w:separator/>
      </w:r>
    </w:p>
  </w:footnote>
  <w:footnote w:type="continuationSeparator" w:id="0">
    <w:p w:rsidR="00922106" w:rsidRDefault="00922106" w:rsidP="00922106">
      <w:r>
        <w:continuationSeparator/>
      </w:r>
    </w:p>
  </w:footnote>
  <w:footnote w:id="1">
    <w:p w:rsidR="009E7B12" w:rsidRPr="008F22F2" w:rsidRDefault="00E655BB" w:rsidP="00E655BB">
      <w:pPr>
        <w:pStyle w:val="FootnoteText"/>
        <w:tabs>
          <w:tab w:val="left" w:pos="567"/>
        </w:tabs>
      </w:pPr>
      <w:r w:rsidRPr="008F22F2">
        <w:t>1.</w:t>
      </w:r>
      <w:r>
        <w:t>1.</w:t>
      </w:r>
      <w:r>
        <w:tab/>
        <w:t>По изключение в присъствието на държавите, асоциирани към Шенген.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14" w:rsidRPr="00544814" w:rsidRDefault="00544814" w:rsidP="005448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14" w:rsidRPr="00544814" w:rsidRDefault="00544814" w:rsidP="00544814">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14" w:rsidRPr="00544814" w:rsidRDefault="00544814" w:rsidP="00544814">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10F5F2"/>
    <w:lvl w:ilvl="0">
      <w:start w:val="1"/>
      <w:numFmt w:val="decimal"/>
      <w:lvlText w:val="%1."/>
      <w:lvlJc w:val="left"/>
      <w:pPr>
        <w:tabs>
          <w:tab w:val="num" w:pos="1492"/>
        </w:tabs>
        <w:ind w:left="1492" w:hanging="360"/>
      </w:pPr>
    </w:lvl>
  </w:abstractNum>
  <w:abstractNum w:abstractNumId="1">
    <w:nsid w:val="FFFFFF7D"/>
    <w:multiLevelType w:val="singleLevel"/>
    <w:tmpl w:val="EA8A6482"/>
    <w:lvl w:ilvl="0">
      <w:start w:val="1"/>
      <w:numFmt w:val="decimal"/>
      <w:lvlText w:val="%1."/>
      <w:lvlJc w:val="left"/>
      <w:pPr>
        <w:tabs>
          <w:tab w:val="num" w:pos="1209"/>
        </w:tabs>
        <w:ind w:left="1209" w:hanging="360"/>
      </w:pPr>
    </w:lvl>
  </w:abstractNum>
  <w:abstractNum w:abstractNumId="2">
    <w:nsid w:val="FFFFFF7E"/>
    <w:multiLevelType w:val="singleLevel"/>
    <w:tmpl w:val="5FB86968"/>
    <w:lvl w:ilvl="0">
      <w:start w:val="1"/>
      <w:numFmt w:val="decimal"/>
      <w:lvlText w:val="%1."/>
      <w:lvlJc w:val="left"/>
      <w:pPr>
        <w:tabs>
          <w:tab w:val="num" w:pos="926"/>
        </w:tabs>
        <w:ind w:left="926" w:hanging="360"/>
      </w:pPr>
    </w:lvl>
  </w:abstractNum>
  <w:abstractNum w:abstractNumId="3">
    <w:nsid w:val="FFFFFF7F"/>
    <w:multiLevelType w:val="singleLevel"/>
    <w:tmpl w:val="26AA9670"/>
    <w:lvl w:ilvl="0">
      <w:start w:val="1"/>
      <w:numFmt w:val="decimal"/>
      <w:lvlText w:val="%1."/>
      <w:lvlJc w:val="left"/>
      <w:pPr>
        <w:tabs>
          <w:tab w:val="num" w:pos="643"/>
        </w:tabs>
        <w:ind w:left="643" w:hanging="360"/>
      </w:pPr>
    </w:lvl>
  </w:abstractNum>
  <w:abstractNum w:abstractNumId="4">
    <w:nsid w:val="FFFFFF80"/>
    <w:multiLevelType w:val="singleLevel"/>
    <w:tmpl w:val="1DC80B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BE49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E456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9E6B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361558"/>
    <w:lvl w:ilvl="0">
      <w:start w:val="1"/>
      <w:numFmt w:val="decimal"/>
      <w:lvlText w:val="%1."/>
      <w:lvlJc w:val="left"/>
      <w:pPr>
        <w:tabs>
          <w:tab w:val="num" w:pos="360"/>
        </w:tabs>
        <w:ind w:left="360" w:hanging="360"/>
      </w:pPr>
    </w:lvl>
  </w:abstractNum>
  <w:abstractNum w:abstractNumId="9">
    <w:nsid w:val="FFFFFF89"/>
    <w:multiLevelType w:val="singleLevel"/>
    <w:tmpl w:val="5F06C0A8"/>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1"/>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8.2&quot; technicalblockguid=&quot;1781a662-c53d-4cb3-94a9-13e219edaf06&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 /&gt;_x000d__x000a_  &lt;/metadata&gt;_x000d__x000a_  &lt;metadata key=&quot;md_UniqueHeading&quot;&gt;_x000d__x000a_    &lt;basicdatatype&gt;_x000d__x000a_      &lt;heading key=&quot;uh_07&quot; text=&quot;&amp;#1048;&amp;#1047;&amp;#1042;&amp;#1045;&amp;#1057;&amp;#1058;&amp;#1048;&amp;#1045; &amp;#1047;&amp;#1040; &amp;#1047;&amp;#1040;&amp;#1057;&amp;#1045;&amp;#1044;&amp;#1040;&amp;#1053;&amp;#1048;&amp;#1045; &amp;#1048; &amp;#1055;&amp;#1056;&amp;#1045;&amp;#1044;&amp;#1042;&amp;#1040;&amp;#1056;&amp;#1048;&amp;#1058;&amp;#1045;&amp;#1051;&amp;#1045;&amp;#1053; &amp;#1044;&amp;#1053;&amp;#1045;&amp;#1042;&amp;#1045;&amp;#1053; &amp;#1056;&amp;#1045;&amp;#1044;&quot; /&gt;_x000d__x000a_    &lt;/basicdatatype&gt;_x000d__x000a_  &lt;/metadata&gt;_x000d__x000a_  &lt;metadata key=&quot;md_HeadingText&quot; translate=&quot;false&quot;&gt;_x000d__x000a_    &lt;headingtext text=&quot;&amp;#1048;&amp;#1047;&amp;#1042;&amp;#1045;&amp;#1057;&amp;#1058;&amp;#1048;&amp;#1045; &amp;#1047;&amp;#1040; &amp;#1047;&amp;#1040;&amp;#1057;&amp;#1045;&amp;#1044;&amp;#1040;&amp;#1053;&amp;#1048;&amp;#1045; &amp;#1048; &amp;#1055;&amp;#1056;&amp;#1045;&amp;#1044;&amp;#1042;&amp;#1040;&amp;#1056;&amp;#1048;&amp;#1058;&amp;#1045;&amp;#1051;&amp;#1045;&amp;#1053; &amp;#1044;&amp;#1053;&amp;#1045;&amp;#1042;&amp;#1045;&amp;#1053; &amp;#1056;&amp;#1045;&amp;#1044;&quot;&gt;_x000d__x000a_      &lt;formattedtext&gt;_x000d__x000a_        &lt;xaml text=&quot;&amp;#1048;&amp;#1047;&amp;#1042;&amp;#1045;&amp;#1057;&amp;#1058;&amp;#1048;&amp;#1045; &amp;#1047;&amp;#1040; &amp;#1047;&amp;#1040;&amp;#1057;&amp;#1045;&amp;#1044;&amp;#1040;&amp;#1053;&amp;#1048;&amp;#1045; &amp;#1048; &amp;#1055;&amp;#1056;&amp;#1045;&amp;#1044;&amp;#1042;&amp;#1040;&amp;#1056;&amp;#1048;&amp;#1058;&amp;#1045;&amp;#1051;&amp;#1045;&amp;#1053; &amp;#1044;&amp;#1053;&amp;#1045;&amp;#1042;&amp;#1045;&amp;#1053; &amp;#1056;&amp;#1045;&amp;#1044;&quot;&gt;&amp;lt;FlowDocument xmlns=&quot;http://schemas.microsoft.com/winfx/2006/xaml/presentation&quot;&amp;gt;&amp;lt;Paragraph&amp;gt;&amp;#1048;&amp;#1047;&amp;#1042;&amp;#1045;&amp;#1057;&amp;#1058;&amp;#1048;&amp;#1045; &amp;#1047;&amp;#1040; &amp;#1047;&amp;#1040;&amp;#1057;&amp;#1045;&amp;#1044;&amp;#1040;&amp;#1053;&amp;#1048;&amp;#1045; &amp;#1048; &amp;#1055;&amp;#1056;&amp;#1045;&amp;#1044;&amp;#1042;&amp;#1040;&amp;#1056;&amp;#1048;&amp;#1058;&amp;#1045;&amp;#1051;&amp;#1045;&amp;#1053; &amp;#1044;&amp;#1053;&amp;#1045;&amp;#1042;&amp;#1045;&amp;#1053; &amp;#1056;&amp;#1045;&amp;#1044;&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3&quot; text=&quot;&amp;#1057;&amp;#1066;&amp;#1054;&amp;#1041;&amp;#1065;&amp;#1045;&amp;#1053;&amp;#1048;&amp;#1045;&quot; /&gt;_x000d__x000a_    &lt;/basicdatatype&gt;_x000d__x000a_  &lt;/metadata&gt;_x000d__x000a_  &lt;metadata key=&quot;md_DocumentType&quot; translate=&quot;fals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amp;#1057;&amp;#1098;&amp;#1074;&amp;#1077;&amp;#1090; &amp;#1085;&amp;#1072; &amp;#1045;&amp;#1074;&amp;#1088;&amp;#1086;&amp;#1087;&amp;#1077;&amp;#1081;&amp;#1089;&amp;#1082;&amp;#1080;&amp;#1103; &amp;#1089;&amp;#1098;&amp;#1102;&amp;#1079; &amp;#1043;&amp;#1077;&amp;#1085;&amp;#1077;&amp;#1088;&amp;#1072;&amp;#1083;&amp;#1077;&amp;#1085; &amp;#1089;&amp;#1077;&amp;#1082;&amp;#1088;&amp;#1077;&amp;#1090;&amp;#1072;&amp;#1088;&amp;#1080;&amp;#1072;&amp;#1090;&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6-11-23&lt;/text&gt;_x000d__x000a_  &lt;/metadata&gt;_x000d__x000a_  &lt;metadata key=&quot;md_Prefix&quot; translate=&quot;false&quot;&gt;_x000d__x000a_    &lt;text&gt;CM&lt;/text&gt;_x000d__x000a_  &lt;/metadata&gt;_x000d__x000a_  &lt;metadata key=&quot;md_DocumentNumber&quot; translate=&quot;false&quot;&gt;_x000d__x000a_    &lt;text&gt;4948&lt;/text&gt;_x000d__x000a_  &lt;/metadata&gt;_x000d__x000a_  &lt;metadata key=&quot;md_YearDocumentNumber&quot; translate=&quot;false&quot;&gt;_x000d__x000a_    &lt;text&gt;2016&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 CONS&lt;/text&gt;_x000d__x000a_      &lt;text&gt;JAI&lt;/text&gt;_x000d__x000a_      &lt;text&gt;COMIX&lt;/text&gt;_x000d__x000a_    &lt;/textlist&gt;_x000d__x000a_  &lt;/metadata&gt;_x000d__x000a_  &lt;metadata key=&quot;md_Contact&quot; translate=&quot;false&quot;&gt;_x000d__x000a_    &lt;text&gt;&amp;#1043;-&amp;#1078;&amp;#1072; Christine ROGER_x000d__x000a_dgd.jai-oj-crp-conseil@consilium.europa.eu&lt;/text&gt;_x000d__x000a_  &lt;/metadata&gt;_x000d__x000a_  &lt;metadata key=&quot;md_ContactPhoneFax&quot; translate=&quot;false&quot;&gt;_x000d__x000a_    &lt;text&gt;+32.2-281.6567/8454&lt;/text&gt;_x000d__x000a_  &lt;/metadata&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508-&amp;#1086; &amp;#1079;&amp;#1072;&amp;#1089;&amp;#1077;&amp;#1076;&amp;#1072;&amp;#1085;&amp;#1080;&amp;#1077; &amp;#1085;&amp;#1072; &amp;#1057;&amp;#1066;&amp;#1042;&amp;#1045;&amp;#1058;&amp;#1040; &amp;#1053;&amp;#1040; &amp;#1045;&amp;#1042;&amp;#1056;&amp;#1054;&amp;#1055;&amp;#1045;&amp;#1049;&amp;#1057;&amp;#1050;&amp;#1048;&amp;#1071; &amp;#1057;&amp;#1066;&amp;#1070;&amp;#1047; (&amp;#1055;&amp;#1088;&amp;#1072;&amp;#1074;&amp;#1086;&amp;#1089;&amp;#1098;&amp;#1076;&amp;#1080;&amp;#1077; &amp;#1080; &amp;#1074;&amp;#1098;&amp;#1090;&amp;#1088;&amp;#1077;&amp;#1096;&amp;#1085;&amp;#1080; &amp;#1088;&amp;#1072;&amp;#1073;&amp;#1086;&amp;#1090;&amp;#1080;)&quot;&gt;&amp;lt;FlowDocument FontFamily=&quot;Arial Unicode MS&quot; FontSize=&quot;12&quot; PageWidth=&quot;329&quot; PagePadding=&quot;5,0,5,0&quot; AllowDrop=&quot;False&quot; xmlns=&quot;http://schemas.microsoft.com/winfx/2006/xaml/presentation&quot;&amp;gt;&amp;lt;Paragraph&amp;gt;&amp;lt;Run xml:lang=&quot;fr-be&quot;&amp;gt;3508-&amp;#1086; &amp;#1079;&amp;#1072;&amp;#1089;&amp;#1077;&amp;#1076;&amp;#1072;&amp;#1085;&amp;#1080;&amp;#1077; &amp;#1085;&amp;#1072; &amp;#1057;&amp;#1066;&amp;#1042;&amp;#1045;&amp;#1058;&amp;#1040; &amp;#1053;&amp;#1040; &amp;#1045;&amp;#1042;&amp;#1056;&amp;#1054;&amp;#1055;&amp;#1045;&amp;#1049;&amp;#1057;&amp;#1050;&amp;#1048;&amp;#1071; &amp;#1057;&amp;#1066;&amp;#1070;&amp;#1047;&amp;lt;/Run&amp;gt;&amp;lt;LineBreak /&amp;gt;(&amp;#1055;&amp;#1088;&amp;#1072;&amp;#1074;&amp;#1086;&amp;#1089;&amp;#1098;&amp;#1076;&amp;#1080;&amp;#1077; &amp;#1080; &amp;#1074;&amp;#1098;&amp;#1090;&amp;#1088;&amp;#1077;&amp;#1096;&amp;#1085;&amp;#1080; &amp;#1088;&amp;#1072;&amp;#1073;&amp;#1086;&amp;#1090;&amp;#1080;)&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6&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false&lt;/text&gt;_x000d__x000a_  &lt;/metadata&gt;_x000d__x000a_  &lt;metadata key=&quot;md_NB2&quot; translate=&quot;false&quot;&gt;_x000d__x000a_    &lt;text&gt;true&lt;/text&gt;_x000d__x000a_  &lt;/metadata&gt;_x000d__x000a_  &lt;metadata key=&quot;md_NB3&quot; translate=&quot;false&quot;&gt;_x000d__x000a_    &lt;text&gt;true&lt;/text&gt;_x000d__x000a_  &lt;/metadata&gt;_x000d__x000a_  &lt;metadata key=&quot;md_Meetings&quot; translate=&quot;false&quot;&gt;_x000d__x000a_    &lt;meetings&gt;_x000d__x000a_      &lt;meeting date=&quot;2016-12-08T10:00:00&quot;&gt;_x000d__x000a_        &lt;meetingvenue&gt;_x000d__x000a_          &lt;basicdatatype&gt;_x000d__x000a_            &lt;meetingvenue key=&quot;mw_01&quot; text=&quot;&amp;#1057;&amp;#1066;&amp;#1042;&amp;#1045;&amp;#1058; &amp;#1057;&amp;#1043;&amp;#1056;&amp;#1040;&amp;#1044;&amp;#1040; JUSTUS LIPSIUS Rue de la Loi 175, 1048 BRUXELLES&quot; /&gt;_x000d__x000a_          &lt;/basicdatatype&gt;_x000d__x000a_        &lt;/meetingvenue&gt;_x000d__x000a_      &lt;/meeting&gt;_x000d__x000a_      &lt;meeting date=&quot;2016-12-09T09:30:00&quot;&gt;_x000d__x000a_        &lt;meetingvenue&gt;_x000d__x000a_          &lt;basicdatatype&gt;_x000d__x000a_            &lt;meetingvenue key=&quot;mw_01&quot; text=&quot;&amp;#1057;&amp;#1066;&amp;#1042;&amp;#1045;&amp;#1058; &amp;#1057;&amp;#1043;&amp;#1056;&amp;#1040;&amp;#1044;&amp;#1040; JUSTUS LIPSIUS Rue de la Loi 175, 1048 BRUXELLES&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922106"/>
    <w:rsid w:val="00010C1D"/>
    <w:rsid w:val="0001587A"/>
    <w:rsid w:val="00017E39"/>
    <w:rsid w:val="0006322E"/>
    <w:rsid w:val="0009656C"/>
    <w:rsid w:val="000977B0"/>
    <w:rsid w:val="00157D58"/>
    <w:rsid w:val="00165755"/>
    <w:rsid w:val="00182F2F"/>
    <w:rsid w:val="00190104"/>
    <w:rsid w:val="001C1958"/>
    <w:rsid w:val="001F75A2"/>
    <w:rsid w:val="00211C62"/>
    <w:rsid w:val="00213F1F"/>
    <w:rsid w:val="00222030"/>
    <w:rsid w:val="002962A7"/>
    <w:rsid w:val="002A2AE8"/>
    <w:rsid w:val="00345D9B"/>
    <w:rsid w:val="003B01B6"/>
    <w:rsid w:val="003B0323"/>
    <w:rsid w:val="003B78CB"/>
    <w:rsid w:val="003C6E8B"/>
    <w:rsid w:val="003D4AAE"/>
    <w:rsid w:val="004015D7"/>
    <w:rsid w:val="0044630B"/>
    <w:rsid w:val="004F3E19"/>
    <w:rsid w:val="005157F5"/>
    <w:rsid w:val="00544814"/>
    <w:rsid w:val="00583E24"/>
    <w:rsid w:val="0063379B"/>
    <w:rsid w:val="00662A0A"/>
    <w:rsid w:val="006906AC"/>
    <w:rsid w:val="00692376"/>
    <w:rsid w:val="006A38C5"/>
    <w:rsid w:val="006C1AD4"/>
    <w:rsid w:val="006D14E8"/>
    <w:rsid w:val="006E33E2"/>
    <w:rsid w:val="006F4741"/>
    <w:rsid w:val="00754B08"/>
    <w:rsid w:val="0075756A"/>
    <w:rsid w:val="00825503"/>
    <w:rsid w:val="008826F8"/>
    <w:rsid w:val="00897A1E"/>
    <w:rsid w:val="008F22F2"/>
    <w:rsid w:val="00922106"/>
    <w:rsid w:val="00963603"/>
    <w:rsid w:val="009E16BC"/>
    <w:rsid w:val="009E7B12"/>
    <w:rsid w:val="00A469D7"/>
    <w:rsid w:val="00A71A9B"/>
    <w:rsid w:val="00AD2552"/>
    <w:rsid w:val="00B31F41"/>
    <w:rsid w:val="00B53166"/>
    <w:rsid w:val="00BB2F54"/>
    <w:rsid w:val="00BE1373"/>
    <w:rsid w:val="00C14914"/>
    <w:rsid w:val="00C73B41"/>
    <w:rsid w:val="00D156A0"/>
    <w:rsid w:val="00D21ACC"/>
    <w:rsid w:val="00D451E4"/>
    <w:rsid w:val="00DA54FB"/>
    <w:rsid w:val="00DC2117"/>
    <w:rsid w:val="00E2138B"/>
    <w:rsid w:val="00E655BB"/>
    <w:rsid w:val="00F150AA"/>
    <w:rsid w:val="00F52D35"/>
    <w:rsid w:val="00F70268"/>
    <w:rsid w:val="00F8088A"/>
    <w:rsid w:val="00F91766"/>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F150AA"/>
    <w:pPr>
      <w:spacing w:after="240"/>
      <w:jc w:val="center"/>
    </w:pPr>
    <w:rPr>
      <w:rFonts w:eastAsiaTheme="minorHAnsi"/>
      <w:szCs w:val="22"/>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922106"/>
    <w:pPr>
      <w:spacing w:after="440"/>
      <w:ind w:left="-1134" w:right="-1134"/>
    </w:pPr>
    <w:rPr>
      <w:rFonts w:eastAsiaTheme="minorHAnsi"/>
      <w:sz w:val="2"/>
    </w:rPr>
  </w:style>
  <w:style w:type="character" w:customStyle="1" w:styleId="TechnicalBlockChar">
    <w:name w:val="Technical Block Char"/>
    <w:basedOn w:val="DefaultParagraphFont"/>
    <w:link w:val="TechnicalBlock"/>
    <w:rsid w:val="00922106"/>
    <w:rPr>
      <w:rFonts w:eastAsiaTheme="minorHAnsi"/>
      <w:sz w:val="24"/>
      <w:szCs w:val="22"/>
      <w:lang w:eastAsia="en-US"/>
    </w:rPr>
  </w:style>
  <w:style w:type="character" w:customStyle="1" w:styleId="HeaderCouncilLargeChar">
    <w:name w:val="Header Council Large Char"/>
    <w:basedOn w:val="TechnicalBlockChar"/>
    <w:link w:val="HeaderCouncilLarge"/>
    <w:rsid w:val="00922106"/>
    <w:rPr>
      <w:rFonts w:eastAsiaTheme="minorHAnsi"/>
      <w:sz w:val="2"/>
      <w:szCs w:val="24"/>
      <w:lang w:eastAsia="en-US"/>
    </w:rPr>
  </w:style>
  <w:style w:type="paragraph" w:customStyle="1" w:styleId="FooterText">
    <w:name w:val="Footer Text"/>
    <w:basedOn w:val="Normal"/>
    <w:rsid w:val="00922106"/>
  </w:style>
  <w:style w:type="character" w:customStyle="1" w:styleId="PointManualChar">
    <w:name w:val="Point Manual Char"/>
    <w:link w:val="PointManual"/>
    <w:locked/>
    <w:rsid w:val="001F75A2"/>
    <w:rPr>
      <w:sz w:val="24"/>
      <w:szCs w:val="24"/>
      <w:lang w:val="bg-BG" w:eastAsia="en-US"/>
    </w:rPr>
  </w:style>
  <w:style w:type="character" w:customStyle="1" w:styleId="FootnoteTextChar">
    <w:name w:val="Footnote Text Char"/>
    <w:link w:val="FootnoteText"/>
    <w:rsid w:val="001F75A2"/>
    <w:rPr>
      <w:sz w:val="24"/>
      <w:lang w:val="bg-BG" w:eastAsia="en-US"/>
    </w:rPr>
  </w:style>
  <w:style w:type="paragraph" w:customStyle="1" w:styleId="Default">
    <w:name w:val="Default"/>
    <w:rsid w:val="009E7B12"/>
    <w:pPr>
      <w:autoSpaceDE w:val="0"/>
      <w:autoSpaceDN w:val="0"/>
      <w:adjustRightInd w:val="0"/>
    </w:pPr>
    <w:rPr>
      <w:rFonts w:ascii="Arial" w:eastAsiaTheme="minorHAnsi" w:hAnsi="Arial" w:cs="Arial"/>
      <w:color w:val="000000"/>
      <w:sz w:val="24"/>
      <w:szCs w:val="24"/>
      <w:lang w:eastAsia="en-US"/>
    </w:rPr>
  </w:style>
  <w:style w:type="paragraph" w:styleId="BalloonText">
    <w:name w:val="Balloon Text"/>
    <w:basedOn w:val="Normal"/>
    <w:link w:val="BalloonTextChar"/>
    <w:uiPriority w:val="99"/>
    <w:semiHidden/>
    <w:unhideWhenUsed/>
    <w:rsid w:val="009E7B12"/>
    <w:pPr>
      <w:spacing w:line="320" w:lineRule="atLeast"/>
    </w:pPr>
    <w:rPr>
      <w:rFonts w:ascii="Lucida Grande" w:eastAsia="Cambria" w:hAnsi="Lucida Grande" w:cs="Arial"/>
      <w:sz w:val="18"/>
      <w:szCs w:val="18"/>
    </w:rPr>
  </w:style>
  <w:style w:type="character" w:customStyle="1" w:styleId="BalloonTextChar">
    <w:name w:val="Balloon Text Char"/>
    <w:basedOn w:val="DefaultParagraphFont"/>
    <w:link w:val="BalloonText"/>
    <w:uiPriority w:val="99"/>
    <w:semiHidden/>
    <w:rsid w:val="009E7B12"/>
    <w:rPr>
      <w:rFonts w:ascii="Lucida Grande" w:eastAsia="Cambria" w:hAnsi="Lucida Grande" w:cs="Arial"/>
      <w:sz w:val="18"/>
      <w:szCs w:val="18"/>
      <w:lang w:val="bg-B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F150AA"/>
    <w:pPr>
      <w:spacing w:after="240"/>
      <w:jc w:val="center"/>
    </w:pPr>
    <w:rPr>
      <w:rFonts w:eastAsiaTheme="minorHAnsi"/>
      <w:szCs w:val="22"/>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922106"/>
    <w:pPr>
      <w:spacing w:after="440"/>
      <w:ind w:left="-1134" w:right="-1134"/>
    </w:pPr>
    <w:rPr>
      <w:rFonts w:eastAsiaTheme="minorHAnsi"/>
      <w:sz w:val="2"/>
    </w:rPr>
  </w:style>
  <w:style w:type="character" w:customStyle="1" w:styleId="TechnicalBlockChar">
    <w:name w:val="Technical Block Char"/>
    <w:basedOn w:val="DefaultParagraphFont"/>
    <w:link w:val="TechnicalBlock"/>
    <w:rsid w:val="00922106"/>
    <w:rPr>
      <w:rFonts w:eastAsiaTheme="minorHAnsi"/>
      <w:sz w:val="24"/>
      <w:szCs w:val="22"/>
      <w:lang w:eastAsia="en-US"/>
    </w:rPr>
  </w:style>
  <w:style w:type="character" w:customStyle="1" w:styleId="HeaderCouncilLargeChar">
    <w:name w:val="Header Council Large Char"/>
    <w:basedOn w:val="TechnicalBlockChar"/>
    <w:link w:val="HeaderCouncilLarge"/>
    <w:rsid w:val="00922106"/>
    <w:rPr>
      <w:rFonts w:eastAsiaTheme="minorHAnsi"/>
      <w:sz w:val="2"/>
      <w:szCs w:val="24"/>
      <w:lang w:eastAsia="en-US"/>
    </w:rPr>
  </w:style>
  <w:style w:type="paragraph" w:customStyle="1" w:styleId="FooterText">
    <w:name w:val="Footer Text"/>
    <w:basedOn w:val="Normal"/>
    <w:rsid w:val="00922106"/>
  </w:style>
  <w:style w:type="character" w:customStyle="1" w:styleId="PointManualChar">
    <w:name w:val="Point Manual Char"/>
    <w:link w:val="PointManual"/>
    <w:locked/>
    <w:rsid w:val="001F75A2"/>
    <w:rPr>
      <w:sz w:val="24"/>
      <w:szCs w:val="24"/>
      <w:lang w:val="bg-BG" w:eastAsia="en-US"/>
    </w:rPr>
  </w:style>
  <w:style w:type="character" w:customStyle="1" w:styleId="FootnoteTextChar">
    <w:name w:val="Footnote Text Char"/>
    <w:link w:val="FootnoteText"/>
    <w:rsid w:val="001F75A2"/>
    <w:rPr>
      <w:sz w:val="24"/>
      <w:lang w:val="bg-BG" w:eastAsia="en-US"/>
    </w:rPr>
  </w:style>
  <w:style w:type="paragraph" w:customStyle="1" w:styleId="Default">
    <w:name w:val="Default"/>
    <w:rsid w:val="009E7B12"/>
    <w:pPr>
      <w:autoSpaceDE w:val="0"/>
      <w:autoSpaceDN w:val="0"/>
      <w:adjustRightInd w:val="0"/>
    </w:pPr>
    <w:rPr>
      <w:rFonts w:ascii="Arial" w:eastAsiaTheme="minorHAnsi" w:hAnsi="Arial" w:cs="Arial"/>
      <w:color w:val="000000"/>
      <w:sz w:val="24"/>
      <w:szCs w:val="24"/>
      <w:lang w:eastAsia="en-US"/>
    </w:rPr>
  </w:style>
  <w:style w:type="paragraph" w:styleId="BalloonText">
    <w:name w:val="Balloon Text"/>
    <w:basedOn w:val="Normal"/>
    <w:link w:val="BalloonTextChar"/>
    <w:uiPriority w:val="99"/>
    <w:semiHidden/>
    <w:unhideWhenUsed/>
    <w:rsid w:val="009E7B12"/>
    <w:pPr>
      <w:spacing w:line="320" w:lineRule="atLeast"/>
    </w:pPr>
    <w:rPr>
      <w:rFonts w:ascii="Lucida Grande" w:eastAsia="Cambria" w:hAnsi="Lucida Grande" w:cs="Arial"/>
      <w:sz w:val="18"/>
      <w:szCs w:val="18"/>
    </w:rPr>
  </w:style>
  <w:style w:type="character" w:customStyle="1" w:styleId="BalloonTextChar">
    <w:name w:val="Balloon Text Char"/>
    <w:basedOn w:val="DefaultParagraphFont"/>
    <w:link w:val="BalloonText"/>
    <w:uiPriority w:val="99"/>
    <w:semiHidden/>
    <w:rsid w:val="009E7B12"/>
    <w:rPr>
      <w:rFonts w:ascii="Lucida Grande" w:eastAsia="Cambria" w:hAnsi="Lucida Grande" w:cs="Arial"/>
      <w:sz w:val="18"/>
      <w:szCs w:val="18"/>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916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A7651-4A53-4F64-9432-4FCFBBD1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0</TotalTime>
  <Pages>6</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LAUBENGEIGER Andrea</dc:creator>
  <cp:lastModifiedBy>VASILEVA Sokolova Veselina</cp:lastModifiedBy>
  <cp:revision>3</cp:revision>
  <cp:lastPrinted>2016-11-23T13:26:00Z</cp:lastPrinted>
  <dcterms:created xsi:type="dcterms:W3CDTF">2016-11-24T12:56:00Z</dcterms:created>
  <dcterms:modified xsi:type="dcterms:W3CDTF">2016-11-24T12:57:00Z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3.8.2, Build 20161102</vt:lpwstr>
  </property>
</Properties>
</file>