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B9" w:rsidRPr="00681AA6" w:rsidRDefault="00173B63" w:rsidP="00681AA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6783240-f945-4a26-8e9e-c5b203634c54_0" style="width:568.5pt;height:492pt">
            <v:imagedata r:id="rId9" o:title=""/>
          </v:shape>
        </w:pict>
      </w:r>
      <w:bookmarkEnd w:id="0"/>
    </w:p>
    <w:p w:rsidR="00140C82" w:rsidRPr="00681AA6" w:rsidRDefault="00140C82" w:rsidP="00552C07">
      <w:pPr>
        <w:pStyle w:val="PointManual"/>
        <w:spacing w:before="360"/>
      </w:pPr>
      <w:r w:rsidRPr="00681AA6">
        <w:t>1.</w:t>
      </w:r>
      <w:r w:rsidRPr="00681AA6">
        <w:tab/>
        <w:t>Приемане на дневния ред</w:t>
      </w:r>
    </w:p>
    <w:p w:rsidR="00140C82" w:rsidRPr="00681AA6" w:rsidRDefault="00140C82" w:rsidP="00552C07">
      <w:pPr>
        <w:spacing w:before="360"/>
        <w:rPr>
          <w:rFonts w:cstheme="minorBidi"/>
          <w:b/>
          <w:bCs/>
          <w:u w:val="single"/>
        </w:rPr>
      </w:pPr>
      <w:r w:rsidRPr="00681AA6">
        <w:rPr>
          <w:b/>
          <w:bCs/>
          <w:u w:val="single"/>
        </w:rPr>
        <w:t>Незаконодателни дейности</w:t>
      </w:r>
    </w:p>
    <w:p w:rsidR="00140C82" w:rsidRPr="00681AA6" w:rsidRDefault="00140C82" w:rsidP="00667F0B">
      <w:pPr>
        <w:pStyle w:val="PointManual"/>
        <w:spacing w:before="360"/>
      </w:pPr>
      <w:r w:rsidRPr="00681AA6">
        <w:t>2.</w:t>
      </w:r>
      <w:r w:rsidRPr="00681AA6">
        <w:tab/>
        <w:t>(евентуално) Одобряване на списъка на точки А</w:t>
      </w:r>
    </w:p>
    <w:p w:rsidR="00140C82" w:rsidRPr="00681AA6" w:rsidRDefault="00140C82" w:rsidP="00A20D2A">
      <w:pPr>
        <w:spacing w:before="480"/>
        <w:jc w:val="both"/>
        <w:rPr>
          <w:b/>
          <w:bCs/>
          <w:i/>
          <w:iCs/>
          <w:color w:val="000000"/>
          <w:szCs w:val="24"/>
        </w:rPr>
      </w:pPr>
      <w:r w:rsidRPr="00681AA6">
        <w:rPr>
          <w:b/>
          <w:bCs/>
          <w:color w:val="000000"/>
          <w:szCs w:val="24"/>
          <w:u w:val="single"/>
        </w:rPr>
        <w:t>Обсъждания на законодателни актове</w:t>
      </w:r>
    </w:p>
    <w:p w:rsidR="00140C82" w:rsidRPr="00681AA6" w:rsidRDefault="00140C82" w:rsidP="00A20D2A">
      <w:pPr>
        <w:rPr>
          <w:b/>
          <w:bCs/>
          <w:color w:val="000000"/>
          <w:szCs w:val="24"/>
        </w:rPr>
      </w:pPr>
      <w:r w:rsidRPr="00681AA6">
        <w:rPr>
          <w:b/>
          <w:bCs/>
          <w:color w:val="000000"/>
          <w:szCs w:val="24"/>
        </w:rPr>
        <w:t>(открито обсъждане съгласно член 16, параграф 8 от Договора за Европейския съюз)</w:t>
      </w:r>
    </w:p>
    <w:p w:rsidR="00140C82" w:rsidRPr="00681AA6" w:rsidRDefault="00140C82" w:rsidP="00667F0B">
      <w:pPr>
        <w:pStyle w:val="PointManual"/>
        <w:spacing w:before="360"/>
      </w:pPr>
      <w:r w:rsidRPr="00681AA6">
        <w:t>3.</w:t>
      </w:r>
      <w:r w:rsidRPr="00681AA6">
        <w:tab/>
        <w:t>(евентуално)</w:t>
      </w:r>
      <w:r w:rsidRPr="00681AA6">
        <w:rPr>
          <w:b/>
          <w:bCs/>
        </w:rPr>
        <w:t xml:space="preserve"> </w:t>
      </w:r>
      <w:r w:rsidRPr="00681AA6">
        <w:t>Одобряване на списъка на точки А</w:t>
      </w:r>
    </w:p>
    <w:p w:rsidR="00140C82" w:rsidRPr="00681AA6" w:rsidRDefault="00140C82" w:rsidP="00B91C79">
      <w:pPr>
        <w:spacing w:before="240"/>
        <w:rPr>
          <w:u w:val="single"/>
        </w:rPr>
      </w:pPr>
      <w:r w:rsidRPr="00681AA6">
        <w:br w:type="page"/>
      </w:r>
      <w:r w:rsidRPr="00681AA6">
        <w:rPr>
          <w:u w:val="single"/>
        </w:rPr>
        <w:lastRenderedPageBreak/>
        <w:t>ЗАЕТОСТ И СОЦИАЛНА ПОЛИТИКА</w:t>
      </w:r>
    </w:p>
    <w:p w:rsidR="00140C82" w:rsidRPr="00681AA6" w:rsidRDefault="00140C82" w:rsidP="005E4FEF">
      <w:pPr>
        <w:pStyle w:val="PointDoubleManual"/>
        <w:spacing w:before="480"/>
      </w:pPr>
      <w:r w:rsidRPr="00681AA6">
        <w:t>4.</w:t>
      </w:r>
      <w:r w:rsidRPr="00681AA6">
        <w:tab/>
        <w:t>а)</w:t>
      </w:r>
      <w:r w:rsidRPr="00681AA6">
        <w:tab/>
        <w:t xml:space="preserve">Предложение за регламент на Европейския парламент и на Съвета относно създаването на Европейската фондация за подобряване на условията на живот и труд (Eurofound) и за отмяна на Регламент (ЕИО) № 1365/75 на Съвета </w:t>
      </w:r>
      <w:r w:rsidRPr="00681AA6">
        <w:rPr>
          <w:b/>
          <w:bCs/>
        </w:rPr>
        <w:t>(първо четене)</w:t>
      </w:r>
    </w:p>
    <w:p w:rsidR="00140C82" w:rsidRPr="00681AA6" w:rsidRDefault="00140C82" w:rsidP="00140C82">
      <w:pPr>
        <w:pStyle w:val="Text2"/>
      </w:pPr>
      <w:r w:rsidRPr="00681AA6">
        <w:t>Междуинституционално досие: 2016/0256 (COD)</w:t>
      </w:r>
    </w:p>
    <w:p w:rsidR="00140C82" w:rsidRPr="00681AA6" w:rsidRDefault="00140C82" w:rsidP="00140C82">
      <w:pPr>
        <w:pStyle w:val="PointManual1"/>
        <w:spacing w:before="120"/>
      </w:pPr>
      <w:r w:rsidRPr="00681AA6">
        <w:t>б)</w:t>
      </w:r>
      <w:r w:rsidRPr="00681AA6">
        <w:tab/>
        <w:t xml:space="preserve">Предложение за регламент на Европейския парламент и на Съвета за създаване на Агенцията на Европейския съюз за безопасност и здраве при работа (EU-OSHA) и за отмяна на Регламент № 2062/94 на Съвета </w:t>
      </w:r>
      <w:r w:rsidRPr="00681AA6">
        <w:rPr>
          <w:b/>
          <w:bCs/>
        </w:rPr>
        <w:t>(първо четене)</w:t>
      </w:r>
    </w:p>
    <w:p w:rsidR="00140C82" w:rsidRPr="00681AA6" w:rsidRDefault="00140C82" w:rsidP="00140C82">
      <w:pPr>
        <w:pStyle w:val="Text2"/>
        <w:rPr>
          <w:b/>
          <w:bCs/>
        </w:rPr>
      </w:pPr>
      <w:r w:rsidRPr="00681AA6">
        <w:t>Междуинституционално досие:</w:t>
      </w:r>
      <w:r w:rsidRPr="00681AA6">
        <w:rPr>
          <w:b/>
          <w:bCs/>
        </w:rPr>
        <w:t xml:space="preserve"> </w:t>
      </w:r>
      <w:r w:rsidRPr="00681AA6">
        <w:t>2016/0254 (COD)</w:t>
      </w:r>
    </w:p>
    <w:p w:rsidR="00140C82" w:rsidRPr="00681AA6" w:rsidRDefault="00140C82" w:rsidP="00140C82">
      <w:pPr>
        <w:pStyle w:val="PointManual1"/>
        <w:spacing w:before="120"/>
      </w:pPr>
      <w:r w:rsidRPr="00681AA6">
        <w:t>в)</w:t>
      </w:r>
      <w:r w:rsidRPr="00681AA6">
        <w:tab/>
        <w:t xml:space="preserve">Предложение за регламент на Европейския парламент и на Съвета за създаване на Европейски център за развитие на професионалното обучение (Cedefop) и за отмяна на Регламент (ЕИО) № 337/75 </w:t>
      </w:r>
      <w:r w:rsidRPr="00681AA6">
        <w:rPr>
          <w:b/>
          <w:bCs/>
        </w:rPr>
        <w:t>(първо четене)</w:t>
      </w:r>
    </w:p>
    <w:p w:rsidR="00140C82" w:rsidRPr="00681AA6" w:rsidRDefault="00140C82" w:rsidP="00140C82">
      <w:pPr>
        <w:pStyle w:val="Text2"/>
      </w:pPr>
      <w:r w:rsidRPr="00681AA6">
        <w:t>Междуинституционално досие: 2016/0257 (COD)</w:t>
      </w:r>
    </w:p>
    <w:p w:rsidR="00140C82" w:rsidRPr="00681AA6" w:rsidRDefault="00140C82" w:rsidP="00AC10B5">
      <w:pPr>
        <w:pStyle w:val="DashEqual1"/>
        <w:numPr>
          <w:ilvl w:val="0"/>
          <w:numId w:val="2"/>
        </w:numPr>
      </w:pPr>
      <w:r w:rsidRPr="00681AA6">
        <w:t>Общ подход</w:t>
      </w:r>
    </w:p>
    <w:p w:rsidR="00307F00" w:rsidRPr="00681AA6" w:rsidRDefault="00307F00" w:rsidP="005E2C88">
      <w:pPr>
        <w:pStyle w:val="Text3"/>
        <w:rPr>
          <w:szCs w:val="20"/>
        </w:rPr>
      </w:pPr>
      <w:r w:rsidRPr="00681AA6">
        <w:t>11530/16 SOC 477 EMPL 311 CODEC 1111</w:t>
      </w:r>
    </w:p>
    <w:p w:rsidR="00307F00" w:rsidRPr="00681AA6" w:rsidRDefault="00307F00" w:rsidP="005E2C88">
      <w:pPr>
        <w:pStyle w:val="Text3"/>
        <w:rPr>
          <w:rFonts w:eastAsia="Times New Roman"/>
          <w:szCs w:val="24"/>
        </w:rPr>
      </w:pPr>
      <w:r w:rsidRPr="00681AA6">
        <w:t>11531/16 SOC 478 EMPL 312 CODEC 1112</w:t>
      </w:r>
    </w:p>
    <w:p w:rsidR="00307F00" w:rsidRPr="00681AA6" w:rsidRDefault="00307F00" w:rsidP="005E2C88">
      <w:pPr>
        <w:pStyle w:val="Text3"/>
        <w:rPr>
          <w:rFonts w:eastAsia="Times New Roman"/>
          <w:szCs w:val="24"/>
        </w:rPr>
      </w:pPr>
      <w:r w:rsidRPr="00681AA6">
        <w:t>11532/16 SOC 479 EMPL 313 EDUC 260 CODEC 1113</w:t>
      </w:r>
    </w:p>
    <w:p w:rsidR="00140C82" w:rsidRPr="00681AA6" w:rsidRDefault="00140C82" w:rsidP="00B91C79">
      <w:pPr>
        <w:pStyle w:val="PointManual"/>
        <w:spacing w:before="480"/>
      </w:pPr>
      <w:r w:rsidRPr="00681AA6">
        <w:t>5.</w:t>
      </w:r>
      <w:r w:rsidRPr="00681AA6">
        <w:tab/>
        <w:t xml:space="preserve">Предложение за директива на Европейския парламент и на Съвета за изменение на Директива 96/71/ЕО на Европейския парламент и на Съвета от 16 декември 1996 г. относно командироването на работници в рамките на предоставянето на услуги </w:t>
      </w:r>
      <w:r w:rsidRPr="00681AA6">
        <w:rPr>
          <w:b/>
          <w:bCs/>
        </w:rPr>
        <w:t>(първо четене)</w:t>
      </w:r>
    </w:p>
    <w:p w:rsidR="00140C82" w:rsidRPr="00681AA6" w:rsidRDefault="00140C82" w:rsidP="00140C82">
      <w:pPr>
        <w:pStyle w:val="Text1"/>
      </w:pPr>
      <w:r w:rsidRPr="00681AA6">
        <w:t>Междуинституционално досие: 2016/0070 (COD)</w:t>
      </w:r>
    </w:p>
    <w:p w:rsidR="00140C82" w:rsidRPr="00681AA6" w:rsidRDefault="00140C82" w:rsidP="00140C82">
      <w:pPr>
        <w:pStyle w:val="DashEqual1"/>
        <w:rPr>
          <w:rFonts w:cstheme="minorBidi"/>
          <w:b/>
        </w:rPr>
      </w:pPr>
      <w:r w:rsidRPr="00681AA6">
        <w:t>Доклад за напредъка</w:t>
      </w:r>
    </w:p>
    <w:p w:rsidR="00327131" w:rsidRPr="00681AA6" w:rsidRDefault="00327131" w:rsidP="005E2C88">
      <w:pPr>
        <w:pStyle w:val="Text3"/>
        <w:rPr>
          <w:rFonts w:eastAsia="Times New Roman"/>
          <w:szCs w:val="24"/>
        </w:rPr>
      </w:pPr>
      <w:r w:rsidRPr="00681AA6">
        <w:t>6987/16 SOC 144 EMPL 97 MI 142 COMPET 118 CODEC 279</w:t>
      </w:r>
    </w:p>
    <w:p w:rsidR="00140C82" w:rsidRPr="00681AA6" w:rsidRDefault="00140C82" w:rsidP="00B91C79">
      <w:pPr>
        <w:pStyle w:val="PointManual"/>
        <w:spacing w:before="480"/>
      </w:pPr>
      <w:r w:rsidRPr="00681AA6">
        <w:t>6.</w:t>
      </w:r>
      <w:r w:rsidRPr="00681AA6">
        <w:tab/>
        <w:t xml:space="preserve">Предложение за директива на Европейския парламент и на Съвета за сближаване на законовите, подзаконовите и административните разпоредби на държавите членки по отношение на изискванията за достъпност за продукти и услуги </w:t>
      </w:r>
      <w:r w:rsidRPr="00681AA6">
        <w:rPr>
          <w:b/>
          <w:bCs/>
        </w:rPr>
        <w:t>(първо четене)</w:t>
      </w:r>
    </w:p>
    <w:p w:rsidR="00140C82" w:rsidRPr="00681AA6" w:rsidRDefault="00140C82" w:rsidP="00140C82">
      <w:pPr>
        <w:pStyle w:val="Text1"/>
      </w:pPr>
      <w:r w:rsidRPr="00681AA6">
        <w:t>Междуинституционално досие: 2015/0278 (COD)</w:t>
      </w:r>
    </w:p>
    <w:p w:rsidR="00140C82" w:rsidRPr="00681AA6" w:rsidRDefault="00140C82" w:rsidP="00140C82">
      <w:pPr>
        <w:pStyle w:val="DashEqual1"/>
      </w:pPr>
      <w:r w:rsidRPr="00681AA6">
        <w:t>Доклад за напредъка</w:t>
      </w:r>
    </w:p>
    <w:p w:rsidR="00307F00" w:rsidRPr="00681AA6" w:rsidRDefault="00307F00" w:rsidP="005E2C88">
      <w:pPr>
        <w:pStyle w:val="Text3"/>
        <w:rPr>
          <w:rFonts w:eastAsia="Times New Roman"/>
          <w:szCs w:val="24"/>
        </w:rPr>
      </w:pPr>
      <w:r w:rsidRPr="00681AA6">
        <w:t>14799/15 SOC 700 MI 770 ANTIDSCRIM 15 AUDIO 34 CODEC 1774</w:t>
      </w:r>
    </w:p>
    <w:p w:rsidR="00FA4833" w:rsidRPr="00681AA6" w:rsidRDefault="00FA4833" w:rsidP="00FA4833">
      <w:pPr>
        <w:pStyle w:val="Text4"/>
      </w:pPr>
      <w:r w:rsidRPr="00681AA6">
        <w:t>+ COR 1</w:t>
      </w:r>
    </w:p>
    <w:p w:rsidR="00FA4833" w:rsidRPr="00681AA6" w:rsidRDefault="00FA4833" w:rsidP="00FA4833">
      <w:pPr>
        <w:pStyle w:val="Text4"/>
      </w:pPr>
      <w:r w:rsidRPr="00681AA6">
        <w:t>+ COR 2</w:t>
      </w:r>
    </w:p>
    <w:p w:rsidR="00FA4833" w:rsidRPr="00681AA6" w:rsidRDefault="00FA4833" w:rsidP="00FA4833">
      <w:pPr>
        <w:pStyle w:val="Text4"/>
      </w:pPr>
      <w:r w:rsidRPr="00681AA6">
        <w:t>+ REV 1 (lt)</w:t>
      </w:r>
    </w:p>
    <w:p w:rsidR="00140C82" w:rsidRPr="00681AA6" w:rsidRDefault="00140C82" w:rsidP="00B91C79">
      <w:pPr>
        <w:pStyle w:val="PointManual"/>
        <w:spacing w:before="480"/>
      </w:pPr>
      <w:r w:rsidRPr="00681AA6">
        <w:t>7.</w:t>
      </w:r>
      <w:r w:rsidRPr="00681AA6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140C82" w:rsidRPr="00681AA6" w:rsidRDefault="00140C82" w:rsidP="00140C82">
      <w:pPr>
        <w:pStyle w:val="Text1"/>
      </w:pPr>
      <w:r w:rsidRPr="00681AA6">
        <w:t>Междуинституционално досие: 2008/0140 (CNS)</w:t>
      </w:r>
    </w:p>
    <w:p w:rsidR="00140C82" w:rsidRPr="00681AA6" w:rsidRDefault="00140C82" w:rsidP="00140C82">
      <w:pPr>
        <w:pStyle w:val="DashEqual1"/>
      </w:pPr>
      <w:r w:rsidRPr="00681AA6">
        <w:t>Доклад за напредъка</w:t>
      </w:r>
    </w:p>
    <w:p w:rsidR="00307F00" w:rsidRPr="00681AA6" w:rsidRDefault="00307F00" w:rsidP="005E2C88">
      <w:pPr>
        <w:pStyle w:val="Text3"/>
        <w:rPr>
          <w:rFonts w:eastAsia="Times New Roman"/>
          <w:szCs w:val="24"/>
        </w:rPr>
      </w:pPr>
      <w:r w:rsidRPr="00681AA6">
        <w:t>11531/08 SOC 411 JAI 368 MI 246</w:t>
      </w:r>
    </w:p>
    <w:p w:rsidR="00140C82" w:rsidRPr="00681AA6" w:rsidRDefault="00B91C79" w:rsidP="0092010E">
      <w:pPr>
        <w:spacing w:before="240"/>
        <w:rPr>
          <w:rFonts w:cstheme="minorBidi"/>
          <w:b/>
          <w:bCs/>
          <w:u w:val="single"/>
        </w:rPr>
      </w:pPr>
      <w:r w:rsidRPr="00681AA6">
        <w:br w:type="page"/>
      </w:r>
      <w:r w:rsidRPr="00681AA6">
        <w:rPr>
          <w:b/>
          <w:bCs/>
          <w:u w:val="single"/>
        </w:rPr>
        <w:lastRenderedPageBreak/>
        <w:t>Незаконодателни дейности</w:t>
      </w:r>
    </w:p>
    <w:p w:rsidR="00140C82" w:rsidRPr="00681AA6" w:rsidRDefault="00140C82" w:rsidP="00D16A59">
      <w:pPr>
        <w:rPr>
          <w:b/>
          <w:bCs/>
        </w:rPr>
      </w:pPr>
      <w:r w:rsidRPr="00681AA6">
        <w:rPr>
          <w:b/>
          <w:bCs/>
        </w:rPr>
        <w:t>(открит дебат в съответствие с член 8, параграф 2 от Процедурния правилник на Съвета [по предложение на председателството] за точки 8 — 13)</w:t>
      </w:r>
    </w:p>
    <w:p w:rsidR="00CC5F96" w:rsidRPr="00681AA6" w:rsidRDefault="00CC5F96" w:rsidP="00CC5F96">
      <w:pPr>
        <w:pStyle w:val="PointManual"/>
        <w:spacing w:before="480"/>
      </w:pPr>
      <w:r w:rsidRPr="00681AA6">
        <w:t>8.</w:t>
      </w:r>
      <w:r w:rsidRPr="00681AA6">
        <w:tab/>
        <w:t>Европейски стълб на социалните права</w:t>
      </w:r>
    </w:p>
    <w:p w:rsidR="00CC5F96" w:rsidRPr="00681AA6" w:rsidRDefault="00CC5F96" w:rsidP="00CC5F96">
      <w:pPr>
        <w:pStyle w:val="DashEqual1"/>
        <w:rPr>
          <w:rFonts w:cstheme="minorBidi"/>
        </w:rPr>
      </w:pPr>
      <w:r w:rsidRPr="00681AA6">
        <w:t>Ориентационен дебат</w:t>
      </w:r>
    </w:p>
    <w:p w:rsidR="00140C82" w:rsidRPr="00681AA6" w:rsidRDefault="00CC5F96" w:rsidP="0092010E">
      <w:pPr>
        <w:pStyle w:val="PointManual"/>
        <w:spacing w:before="480"/>
      </w:pPr>
      <w:r w:rsidRPr="00681AA6">
        <w:t>9.</w:t>
      </w:r>
      <w:r w:rsidRPr="00681AA6">
        <w:tab/>
        <w:t>Европейски семестър 2017 г.</w:t>
      </w:r>
    </w:p>
    <w:p w:rsidR="00140C82" w:rsidRPr="00681AA6" w:rsidRDefault="00140C82" w:rsidP="0092010E">
      <w:pPr>
        <w:pStyle w:val="DashEqual1"/>
      </w:pPr>
      <w:r w:rsidRPr="00681AA6">
        <w:t>Обмен на мнения</w:t>
      </w:r>
    </w:p>
    <w:p w:rsidR="00140C82" w:rsidRPr="00681AA6" w:rsidRDefault="0092010E" w:rsidP="00B24A0E">
      <w:pPr>
        <w:pStyle w:val="PointManual2"/>
        <w:spacing w:before="120"/>
        <w:rPr>
          <w:b/>
          <w:bCs/>
        </w:rPr>
      </w:pPr>
      <w:r w:rsidRPr="00681AA6">
        <w:t>а)</w:t>
      </w:r>
      <w:r w:rsidRPr="00681AA6">
        <w:tab/>
        <w:t>годишен обзор на растежа (ГОР), доклад за механизма за предупреждение (ДМП), проект на съвместен доклад за заетостта (СДЗ) и проект за препоръка относно икономическата политика на еврозоната</w:t>
      </w:r>
    </w:p>
    <w:p w:rsidR="00140C82" w:rsidRPr="00681AA6" w:rsidRDefault="0092010E" w:rsidP="00AC10B5">
      <w:pPr>
        <w:pStyle w:val="DashEqual3"/>
        <w:numPr>
          <w:ilvl w:val="0"/>
          <w:numId w:val="3"/>
        </w:numPr>
      </w:pPr>
      <w:r w:rsidRPr="00681AA6">
        <w:tab/>
        <w:t>Представяне от Комисията</w:t>
      </w:r>
    </w:p>
    <w:p w:rsidR="00140C82" w:rsidRPr="00681AA6" w:rsidRDefault="0092010E" w:rsidP="0092010E">
      <w:pPr>
        <w:pStyle w:val="PointManual2"/>
        <w:spacing w:before="120"/>
      </w:pPr>
      <w:r w:rsidRPr="00681AA6">
        <w:t>б)</w:t>
      </w:r>
      <w:r w:rsidRPr="00681AA6">
        <w:tab/>
        <w:t>принос относно свързаните със заетостта и социалните въпроси аспекти на проекта за препоръка относно икономическата политика на еврозоната</w:t>
      </w:r>
    </w:p>
    <w:p w:rsidR="00140C82" w:rsidRPr="00681AA6" w:rsidRDefault="0092010E" w:rsidP="0092010E">
      <w:pPr>
        <w:pStyle w:val="DashEqual3"/>
      </w:pPr>
      <w:r w:rsidRPr="00681AA6">
        <w:tab/>
        <w:t>Одобрение</w:t>
      </w:r>
    </w:p>
    <w:p w:rsidR="00140C82" w:rsidRPr="00681AA6" w:rsidRDefault="0092010E" w:rsidP="0051224D">
      <w:pPr>
        <w:pStyle w:val="PointManual2"/>
        <w:spacing w:before="120"/>
      </w:pPr>
      <w:r w:rsidRPr="00681AA6">
        <w:t>в)</w:t>
      </w:r>
      <w:r w:rsidRPr="00681AA6">
        <w:tab/>
        <w:t>участие на социалните партньори на национално равнище в Европейския семестър</w:t>
      </w:r>
    </w:p>
    <w:p w:rsidR="00140C82" w:rsidRPr="00681AA6" w:rsidRDefault="00140C82" w:rsidP="0092010E">
      <w:pPr>
        <w:pStyle w:val="DashEqual3"/>
      </w:pPr>
      <w:r w:rsidRPr="00681AA6">
        <w:t>Представяне от председателя на Комитета по заетостта</w:t>
      </w:r>
    </w:p>
    <w:p w:rsidR="00140C82" w:rsidRPr="00681AA6" w:rsidRDefault="0092010E" w:rsidP="0092010E">
      <w:pPr>
        <w:pStyle w:val="PointManual"/>
        <w:spacing w:before="480"/>
      </w:pPr>
      <w:r w:rsidRPr="00681AA6">
        <w:t>10.</w:t>
      </w:r>
      <w:r w:rsidRPr="00681AA6">
        <w:tab/>
        <w:t>Проект за заключения на Съвета относно прилагането на гаранцията за младежта и инициативата за младежка заетост</w:t>
      </w:r>
    </w:p>
    <w:p w:rsidR="00140C82" w:rsidRPr="00681AA6" w:rsidRDefault="00140C82" w:rsidP="0092010E">
      <w:pPr>
        <w:pStyle w:val="DashEqual1"/>
        <w:rPr>
          <w:rFonts w:cstheme="minorBidi"/>
          <w:b/>
        </w:rPr>
      </w:pPr>
      <w:r w:rsidRPr="00681AA6">
        <w:t>Приемане</w:t>
      </w:r>
    </w:p>
    <w:p w:rsidR="00140C82" w:rsidRPr="00681AA6" w:rsidRDefault="0092010E" w:rsidP="0092010E">
      <w:pPr>
        <w:pStyle w:val="PointManual"/>
        <w:spacing w:before="480"/>
      </w:pPr>
      <w:r w:rsidRPr="00681AA6">
        <w:t>11.</w:t>
      </w:r>
      <w:r w:rsidRPr="00681AA6">
        <w:tab/>
        <w:t>Проект за заключения на Съвета относно ускоряването на процеса на интегриране на ромите</w:t>
      </w:r>
    </w:p>
    <w:p w:rsidR="00140C82" w:rsidRPr="00681AA6" w:rsidRDefault="00140C82" w:rsidP="0092010E">
      <w:pPr>
        <w:pStyle w:val="DashEqual1"/>
        <w:rPr>
          <w:b/>
          <w:bCs/>
        </w:rPr>
      </w:pPr>
      <w:r w:rsidRPr="00681AA6">
        <w:t>Приемане</w:t>
      </w:r>
    </w:p>
    <w:p w:rsidR="00140C82" w:rsidRPr="00681AA6" w:rsidRDefault="0092010E" w:rsidP="0092010E">
      <w:pPr>
        <w:pStyle w:val="PointManual"/>
        <w:spacing w:before="480"/>
      </w:pPr>
      <w:r w:rsidRPr="00681AA6">
        <w:t>12.</w:t>
      </w:r>
      <w:r w:rsidRPr="00681AA6">
        <w:tab/>
        <w:t>Проект за заключения на Съвета относно „Жените и бедността“</w:t>
      </w:r>
    </w:p>
    <w:p w:rsidR="00140C82" w:rsidRPr="00681AA6" w:rsidRDefault="00140C82" w:rsidP="0092010E">
      <w:pPr>
        <w:pStyle w:val="DashEqual1"/>
        <w:rPr>
          <w:b/>
          <w:bCs/>
        </w:rPr>
      </w:pPr>
      <w:r w:rsidRPr="00681AA6">
        <w:t>Приемане</w:t>
      </w:r>
    </w:p>
    <w:p w:rsidR="00140C82" w:rsidRPr="00681AA6" w:rsidRDefault="00C93417" w:rsidP="00C93417">
      <w:pPr>
        <w:pStyle w:val="PointManual"/>
        <w:spacing w:before="240"/>
        <w:rPr>
          <w:u w:val="single"/>
        </w:rPr>
      </w:pPr>
      <w:r w:rsidRPr="00681AA6">
        <w:br w:type="page"/>
      </w:r>
      <w:r w:rsidRPr="00681AA6">
        <w:rPr>
          <w:u w:val="single"/>
        </w:rPr>
        <w:lastRenderedPageBreak/>
        <w:t>ЗДРАВЕОПАЗВАНЕ</w:t>
      </w:r>
    </w:p>
    <w:p w:rsidR="00140C82" w:rsidRPr="00681AA6" w:rsidRDefault="0092010E" w:rsidP="00071E7B">
      <w:pPr>
        <w:pStyle w:val="PointManual"/>
        <w:spacing w:before="480"/>
      </w:pPr>
      <w:r w:rsidRPr="00681AA6">
        <w:t>13.</w:t>
      </w:r>
      <w:r w:rsidRPr="00681AA6">
        <w:tab/>
        <w:t>Европейски семестър:</w:t>
      </w:r>
      <w:r w:rsidRPr="00681AA6">
        <w:rPr>
          <w:b/>
        </w:rPr>
        <w:t xml:space="preserve"> </w:t>
      </w:r>
      <w:r w:rsidRPr="00681AA6">
        <w:t xml:space="preserve">Годишен обзор на растежа за 2017 г. </w:t>
      </w:r>
      <w:r w:rsidRPr="00681AA6">
        <w:sym w:font="Symbol" w:char="F02D"/>
      </w:r>
      <w:r w:rsidRPr="00681AA6">
        <w:t xml:space="preserve"> част, свързана с общественото здравеопазване</w:t>
      </w:r>
    </w:p>
    <w:p w:rsidR="00140C82" w:rsidRPr="00681AA6" w:rsidRDefault="00140C82" w:rsidP="0092010E">
      <w:pPr>
        <w:pStyle w:val="DashEqual1"/>
      </w:pPr>
      <w:r w:rsidRPr="00681AA6">
        <w:t>Обмен на мнения</w:t>
      </w:r>
    </w:p>
    <w:p w:rsidR="00140C82" w:rsidRPr="00681AA6" w:rsidRDefault="00140C82" w:rsidP="00C93417">
      <w:pPr>
        <w:pStyle w:val="PointManual"/>
        <w:spacing w:before="720" w:after="240"/>
        <w:rPr>
          <w:b/>
          <w:iCs/>
          <w:u w:val="single"/>
        </w:rPr>
      </w:pPr>
      <w:r w:rsidRPr="00681AA6">
        <w:rPr>
          <w:b/>
          <w:u w:val="single"/>
        </w:rPr>
        <w:t>Други въпроси</w:t>
      </w:r>
    </w:p>
    <w:p w:rsidR="00140C82" w:rsidRPr="00681AA6" w:rsidRDefault="00140C82" w:rsidP="00B33D7E">
      <w:pPr>
        <w:spacing w:before="120" w:line="276" w:lineRule="auto"/>
        <w:rPr>
          <w:szCs w:val="24"/>
          <w:u w:val="single"/>
        </w:rPr>
      </w:pPr>
      <w:r w:rsidRPr="00681AA6">
        <w:rPr>
          <w:szCs w:val="24"/>
          <w:u w:val="single"/>
        </w:rPr>
        <w:t>Заетост и социална политика</w:t>
      </w:r>
    </w:p>
    <w:p w:rsidR="00140C82" w:rsidRPr="00681AA6" w:rsidRDefault="00140C82" w:rsidP="003B2940">
      <w:pPr>
        <w:pStyle w:val="PointDoubleManual"/>
        <w:spacing w:before="240"/>
      </w:pPr>
      <w:r w:rsidRPr="00681AA6">
        <w:t>14.</w:t>
      </w:r>
      <w:r w:rsidRPr="00681AA6">
        <w:tab/>
        <w:t>а)</w:t>
      </w:r>
      <w:r w:rsidRPr="00681AA6">
        <w:tab/>
        <w:t>Инициатива за младежта</w:t>
      </w:r>
    </w:p>
    <w:p w:rsidR="00140C82" w:rsidRPr="00681AA6" w:rsidRDefault="00140C82" w:rsidP="00AC10B5">
      <w:pPr>
        <w:pStyle w:val="DashEqual2"/>
        <w:numPr>
          <w:ilvl w:val="0"/>
          <w:numId w:val="4"/>
        </w:numPr>
      </w:pPr>
      <w:r w:rsidRPr="00681AA6">
        <w:t>Представяне от Комисията</w:t>
      </w:r>
    </w:p>
    <w:p w:rsidR="006C3B9F" w:rsidRPr="00681AA6" w:rsidRDefault="00CC5F96" w:rsidP="002406C3">
      <w:pPr>
        <w:pStyle w:val="PointManual1"/>
        <w:spacing w:before="240"/>
      </w:pPr>
      <w:r w:rsidRPr="00681AA6">
        <w:t>б)</w:t>
      </w:r>
      <w:r w:rsidRPr="00681AA6">
        <w:rPr>
          <w:b/>
          <w:bCs/>
          <w:color w:val="FF0000"/>
        </w:rPr>
        <w:tab/>
      </w:r>
      <w:r w:rsidRPr="00681AA6">
        <w:t>призив за съобщение на Комисията относно стратегия за равенство между половете</w:t>
      </w:r>
    </w:p>
    <w:p w:rsidR="006C3B9F" w:rsidRPr="00681AA6" w:rsidRDefault="006C3B9F" w:rsidP="00CC5F96">
      <w:pPr>
        <w:pStyle w:val="DashEqual2"/>
        <w:rPr>
          <w:b/>
          <w:bCs/>
        </w:rPr>
      </w:pPr>
      <w:r w:rsidRPr="00681AA6">
        <w:t>Информация от делегациите на Германия и Швеция</w:t>
      </w:r>
    </w:p>
    <w:p w:rsidR="00140C82" w:rsidRPr="00681AA6" w:rsidRDefault="00CC5F96" w:rsidP="003B2940">
      <w:pPr>
        <w:pStyle w:val="PointManual1"/>
        <w:spacing w:before="240"/>
        <w:rPr>
          <w:rFonts w:cstheme="minorBidi"/>
        </w:rPr>
      </w:pPr>
      <w:r w:rsidRPr="00681AA6">
        <w:t>в)</w:t>
      </w:r>
      <w:r w:rsidRPr="00681AA6">
        <w:tab/>
        <w:t>актуално състояние относно:</w:t>
      </w:r>
    </w:p>
    <w:p w:rsidR="00140C82" w:rsidRPr="00681AA6" w:rsidRDefault="003B2940" w:rsidP="005E2C88">
      <w:pPr>
        <w:pStyle w:val="PointManual2"/>
        <w:spacing w:before="60"/>
        <w:rPr>
          <w:u w:val="single"/>
        </w:rPr>
      </w:pPr>
      <w:r w:rsidRPr="00681AA6">
        <w:t>и)</w:t>
      </w:r>
      <w:r w:rsidRPr="00681AA6">
        <w:tab/>
        <w:t>регламент „Омнибус“ — Заетост и социални иновации (EaSI), Европейски фонд за приспособяване към глобализацията (ЕФПГ), Фонд за европейско подпомагане на най-нуждаещите се лица (ФЕПННЛ)</w:t>
      </w:r>
    </w:p>
    <w:p w:rsidR="00140C82" w:rsidRPr="00681AA6" w:rsidRDefault="00140C82" w:rsidP="005E2C88">
      <w:pPr>
        <w:pStyle w:val="PointManual2"/>
        <w:spacing w:before="60"/>
        <w:rPr>
          <w:szCs w:val="24"/>
        </w:rPr>
      </w:pPr>
      <w:r w:rsidRPr="00681AA6">
        <w:t>ii)</w:t>
      </w:r>
      <w:r w:rsidRPr="00681AA6">
        <w:tab/>
        <w:t>нова програма за придобиване на умения за Европа</w:t>
      </w:r>
    </w:p>
    <w:p w:rsidR="00140C82" w:rsidRPr="00681AA6" w:rsidRDefault="00140C82" w:rsidP="003B2940">
      <w:pPr>
        <w:pStyle w:val="DashEqual2"/>
      </w:pPr>
      <w:r w:rsidRPr="00681AA6">
        <w:t>Информация от председателството</w:t>
      </w:r>
    </w:p>
    <w:p w:rsidR="00140C82" w:rsidRPr="00681AA6" w:rsidRDefault="00CC5F96" w:rsidP="003B2940">
      <w:pPr>
        <w:pStyle w:val="PointManual1"/>
        <w:spacing w:before="240"/>
      </w:pPr>
      <w:r w:rsidRPr="00681AA6">
        <w:t>г)</w:t>
      </w:r>
      <w:r w:rsidRPr="00681AA6">
        <w:tab/>
        <w:t>резултати от конференциите, организирани от словашкото председателство</w:t>
      </w:r>
    </w:p>
    <w:p w:rsidR="00140C82" w:rsidRPr="00681AA6" w:rsidRDefault="00140C82" w:rsidP="003B2940">
      <w:pPr>
        <w:pStyle w:val="DashEqual2"/>
      </w:pPr>
      <w:r w:rsidRPr="00681AA6">
        <w:t>Информация от председателството</w:t>
      </w:r>
    </w:p>
    <w:p w:rsidR="00140C82" w:rsidRPr="00681AA6" w:rsidRDefault="00CC5F96" w:rsidP="003B2940">
      <w:pPr>
        <w:pStyle w:val="PointManual1"/>
        <w:spacing w:before="240"/>
      </w:pPr>
      <w:r w:rsidRPr="00681AA6">
        <w:t>д)</w:t>
      </w:r>
      <w:r w:rsidRPr="00681AA6">
        <w:tab/>
        <w:t>специални световни зимни олимпийски игри</w:t>
      </w:r>
    </w:p>
    <w:p w:rsidR="00140C82" w:rsidRPr="00681AA6" w:rsidRDefault="00140C82" w:rsidP="003B2940">
      <w:pPr>
        <w:pStyle w:val="DashEqual2"/>
      </w:pPr>
      <w:r w:rsidRPr="00681AA6">
        <w:t>Информация от делегацията на Австрия</w:t>
      </w:r>
    </w:p>
    <w:p w:rsidR="00E07404" w:rsidRPr="00681AA6" w:rsidRDefault="00E07404" w:rsidP="00B33D7E">
      <w:pPr>
        <w:tabs>
          <w:tab w:val="left" w:pos="567"/>
          <w:tab w:val="left" w:pos="709"/>
          <w:tab w:val="left" w:pos="1134"/>
        </w:tabs>
        <w:spacing w:before="480"/>
        <w:contextualSpacing/>
        <w:rPr>
          <w:szCs w:val="24"/>
          <w:u w:val="single"/>
        </w:rPr>
      </w:pPr>
      <w:r w:rsidRPr="00681AA6">
        <w:rPr>
          <w:szCs w:val="24"/>
          <w:u w:val="single"/>
        </w:rPr>
        <w:t>Здравеопазване</w:t>
      </w:r>
    </w:p>
    <w:p w:rsidR="00E07404" w:rsidRPr="00681AA6" w:rsidRDefault="00E07404" w:rsidP="00E07404">
      <w:pPr>
        <w:pStyle w:val="PointManual1"/>
        <w:spacing w:before="240"/>
      </w:pPr>
      <w:r w:rsidRPr="00681AA6">
        <w:t>е)</w:t>
      </w:r>
      <w:r w:rsidRPr="00681AA6">
        <w:tab/>
        <w:t>анализ на въздействието на сертификатите за допълнителна закрила и стимулите и наградите за иновации във фармацевтичната област, наличност и достъпност на лекарствените продукти в ЕС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Комисията</w:t>
      </w:r>
    </w:p>
    <w:p w:rsidR="005E2C88" w:rsidRPr="00681AA6" w:rsidRDefault="00E07404" w:rsidP="005E2C88">
      <w:pPr>
        <w:pStyle w:val="Text3"/>
      </w:pPr>
      <w:r w:rsidRPr="00681AA6">
        <w:t>14568/16 PHARM 65 SAN 390 PI 136 COMPET 601 PHYTOSAN 37</w:t>
      </w:r>
    </w:p>
    <w:p w:rsidR="00E07404" w:rsidRPr="00681AA6" w:rsidRDefault="00E07404" w:rsidP="005E2C88">
      <w:pPr>
        <w:pStyle w:val="Text5"/>
      </w:pPr>
      <w:r w:rsidRPr="00681AA6">
        <w:t>PESTICIDE 3</w:t>
      </w:r>
    </w:p>
    <w:p w:rsidR="00E07404" w:rsidRPr="00681AA6" w:rsidRDefault="00E07404" w:rsidP="00AC10B5">
      <w:pPr>
        <w:pStyle w:val="PointManual1"/>
        <w:spacing w:before="240"/>
      </w:pPr>
      <w:r w:rsidRPr="00681AA6">
        <w:t>ж)</w:t>
      </w:r>
      <w:r w:rsidRPr="00681AA6">
        <w:tab/>
        <w:t>преразглеждане на регламента относно лекарствените продукти за педиатрична употреба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делегацията на Люксембург</w:t>
      </w:r>
    </w:p>
    <w:p w:rsidR="00E07404" w:rsidRPr="00681AA6" w:rsidRDefault="00E07404" w:rsidP="005E2C88">
      <w:pPr>
        <w:pStyle w:val="Text3"/>
      </w:pPr>
      <w:r w:rsidRPr="00681AA6">
        <w:t>14467/16 SAN 387 PHARM 64</w:t>
      </w:r>
    </w:p>
    <w:p w:rsidR="00E07404" w:rsidRPr="00681AA6" w:rsidRDefault="00E07404" w:rsidP="00AC10B5">
      <w:pPr>
        <w:pStyle w:val="PointManual1"/>
        <w:spacing w:before="240"/>
      </w:pPr>
      <w:r w:rsidRPr="00681AA6">
        <w:t>з)</w:t>
      </w:r>
      <w:r w:rsidRPr="00681AA6">
        <w:tab/>
        <w:t>състояние на здравеопазването в ЕС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Комисията</w:t>
      </w:r>
    </w:p>
    <w:p w:rsidR="00E07404" w:rsidRPr="00681AA6" w:rsidRDefault="00E07404" w:rsidP="005E2C88">
      <w:pPr>
        <w:pStyle w:val="Text3"/>
      </w:pPr>
      <w:r w:rsidRPr="00681AA6">
        <w:t>14570/16 SAN 391 PHARM 64</w:t>
      </w:r>
    </w:p>
    <w:p w:rsidR="00E07404" w:rsidRPr="00681AA6" w:rsidRDefault="005E2C88" w:rsidP="00B33D7E">
      <w:pPr>
        <w:pStyle w:val="PointManual1"/>
        <w:spacing w:before="480"/>
      </w:pPr>
      <w:r w:rsidRPr="00681AA6">
        <w:br w:type="page"/>
        <w:t>и)</w:t>
      </w:r>
      <w:r w:rsidRPr="00681AA6">
        <w:tab/>
        <w:t>антимикробна резистентност (АМР)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Комисията</w:t>
      </w:r>
    </w:p>
    <w:p w:rsidR="00E07404" w:rsidRPr="00681AA6" w:rsidRDefault="00E07404" w:rsidP="005E2C88">
      <w:pPr>
        <w:pStyle w:val="Text3"/>
      </w:pPr>
      <w:r w:rsidRPr="00681AA6">
        <w:t>14571/16 SAN 392 AGRI 621 VETER 126</w:t>
      </w:r>
    </w:p>
    <w:p w:rsidR="00E07404" w:rsidRPr="00681AA6" w:rsidRDefault="00E07404" w:rsidP="00E07404">
      <w:pPr>
        <w:pStyle w:val="PointManual1"/>
        <w:spacing w:before="240"/>
      </w:pPr>
      <w:r w:rsidRPr="00681AA6">
        <w:t>й)</w:t>
      </w:r>
      <w:r w:rsidRPr="00681AA6">
        <w:tab/>
        <w:t>европейски референтни мрежи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Комисията</w:t>
      </w:r>
    </w:p>
    <w:p w:rsidR="00E07404" w:rsidRPr="00681AA6" w:rsidRDefault="00E07404" w:rsidP="005E2C88">
      <w:pPr>
        <w:pStyle w:val="Text3"/>
      </w:pPr>
      <w:r w:rsidRPr="00681AA6">
        <w:t>14572/16 SAN 393 PHARM 64</w:t>
      </w:r>
    </w:p>
    <w:p w:rsidR="00E07404" w:rsidRPr="00681AA6" w:rsidRDefault="00E07404" w:rsidP="00E07404">
      <w:pPr>
        <w:pStyle w:val="PointManual1"/>
        <w:spacing w:before="240"/>
      </w:pPr>
      <w:r w:rsidRPr="00681AA6">
        <w:t>к)</w:t>
      </w:r>
      <w:r w:rsidRPr="00681AA6">
        <w:tab/>
        <w:t>рамкова конвенция на СЗО за контрол на тютюна (РККТ)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председателството и Комисията</w:t>
      </w:r>
    </w:p>
    <w:p w:rsidR="00E07404" w:rsidRPr="00681AA6" w:rsidRDefault="00E07404" w:rsidP="00E07404">
      <w:pPr>
        <w:pStyle w:val="PointManual1"/>
        <w:spacing w:before="240"/>
      </w:pPr>
      <w:r w:rsidRPr="00681AA6">
        <w:t>л)</w:t>
      </w:r>
      <w:r w:rsidRPr="00681AA6">
        <w:tab/>
        <w:t>резултати от конференциите, организирани от словашкото председателство</w:t>
      </w:r>
    </w:p>
    <w:p w:rsidR="00E07404" w:rsidRPr="00681AA6" w:rsidRDefault="00E07404" w:rsidP="00AC10B5">
      <w:pPr>
        <w:pStyle w:val="DashEqual2"/>
        <w:numPr>
          <w:ilvl w:val="0"/>
          <w:numId w:val="1"/>
        </w:numPr>
      </w:pPr>
      <w:r w:rsidRPr="00681AA6">
        <w:t>Информация от председателството</w:t>
      </w:r>
    </w:p>
    <w:p w:rsidR="00140C82" w:rsidRPr="00681AA6" w:rsidRDefault="00140C82" w:rsidP="00AC10B5">
      <w:pPr>
        <w:tabs>
          <w:tab w:val="left" w:pos="567"/>
          <w:tab w:val="left" w:pos="709"/>
          <w:tab w:val="left" w:pos="1134"/>
        </w:tabs>
        <w:spacing w:before="600" w:after="480"/>
        <w:contextualSpacing/>
        <w:jc w:val="center"/>
      </w:pPr>
      <w:r w:rsidRPr="00681AA6">
        <w:t>°</w:t>
      </w:r>
    </w:p>
    <w:p w:rsidR="00140C82" w:rsidRPr="00681AA6" w:rsidRDefault="00140C82" w:rsidP="00D1281A">
      <w:pPr>
        <w:tabs>
          <w:tab w:val="left" w:pos="567"/>
          <w:tab w:val="left" w:pos="709"/>
          <w:tab w:val="left" w:pos="1134"/>
        </w:tabs>
        <w:contextualSpacing/>
        <w:jc w:val="center"/>
      </w:pPr>
      <w:r w:rsidRPr="00681AA6">
        <w:t>°</w:t>
      </w:r>
      <w:r w:rsidRPr="00681AA6">
        <w:tab/>
        <w:t>°</w:t>
      </w:r>
    </w:p>
    <w:p w:rsidR="00140C82" w:rsidRPr="00681AA6" w:rsidRDefault="00140C82" w:rsidP="00AC10B5">
      <w:pPr>
        <w:pStyle w:val="PointManual"/>
        <w:spacing w:before="600"/>
        <w:rPr>
          <w:u w:val="single"/>
        </w:rPr>
      </w:pPr>
      <w:r w:rsidRPr="00681AA6">
        <w:rPr>
          <w:u w:val="single"/>
        </w:rPr>
        <w:t>Заетост, социална политика и здравеопазване</w:t>
      </w:r>
    </w:p>
    <w:p w:rsidR="00140C82" w:rsidRPr="00681AA6" w:rsidRDefault="00A3226D" w:rsidP="006329AE">
      <w:pPr>
        <w:pStyle w:val="PointManual1"/>
        <w:spacing w:before="240"/>
      </w:pPr>
      <w:r w:rsidRPr="00681AA6">
        <w:t>м)</w:t>
      </w:r>
      <w:r w:rsidRPr="00681AA6">
        <w:tab/>
        <w:t>Работна програма на предстоящото председателство</w:t>
      </w:r>
    </w:p>
    <w:p w:rsidR="00140C82" w:rsidRPr="00681AA6" w:rsidRDefault="00140C82" w:rsidP="006329AE">
      <w:pPr>
        <w:pStyle w:val="DashEqual2"/>
      </w:pPr>
      <w:r w:rsidRPr="00681AA6">
        <w:t>Информация от делегацията на Малта</w:t>
      </w:r>
    </w:p>
    <w:p w:rsidR="004775B9" w:rsidRPr="00681AA6" w:rsidRDefault="004775B9" w:rsidP="00CE208B">
      <w:pPr>
        <w:pStyle w:val="FinalLine"/>
        <w:spacing w:before="1080" w:after="1800"/>
      </w:pPr>
    </w:p>
    <w:p w:rsidR="004775B9" w:rsidRPr="00681AA6" w:rsidRDefault="00B73560" w:rsidP="00B73560">
      <w:pPr>
        <w:pStyle w:val="NB"/>
      </w:pPr>
      <w:r w:rsidRPr="00681AA6">
        <w:t>NB:</w:t>
      </w:r>
      <w:r w:rsidRPr="00681AA6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3549DE" w:rsidRPr="00B73560" w:rsidRDefault="004775B9" w:rsidP="004775B9">
      <w:pPr>
        <w:pStyle w:val="NB"/>
      </w:pPr>
      <w:r w:rsidRPr="00681AA6">
        <w:t>NB:</w:t>
      </w:r>
      <w:r w:rsidRPr="00681AA6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3549DE" w:rsidRPr="00B73560" w:rsidSect="00173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B9" w:rsidRDefault="004775B9" w:rsidP="004775B9">
      <w:r>
        <w:separator/>
      </w:r>
    </w:p>
  </w:endnote>
  <w:endnote w:type="continuationSeparator" w:id="0">
    <w:p w:rsidR="004775B9" w:rsidRDefault="004775B9" w:rsidP="004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52" w:rsidRPr="00173B63" w:rsidRDefault="002E1052" w:rsidP="00173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73B63" w:rsidRPr="00D94637" w:rsidTr="00173B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73B63" w:rsidRPr="00D94637" w:rsidRDefault="00173B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73B63" w:rsidRPr="00B310DC" w:rsidTr="00173B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73B63" w:rsidRPr="00AD7BF2" w:rsidRDefault="00173B63" w:rsidP="004F54B2">
          <w:pPr>
            <w:pStyle w:val="FooterText"/>
          </w:pPr>
          <w:r>
            <w:t>CM 4894/16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73B63" w:rsidRPr="00AD7BF2" w:rsidRDefault="00173B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73B63" w:rsidRPr="002511D8" w:rsidRDefault="00173B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73B63" w:rsidRPr="00B310DC" w:rsidRDefault="00173B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73B63" w:rsidRPr="00D94637" w:rsidTr="00173B63">
      <w:trPr>
        <w:jc w:val="center"/>
      </w:trPr>
      <w:tc>
        <w:tcPr>
          <w:tcW w:w="1774" w:type="pct"/>
          <w:shd w:val="clear" w:color="auto" w:fill="auto"/>
        </w:tcPr>
        <w:p w:rsidR="00173B63" w:rsidRPr="00AD7BF2" w:rsidRDefault="00173B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73B63" w:rsidRPr="00AD7BF2" w:rsidRDefault="00173B6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73B63" w:rsidRPr="00D94637" w:rsidRDefault="00173B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73B63" w:rsidRPr="00D94637" w:rsidRDefault="00173B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775B9" w:rsidRPr="00173B63" w:rsidRDefault="004775B9" w:rsidP="00173B6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73B63" w:rsidRPr="00D94637" w:rsidTr="00173B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73B63" w:rsidRPr="00D94637" w:rsidRDefault="00173B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73B63" w:rsidRPr="00B310DC" w:rsidTr="00173B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73B63" w:rsidRPr="00AD7BF2" w:rsidRDefault="00173B63" w:rsidP="004F54B2">
          <w:pPr>
            <w:pStyle w:val="FooterText"/>
          </w:pPr>
          <w:r>
            <w:t>CM 4894/16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73B63" w:rsidRPr="00AD7BF2" w:rsidRDefault="00173B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73B63" w:rsidRPr="002511D8" w:rsidRDefault="00173B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73B63" w:rsidRPr="00B310DC" w:rsidRDefault="00173B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73B63" w:rsidRPr="00D94637" w:rsidTr="00173B63">
      <w:trPr>
        <w:jc w:val="center"/>
      </w:trPr>
      <w:tc>
        <w:tcPr>
          <w:tcW w:w="1774" w:type="pct"/>
          <w:shd w:val="clear" w:color="auto" w:fill="auto"/>
        </w:tcPr>
        <w:p w:rsidR="00173B63" w:rsidRPr="00AD7BF2" w:rsidRDefault="00173B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73B63" w:rsidRPr="00AD7BF2" w:rsidRDefault="00173B6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73B63" w:rsidRPr="00D94637" w:rsidRDefault="00173B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73B63" w:rsidRPr="00D94637" w:rsidRDefault="00173B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4775B9" w:rsidRPr="00173B63" w:rsidRDefault="004775B9" w:rsidP="00173B6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B9" w:rsidRDefault="004775B9" w:rsidP="004775B9">
      <w:r>
        <w:separator/>
      </w:r>
    </w:p>
  </w:footnote>
  <w:footnote w:type="continuationSeparator" w:id="0">
    <w:p w:rsidR="004775B9" w:rsidRDefault="004775B9" w:rsidP="0047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52" w:rsidRPr="00173B63" w:rsidRDefault="002E1052" w:rsidP="00173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52" w:rsidRPr="00173B63" w:rsidRDefault="002E1052" w:rsidP="00173B6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52" w:rsidRPr="00173B63" w:rsidRDefault="002E1052" w:rsidP="00173B6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8"/>
  </w:num>
  <w:num w:numId="2">
    <w:abstractNumId w:val="1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2"/>
  </w:num>
  <w:num w:numId="19">
    <w:abstractNumId w:val="17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3"/>
  </w:num>
  <w:num w:numId="25">
    <w:abstractNumId w:val="1"/>
  </w:num>
  <w:num w:numId="26">
    <w:abstractNumId w:val="14"/>
  </w:num>
  <w:num w:numId="27">
    <w:abstractNumId w:val="10"/>
  </w:num>
  <w:num w:numId="28">
    <w:abstractNumId w:val="2"/>
  </w:num>
  <w:num w:numId="29">
    <w:abstractNumId w:val="16"/>
  </w:num>
  <w:num w:numId="30">
    <w:abstractNumId w:val="18"/>
  </w:num>
  <w:num w:numId="31">
    <w:abstractNumId w:val="8"/>
  </w:num>
  <w:num w:numId="32">
    <w:abstractNumId w:val="15"/>
  </w:num>
  <w:num w:numId="33">
    <w:abstractNumId w:val="11"/>
  </w:num>
  <w:num w:numId="34">
    <w:abstractNumId w:val="7"/>
  </w:num>
  <w:num w:numId="35">
    <w:abstractNumId w:val="5"/>
  </w:num>
  <w:num w:numId="36">
    <w:abstractNumId w:val="4"/>
  </w:num>
  <w:num w:numId="37">
    <w:abstractNumId w:val="12"/>
  </w:num>
  <w:num w:numId="38">
    <w:abstractNumId w:val="17"/>
  </w:num>
  <w:num w:numId="39">
    <w:abstractNumId w:val="0"/>
  </w:num>
  <w:num w:numId="40">
    <w:abstractNumId w:val="6"/>
  </w:num>
  <w:num w:numId="41">
    <w:abstractNumId w:val="3"/>
  </w:num>
  <w:num w:numId="4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c6783240-f945-4a26-8e9e-c5b203634c5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89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 &lt;/text&gt;_x000d__x000a_      &lt;text&gt;CONSOM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350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12-08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775B9"/>
    <w:rsid w:val="00071E7B"/>
    <w:rsid w:val="0007396E"/>
    <w:rsid w:val="00086D87"/>
    <w:rsid w:val="00127FC2"/>
    <w:rsid w:val="00140C82"/>
    <w:rsid w:val="00163274"/>
    <w:rsid w:val="00173B63"/>
    <w:rsid w:val="001E6083"/>
    <w:rsid w:val="00201103"/>
    <w:rsid w:val="002406C3"/>
    <w:rsid w:val="002471CB"/>
    <w:rsid w:val="00252334"/>
    <w:rsid w:val="002E1052"/>
    <w:rsid w:val="00304176"/>
    <w:rsid w:val="00307F00"/>
    <w:rsid w:val="00327131"/>
    <w:rsid w:val="003273FD"/>
    <w:rsid w:val="00331529"/>
    <w:rsid w:val="003549DE"/>
    <w:rsid w:val="003B2940"/>
    <w:rsid w:val="00425FB1"/>
    <w:rsid w:val="00464DDD"/>
    <w:rsid w:val="004775B9"/>
    <w:rsid w:val="004C7B44"/>
    <w:rsid w:val="004F3760"/>
    <w:rsid w:val="0051224D"/>
    <w:rsid w:val="00521B1B"/>
    <w:rsid w:val="00552C07"/>
    <w:rsid w:val="00561E9F"/>
    <w:rsid w:val="00567609"/>
    <w:rsid w:val="00594A51"/>
    <w:rsid w:val="005E2C88"/>
    <w:rsid w:val="005E4FEF"/>
    <w:rsid w:val="00606181"/>
    <w:rsid w:val="006329AE"/>
    <w:rsid w:val="00667F0B"/>
    <w:rsid w:val="00681AA6"/>
    <w:rsid w:val="00686CF8"/>
    <w:rsid w:val="006C09A5"/>
    <w:rsid w:val="006C3B9F"/>
    <w:rsid w:val="00703E1F"/>
    <w:rsid w:val="0072317B"/>
    <w:rsid w:val="00811BD8"/>
    <w:rsid w:val="008605EA"/>
    <w:rsid w:val="00873D60"/>
    <w:rsid w:val="00896CC3"/>
    <w:rsid w:val="0092010E"/>
    <w:rsid w:val="0098206F"/>
    <w:rsid w:val="009A0A9B"/>
    <w:rsid w:val="00A20D2A"/>
    <w:rsid w:val="00A3226D"/>
    <w:rsid w:val="00A42E22"/>
    <w:rsid w:val="00A66A30"/>
    <w:rsid w:val="00AA502E"/>
    <w:rsid w:val="00AC10B5"/>
    <w:rsid w:val="00B03E32"/>
    <w:rsid w:val="00B24A0E"/>
    <w:rsid w:val="00B26D8C"/>
    <w:rsid w:val="00B33D7E"/>
    <w:rsid w:val="00B73560"/>
    <w:rsid w:val="00B91C79"/>
    <w:rsid w:val="00B95D46"/>
    <w:rsid w:val="00BD5F16"/>
    <w:rsid w:val="00BE6B17"/>
    <w:rsid w:val="00C2242D"/>
    <w:rsid w:val="00C53F63"/>
    <w:rsid w:val="00C67633"/>
    <w:rsid w:val="00C93417"/>
    <w:rsid w:val="00CC5F96"/>
    <w:rsid w:val="00CE208B"/>
    <w:rsid w:val="00D030BA"/>
    <w:rsid w:val="00D1281A"/>
    <w:rsid w:val="00D16A59"/>
    <w:rsid w:val="00D27822"/>
    <w:rsid w:val="00D31B30"/>
    <w:rsid w:val="00D66BA2"/>
    <w:rsid w:val="00D93485"/>
    <w:rsid w:val="00E07404"/>
    <w:rsid w:val="00E47B4F"/>
    <w:rsid w:val="00F344C4"/>
    <w:rsid w:val="00F71E3F"/>
    <w:rsid w:val="00FA4833"/>
    <w:rsid w:val="00FB5B7F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4775B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4775B9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sid w:val="004775B9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rsid w:val="004775B9"/>
    <w:rPr>
      <w:rFonts w:eastAsia="Times New Roman"/>
      <w:szCs w:val="24"/>
    </w:rPr>
  </w:style>
  <w:style w:type="character" w:customStyle="1" w:styleId="PointManualChar">
    <w:name w:val="Point Manual Char"/>
    <w:locked/>
    <w:rsid w:val="00140C82"/>
    <w:rPr>
      <w:rFonts w:ascii="Times New Roman" w:hAnsi="Times New Roman" w:cs="Times New Roman"/>
      <w:sz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2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2A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2A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2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873D60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D60"/>
    <w:rPr>
      <w:rFonts w:ascii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873D60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681AA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9"/>
      </w:numPr>
    </w:pPr>
  </w:style>
  <w:style w:type="paragraph" w:customStyle="1" w:styleId="Point123">
    <w:name w:val="Point 123"/>
    <w:basedOn w:val="Normal"/>
    <w:rsid w:val="00BE6B17"/>
    <w:pPr>
      <w:numPr>
        <w:numId w:val="3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9"/>
      </w:numPr>
    </w:pPr>
  </w:style>
  <w:style w:type="paragraph" w:customStyle="1" w:styleId="Pointivx">
    <w:name w:val="Point ivx"/>
    <w:basedOn w:val="Normal"/>
    <w:rsid w:val="00BE6B17"/>
    <w:pPr>
      <w:numPr>
        <w:numId w:val="4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4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4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4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40"/>
      </w:numPr>
    </w:pPr>
  </w:style>
  <w:style w:type="paragraph" w:customStyle="1" w:styleId="Bullet">
    <w:name w:val="Bullet"/>
    <w:basedOn w:val="Normal"/>
    <w:rsid w:val="00BE6B17"/>
    <w:pPr>
      <w:numPr>
        <w:numId w:val="3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5"/>
      </w:numPr>
    </w:pPr>
  </w:style>
  <w:style w:type="paragraph" w:customStyle="1" w:styleId="Bullet2">
    <w:name w:val="Bullet 2"/>
    <w:basedOn w:val="Normal"/>
    <w:rsid w:val="00BE6B17"/>
    <w:pPr>
      <w:numPr>
        <w:numId w:val="36"/>
      </w:numPr>
    </w:pPr>
  </w:style>
  <w:style w:type="paragraph" w:customStyle="1" w:styleId="Bullet3">
    <w:name w:val="Bullet 3"/>
    <w:basedOn w:val="Normal"/>
    <w:rsid w:val="00BE6B17"/>
    <w:pPr>
      <w:numPr>
        <w:numId w:val="37"/>
      </w:numPr>
    </w:pPr>
  </w:style>
  <w:style w:type="paragraph" w:customStyle="1" w:styleId="Bullet4">
    <w:name w:val="Bullet 4"/>
    <w:basedOn w:val="Normal"/>
    <w:rsid w:val="00BE6B17"/>
    <w:pPr>
      <w:numPr>
        <w:numId w:val="38"/>
      </w:numPr>
    </w:pPr>
  </w:style>
  <w:style w:type="paragraph" w:customStyle="1" w:styleId="Dash">
    <w:name w:val="Dash"/>
    <w:basedOn w:val="Normal"/>
    <w:rsid w:val="00BE6B17"/>
    <w:pPr>
      <w:numPr>
        <w:numId w:val="2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5"/>
      </w:numPr>
    </w:pPr>
  </w:style>
  <w:style w:type="paragraph" w:customStyle="1" w:styleId="Dash2">
    <w:name w:val="Dash 2"/>
    <w:basedOn w:val="Normal"/>
    <w:rsid w:val="00BE6B17"/>
    <w:pPr>
      <w:numPr>
        <w:numId w:val="26"/>
      </w:numPr>
    </w:pPr>
  </w:style>
  <w:style w:type="paragraph" w:customStyle="1" w:styleId="Dash3">
    <w:name w:val="Dash 3"/>
    <w:basedOn w:val="Normal"/>
    <w:rsid w:val="00BE6B17"/>
    <w:pPr>
      <w:numPr>
        <w:numId w:val="27"/>
      </w:numPr>
    </w:pPr>
  </w:style>
  <w:style w:type="paragraph" w:customStyle="1" w:styleId="Dash4">
    <w:name w:val="Dash 4"/>
    <w:basedOn w:val="Normal"/>
    <w:rsid w:val="00BE6B17"/>
    <w:pPr>
      <w:numPr>
        <w:numId w:val="28"/>
      </w:numPr>
    </w:pPr>
  </w:style>
  <w:style w:type="paragraph" w:customStyle="1" w:styleId="DashEqual">
    <w:name w:val="Dash Equal"/>
    <w:basedOn w:val="Dash"/>
    <w:rsid w:val="00BE6B17"/>
    <w:pPr>
      <w:numPr>
        <w:numId w:val="29"/>
      </w:numPr>
    </w:pPr>
  </w:style>
  <w:style w:type="paragraph" w:customStyle="1" w:styleId="DashEqual1">
    <w:name w:val="Dash Equal 1"/>
    <w:basedOn w:val="Dash1"/>
    <w:rsid w:val="00BE6B17"/>
    <w:pPr>
      <w:numPr>
        <w:numId w:val="30"/>
      </w:numPr>
    </w:pPr>
  </w:style>
  <w:style w:type="paragraph" w:customStyle="1" w:styleId="DashEqual2">
    <w:name w:val="Dash Equal 2"/>
    <w:basedOn w:val="Dash2"/>
    <w:rsid w:val="00BE6B17"/>
    <w:pPr>
      <w:numPr>
        <w:numId w:val="31"/>
      </w:numPr>
    </w:pPr>
  </w:style>
  <w:style w:type="paragraph" w:customStyle="1" w:styleId="DashEqual3">
    <w:name w:val="Dash Equal 3"/>
    <w:basedOn w:val="Dash3"/>
    <w:rsid w:val="00BE6B17"/>
    <w:pPr>
      <w:numPr>
        <w:numId w:val="32"/>
      </w:numPr>
    </w:pPr>
  </w:style>
  <w:style w:type="paragraph" w:customStyle="1" w:styleId="DashEqual4">
    <w:name w:val="Dash Equal 4"/>
    <w:basedOn w:val="Dash4"/>
    <w:rsid w:val="00BE6B17"/>
    <w:pPr>
      <w:numPr>
        <w:numId w:val="3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4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4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4775B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4775B9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sid w:val="004775B9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rsid w:val="004775B9"/>
    <w:rPr>
      <w:rFonts w:eastAsia="Times New Roman"/>
      <w:szCs w:val="24"/>
    </w:rPr>
  </w:style>
  <w:style w:type="character" w:customStyle="1" w:styleId="PointManualChar">
    <w:name w:val="Point Manual Char"/>
    <w:locked/>
    <w:rsid w:val="00140C82"/>
    <w:rPr>
      <w:rFonts w:ascii="Times New Roman" w:hAnsi="Times New Roman" w:cs="Times New Roman"/>
      <w:sz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2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2A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2A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2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873D60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D60"/>
    <w:rPr>
      <w:rFonts w:ascii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873D60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681AA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9"/>
      </w:numPr>
    </w:pPr>
  </w:style>
  <w:style w:type="paragraph" w:customStyle="1" w:styleId="Point123">
    <w:name w:val="Point 123"/>
    <w:basedOn w:val="Normal"/>
    <w:rsid w:val="00BE6B17"/>
    <w:pPr>
      <w:numPr>
        <w:numId w:val="3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9"/>
      </w:numPr>
    </w:pPr>
  </w:style>
  <w:style w:type="paragraph" w:customStyle="1" w:styleId="Pointivx">
    <w:name w:val="Point ivx"/>
    <w:basedOn w:val="Normal"/>
    <w:rsid w:val="00BE6B17"/>
    <w:pPr>
      <w:numPr>
        <w:numId w:val="4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4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4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4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40"/>
      </w:numPr>
    </w:pPr>
  </w:style>
  <w:style w:type="paragraph" w:customStyle="1" w:styleId="Bullet">
    <w:name w:val="Bullet"/>
    <w:basedOn w:val="Normal"/>
    <w:rsid w:val="00BE6B17"/>
    <w:pPr>
      <w:numPr>
        <w:numId w:val="3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5"/>
      </w:numPr>
    </w:pPr>
  </w:style>
  <w:style w:type="paragraph" w:customStyle="1" w:styleId="Bullet2">
    <w:name w:val="Bullet 2"/>
    <w:basedOn w:val="Normal"/>
    <w:rsid w:val="00BE6B17"/>
    <w:pPr>
      <w:numPr>
        <w:numId w:val="36"/>
      </w:numPr>
    </w:pPr>
  </w:style>
  <w:style w:type="paragraph" w:customStyle="1" w:styleId="Bullet3">
    <w:name w:val="Bullet 3"/>
    <w:basedOn w:val="Normal"/>
    <w:rsid w:val="00BE6B17"/>
    <w:pPr>
      <w:numPr>
        <w:numId w:val="37"/>
      </w:numPr>
    </w:pPr>
  </w:style>
  <w:style w:type="paragraph" w:customStyle="1" w:styleId="Bullet4">
    <w:name w:val="Bullet 4"/>
    <w:basedOn w:val="Normal"/>
    <w:rsid w:val="00BE6B17"/>
    <w:pPr>
      <w:numPr>
        <w:numId w:val="38"/>
      </w:numPr>
    </w:pPr>
  </w:style>
  <w:style w:type="paragraph" w:customStyle="1" w:styleId="Dash">
    <w:name w:val="Dash"/>
    <w:basedOn w:val="Normal"/>
    <w:rsid w:val="00BE6B17"/>
    <w:pPr>
      <w:numPr>
        <w:numId w:val="2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5"/>
      </w:numPr>
    </w:pPr>
  </w:style>
  <w:style w:type="paragraph" w:customStyle="1" w:styleId="Dash2">
    <w:name w:val="Dash 2"/>
    <w:basedOn w:val="Normal"/>
    <w:rsid w:val="00BE6B17"/>
    <w:pPr>
      <w:numPr>
        <w:numId w:val="26"/>
      </w:numPr>
    </w:pPr>
  </w:style>
  <w:style w:type="paragraph" w:customStyle="1" w:styleId="Dash3">
    <w:name w:val="Dash 3"/>
    <w:basedOn w:val="Normal"/>
    <w:rsid w:val="00BE6B17"/>
    <w:pPr>
      <w:numPr>
        <w:numId w:val="27"/>
      </w:numPr>
    </w:pPr>
  </w:style>
  <w:style w:type="paragraph" w:customStyle="1" w:styleId="Dash4">
    <w:name w:val="Dash 4"/>
    <w:basedOn w:val="Normal"/>
    <w:rsid w:val="00BE6B17"/>
    <w:pPr>
      <w:numPr>
        <w:numId w:val="28"/>
      </w:numPr>
    </w:pPr>
  </w:style>
  <w:style w:type="paragraph" w:customStyle="1" w:styleId="DashEqual">
    <w:name w:val="Dash Equal"/>
    <w:basedOn w:val="Dash"/>
    <w:rsid w:val="00BE6B17"/>
    <w:pPr>
      <w:numPr>
        <w:numId w:val="29"/>
      </w:numPr>
    </w:pPr>
  </w:style>
  <w:style w:type="paragraph" w:customStyle="1" w:styleId="DashEqual1">
    <w:name w:val="Dash Equal 1"/>
    <w:basedOn w:val="Dash1"/>
    <w:rsid w:val="00BE6B17"/>
    <w:pPr>
      <w:numPr>
        <w:numId w:val="30"/>
      </w:numPr>
    </w:pPr>
  </w:style>
  <w:style w:type="paragraph" w:customStyle="1" w:styleId="DashEqual2">
    <w:name w:val="Dash Equal 2"/>
    <w:basedOn w:val="Dash2"/>
    <w:rsid w:val="00BE6B17"/>
    <w:pPr>
      <w:numPr>
        <w:numId w:val="31"/>
      </w:numPr>
    </w:pPr>
  </w:style>
  <w:style w:type="paragraph" w:customStyle="1" w:styleId="DashEqual3">
    <w:name w:val="Dash Equal 3"/>
    <w:basedOn w:val="Dash3"/>
    <w:rsid w:val="00BE6B17"/>
    <w:pPr>
      <w:numPr>
        <w:numId w:val="32"/>
      </w:numPr>
    </w:pPr>
  </w:style>
  <w:style w:type="paragraph" w:customStyle="1" w:styleId="DashEqual4">
    <w:name w:val="Dash Equal 4"/>
    <w:basedOn w:val="Dash4"/>
    <w:rsid w:val="00BE6B17"/>
    <w:pPr>
      <w:numPr>
        <w:numId w:val="3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4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4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7465-233F-4636-BC85-BA3CFA92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2016-11-23T13:52:00Z</cp:lastPrinted>
  <dcterms:created xsi:type="dcterms:W3CDTF">2016-11-24T12:35:00Z</dcterms:created>
  <dcterms:modified xsi:type="dcterms:W3CDTF">2016-11-24T12:38:00Z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</Properties>
</file>