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A1" w:rsidRDefault="00FD0F5A" w:rsidP="00FD0F5A">
      <w:pPr>
        <w:pStyle w:val="Pagedecouverture"/>
        <w:rPr>
          <w:noProof/>
          <w:lang w:val="bg-BG"/>
        </w:rPr>
      </w:pPr>
      <w:bookmarkStart w:id="0" w:name="LW_BM_COVERPAGE"/>
      <w:bookmarkStart w:id="1" w:name="_GoBack"/>
      <w:bookmarkEnd w:id="1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2B52A2A315D44CE8A0C975A454CA09D" style="width:451.85pt;height:321.5pt">
            <v:imagedata r:id="rId9" o:title=""/>
          </v:shape>
        </w:pict>
      </w:r>
    </w:p>
    <w:bookmarkEnd w:id="0"/>
    <w:p w:rsidR="00D076A1" w:rsidRDefault="00D076A1">
      <w:pPr>
        <w:rPr>
          <w:noProof/>
          <w:lang w:val="bg-BG"/>
        </w:rPr>
        <w:sectPr w:rsidR="00D076A1" w:rsidSect="00FD0F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076A1" w:rsidRDefault="00D076A1">
      <w:pPr>
        <w:rPr>
          <w:noProof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0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I. ВЪВЕДЕНИЕ 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pacing w:val="-2"/>
          <w:sz w:val="24"/>
          <w:lang w:val="bg-BG"/>
        </w:rPr>
        <w:t xml:space="preserve">Настоящият документ е вторият месечен доклад за напредъка по създаването на </w:t>
      </w:r>
      <w:r>
        <w:rPr>
          <w:rFonts w:ascii="Times New Roman" w:hAnsi="Times New Roman" w:cs="Times New Roman"/>
          <w:noProof/>
          <w:spacing w:val="-2"/>
          <w:sz w:val="24"/>
          <w:lang w:val="bg-BG"/>
        </w:rPr>
        <w:t xml:space="preserve">ефективен и истински Съюз на сигурност и обхваща развитието по два основни стълба: борбата с тероризма, организираната престъпност и средствата за тяхното подпомагане; и укрепването на нашите защитни механизми и изграждането на устойчивост по отношение на </w:t>
      </w:r>
      <w:r>
        <w:rPr>
          <w:rFonts w:ascii="Times New Roman" w:hAnsi="Times New Roman" w:cs="Times New Roman"/>
          <w:noProof/>
          <w:spacing w:val="-2"/>
          <w:sz w:val="24"/>
          <w:lang w:val="bg-BG"/>
        </w:rPr>
        <w:t>тези заплахи. Първият доклад за напредъка, приет на 12 октомври 2016 г.</w:t>
      </w:r>
      <w:r>
        <w:rPr>
          <w:rFonts w:ascii="Times New Roman" w:hAnsi="Times New Roman" w:cs="Times New Roman"/>
          <w:noProof/>
          <w:spacing w:val="-2"/>
          <w:sz w:val="24"/>
          <w:vertAlign w:val="superscript"/>
          <w:lang w:val="bg-BG"/>
        </w:rPr>
        <w:footnoteReference w:id="1"/>
      </w:r>
      <w:r>
        <w:rPr>
          <w:rFonts w:ascii="Times New Roman" w:hAnsi="Times New Roman" w:cs="Times New Roman"/>
          <w:noProof/>
          <w:spacing w:val="-2"/>
          <w:sz w:val="24"/>
          <w:lang w:val="bg-BG"/>
        </w:rPr>
        <w:t xml:space="preserve">, обхваща периода от април до октомври 2016 г.; в настоящото съобщение се докладва за постигнатия след това напредък и се посочва какво предстои до декември 2016 г. 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t>Една година след а</w:t>
      </w:r>
      <w:r>
        <w:rPr>
          <w:rFonts w:ascii="Times New Roman" w:hAnsi="Times New Roman" w:cs="Times New Roman"/>
          <w:noProof/>
          <w:sz w:val="24"/>
          <w:lang w:val="bg-BG"/>
        </w:rPr>
        <w:t>тентатите в Париж, където активирани отново военни щурмови оръжия бяха използвани с опустошителни последици, преговорите за преразглеждането на Директивата за огнестрелните оръжия, предложено от Комисията на 18 ноември 2015 г., продължават да бъдат блокира</w:t>
      </w:r>
      <w:r>
        <w:rPr>
          <w:rFonts w:ascii="Times New Roman" w:hAnsi="Times New Roman" w:cs="Times New Roman"/>
          <w:noProof/>
          <w:sz w:val="24"/>
          <w:lang w:val="bg-BG"/>
        </w:rPr>
        <w:t>ни от опити за отслабване на резултатите, към които са насочени предложенията. Работата трябва да приключи преди края на месеца, ако искаме да почетем паметта на жертвите от Париж и да отговорим на основателните очаквания на нашите граждани оръжия за военн</w:t>
      </w:r>
      <w:r>
        <w:rPr>
          <w:rFonts w:ascii="Times New Roman" w:hAnsi="Times New Roman" w:cs="Times New Roman"/>
          <w:noProof/>
          <w:sz w:val="24"/>
          <w:lang w:val="bg-BG"/>
        </w:rPr>
        <w:t>и цели да не попадат в ръцете на частни лица. Също така е необходимо спешно да приключат преговорите по Директивата относно борбата с тероризма, за да се инкриминират тероризмът и подкрепата за терористична дейност в целия Съюз, както и във връзка с измене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нието на Кодекса на шенгенските граници с цел справяне със завръщащите се бойци терористи чрез въвеждане на систематични проверки на всички лица, които преминават външната граница. 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t>В съответствие с приоритета, който председателят Юнкер подчерта в речта за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 състоянието на Съюза през 2016 г., и както е посочено в съобщението на Комисията от 14 септември 2016 г. относно повишаването на сигурността в свят на мобилност</w:t>
      </w:r>
      <w:r>
        <w:rPr>
          <w:rFonts w:ascii="Times New Roman" w:hAnsi="Times New Roman" w:cs="Times New Roman"/>
          <w:noProof/>
          <w:sz w:val="24"/>
          <w:vertAlign w:val="superscript"/>
          <w:lang w:val="bg-BG"/>
        </w:rPr>
        <w:footnoteReference w:id="2"/>
      </w:r>
      <w:r>
        <w:rPr>
          <w:rFonts w:ascii="Times New Roman" w:hAnsi="Times New Roman" w:cs="Times New Roman"/>
          <w:noProof/>
          <w:sz w:val="24"/>
          <w:lang w:val="bg-BG"/>
        </w:rPr>
        <w:t xml:space="preserve">, Комисията продължава да работи по други важни мерки за затваряне на пространството за </w:t>
      </w:r>
      <w:r>
        <w:rPr>
          <w:rFonts w:ascii="Times New Roman" w:hAnsi="Times New Roman" w:cs="Times New Roman"/>
          <w:noProof/>
          <w:sz w:val="24"/>
          <w:lang w:val="bg-BG"/>
        </w:rPr>
        <w:t>терористите чрез предложения за укрепване на границите. Сред тях се нареждат представянето на предложение за създаване на система на ЕС за информация за пътуванията и разрешаването им (ETIAS) с цел да се даде възможност за предварителна проверка на граждан</w:t>
      </w:r>
      <w:r>
        <w:rPr>
          <w:rFonts w:ascii="Times New Roman" w:hAnsi="Times New Roman" w:cs="Times New Roman"/>
          <w:noProof/>
          <w:sz w:val="24"/>
          <w:lang w:val="bg-BG"/>
        </w:rPr>
        <w:t>и на трети държави, които не се нуждаят от виза, за да пътуват до Съюза, както и предприемането на необходимите оперативни действия за засилване на контрола по външната граница, след като Европейската агенция за гранична и брегова охрана започна работа. Съ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що така Комисията засили допълнително работата си за противодействие на радикализацията, като укрепи Мрежата за осведоменост по въпросите на радикализацията с цел да попречи на това младежите и уязвимите групи да попадат в капана на лицата, които вербуват </w:t>
      </w:r>
      <w:r>
        <w:rPr>
          <w:rFonts w:ascii="Times New Roman" w:hAnsi="Times New Roman" w:cs="Times New Roman"/>
          <w:noProof/>
          <w:sz w:val="24"/>
          <w:lang w:val="bg-BG"/>
        </w:rPr>
        <w:t>терористи, и на терористичната пропаганда. Декемврийският доклад ще бъде придружен от окончателните предложения в рамките на Плана за действие относно финансирането на тероризма — за инкриминирането на изпирането на пари, за укрепването на взаимното призна</w:t>
      </w:r>
      <w:r>
        <w:rPr>
          <w:rFonts w:ascii="Times New Roman" w:hAnsi="Times New Roman" w:cs="Times New Roman"/>
          <w:noProof/>
          <w:sz w:val="24"/>
          <w:lang w:val="bg-BG"/>
        </w:rPr>
        <w:t>ване на замразяването на активи и заповедите за конфискация, както и за справяне с незаконните парични плащания — с цел да се възпрепятства достъпът на терористите до финансови средства.</w:t>
      </w:r>
    </w:p>
    <w:p w:rsidR="00D076A1" w:rsidRDefault="00D076A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lang w:val="bg-BG"/>
        </w:rPr>
        <w:t xml:space="preserve">II. ЗАСИЛВАНЕ НА БОРБАТА НИ С ТЕРОРИЗМА, ОРГАНИЗИРАНАТА ПРЕСТЪПНОСТ </w:t>
      </w:r>
      <w:r>
        <w:rPr>
          <w:rFonts w:ascii="Times New Roman" w:hAnsi="Times New Roman" w:cs="Times New Roman"/>
          <w:b/>
          <w:noProof/>
          <w:sz w:val="24"/>
          <w:lang w:val="bg-BG"/>
        </w:rPr>
        <w:t xml:space="preserve">И СРЕДСТВАТА ЗА ТЯХНОТО ПОДПОМАГАНЕ </w:t>
      </w:r>
    </w:p>
    <w:p w:rsidR="00D076A1" w:rsidRDefault="00FD0F5A">
      <w:pPr>
        <w:keepNext/>
        <w:spacing w:after="120" w:line="240" w:lineRule="auto"/>
        <w:jc w:val="both"/>
        <w:outlineLvl w:val="2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lang w:val="bg-BG"/>
        </w:rPr>
        <w:t xml:space="preserve">а) Правна рамка за борба с тероризма и за пресичане на достъпа до финансиране и огнестрелни оръжия 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Предвид годишнината от атентатите в Париж на 13 ноември 2015 г. ЕС трябва спешно да укрепи правната рамка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bg-BG"/>
        </w:rPr>
        <w:footnoteReference w:id="3"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капацитета си за борба с тероризма и средствата за неговото подпомагане. Съзаконодателите трябва да се споразумеят до края на ноември по предложението за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Директива относно борбата с тероризма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 за да може тероризмът, пътуването на терористи и подпомагане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то и подкрепата на терористи да бъдат обявени за престъпни деяния на територията на Съюза, както и за да се отговори на потребностите на жертвите на тероризма.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След две тристранни срещи съзаконодателите не успяха да постигнат съгласие относно преразглеждан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ето на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Директивата за огнестрелните оръжия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. Трябва да се намери изход от тези преговори, за да може военните щурмови оръжия, включително преработените за полуавтоматична употреба, да изчезнат от улиците. Позицията на Комисията е ясна — полуавтоматичните щу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рмови оръжия, производни на тези от групата на AK 47 Калашников и на AR 15, следва да бъдат забранени за употреба от цивилни, предвид че са предназначени за военни цели. Капацитетът на магазина на късоцевните и дългоцевните огнестрелни оръжия следва да бъд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 ограничен до 10 патрона и да подлежи на разрешение и строги проверки, като всяка дерогация следва да бъде стриктно ограничена и да се контролира строго. Предвид че гражданите на ЕС очакват бърз напредък в тази област, който да гарантира тяхната закрила,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трябва да стигнем до споразумение по този важен законодателен акт преди края на 2016 г. Успоредно с това Комисията ще поднови усилията за затягане на режима по отношение незаконната търговия с огнестрелни оръжия, включително на конференцията между ЕС и мин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истрите на правосъдието и вътрешните работи от Западните Балкани, която ще се проведе на 15—16 декември. 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За да се пресече достъпът на терористите до финансови средства, Съветът прие необходимите актове за съставените от ЕС отделни списъци срещу Ал Кайда и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ИДИЛ/Даиш.</w:t>
      </w:r>
    </w:p>
    <w:p w:rsidR="00D076A1" w:rsidRDefault="00FD0F5A">
      <w:pPr>
        <w:keepNext/>
        <w:spacing w:after="120" w:line="240" w:lineRule="auto"/>
        <w:jc w:val="both"/>
        <w:outlineLvl w:val="2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б) Предотвратяване на радикализацията и борба с нея</w:t>
      </w: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Предотвратяването на радикализацията е ключов елемент от подхода на ЕС към борбата с тероризма: използване на „гъвкави“ средства за постигане на солидни резултати. Лицата, които вербуват терористи, се насочват към младежите и уязвимите групи, като използва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т чувството за изключване, изолация и отчуждаване. Трябва да са ориентираме към същите лица чрез общностни проекти на местно равнище, които да им предложат алтернативно и по-добро развитие. Ето защо Комисията създаде и подкрепя Мрежата за осведоменост по в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ъпросите на радикализацията (RAN), която обединява местни представители и в рамките на която се обменят най-добри практики относно мерките, които дават резултати в борбата с радикализацията. Проведената на 9 ноември 2016 г.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Конференция на високо равнище на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Мрежата за осведоменост по въпросите на радикализацията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(RAN) постави началото на нова RAN Young платформа, която да стимулира младежите да участват активно в предотвратяването на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радикализацията на ключова за лицата, вербуващи терористи, целева група. Ко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мисията представи също така „регистър с данни за превантивните стратегии, подходи и политики в държавите членки“ заедно с нова мрежа от точки за контакт, за да се гарантира ефективен обмен на най-добри практики в целия ЕС. Мрежата за осведоменост по въпрос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ите на радикализацията публикува също подробно ръководство относно програмите за обучение на полицейски служители в Европа, обхващащо различни аспекти на радикализацията. Започна работа по съставянето на предназначен за държавите членки контролен списък с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действията, които да се предприемат, когато се установи връщане на чуждестранни бойци терористи.</w:t>
      </w:r>
    </w:p>
    <w:p w:rsidR="00D076A1" w:rsidRDefault="00D076A1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За да се предотврати радикализацията, е необходимо също да се прекъснат онлайн каналите за пропаганда, които терористите използват за своите послания. На 8 де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кември Комисията ще бъде домакин на втория Интернет форум на ЕС, обединяващ Комисията, държавите членки, ЕВРОПОЛ и ключови интернет дружества. На срещата ще бъде дадено началото на нова съвместна платформа за сигнализиране с цел да се ускори премахването 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а терористично съдържание и ще стартира програма за овластяване на гражданското общество за по-ефективни послания за противодействие на пропагандата.</w:t>
      </w:r>
    </w:p>
    <w:p w:rsidR="00D076A1" w:rsidRDefault="00FD0F5A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Комисията използва и своите образователни и научноизследователски ресурси в борбата с радикализацията, как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то е посочено в съобщението относно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предотвратяването на радикализацията, водеща до насилнически екстремизъм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bg-BG"/>
        </w:rPr>
        <w:footnoteReference w:id="4"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включително: </w:t>
      </w:r>
    </w:p>
    <w:p w:rsidR="00D076A1" w:rsidRDefault="00FD0F5A">
      <w:pPr>
        <w:numPr>
          <w:ilvl w:val="0"/>
          <w:numId w:val="2"/>
        </w:numPr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Програма „Еразъм+“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— през 2016 г. Комисията мобилизира 200 милиона евро за образователни проекти на местно равнище за насърчаване 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а социалните и гражданските умения; недискриминация; социално приобщаване; критично мислене и медийна грамотност, както и междукултурно разбирателство. Понастоящем съществуват повече от 300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младежки проекта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 областта на мобилността с учебна цел, които се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отнасят по-специално до областите, свързани с Парижката декларация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bg-BG"/>
        </w:rPr>
        <w:footnoteReference w:id="5"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 и над 1 700 проекта по по-общи въпроси, свързани с междукултурния диалог, социалното приобщаване и солидарността.</w:t>
      </w:r>
    </w:p>
    <w:p w:rsidR="00D076A1" w:rsidRDefault="00FD0F5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Финансиране на научните изследвания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 областта на механизмите, които заде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йстват водеща до насилие радикализация, с цел предотвратяване, по-бързо установяване и справяне с отделни екстремни случаи в рамките на „Хоризонт 2020“. </w:t>
      </w:r>
    </w:p>
    <w:p w:rsidR="00D076A1" w:rsidRDefault="00FD0F5A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Стимулиране на дейности за борба с насилническия екстремизъм в трети държави чрез текущо финансиране о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 100 милиона евро. </w:t>
      </w:r>
    </w:p>
    <w:p w:rsidR="00D076A1" w:rsidRDefault="00D076A1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в) Подобряване на оперативното трансгранично сътрудничество с подкрепата на агенциите на ЕС</w:t>
      </w: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Агенциите на ЕС играят ключова роля в изпълнението на програмата за сигурност. Комисията изпълни ангажимента си за укрепване на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Европол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като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предложи още 20 допълнителни служители за Европейския център за борба с тероризма, за да се увеличи капацитетът му да реагира денонощно на държавите членки в случай на голямо терористично нападение. Предложеното подкрепление допълва 35-те служители, отпусн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ати след коригиращ бюджет на ЕС № 1/2016, приет от бюджетния орган на 13 април 2016 г.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bg-BG"/>
        </w:rPr>
        <w:footnoteReference w:id="6"/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Евроюст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също играе важна роля в борбата с тероризма, в т.ч. настоящото положение в Ирак и Сирия, както и по-големия риск от завръщащи се чуждестранни бойци терористи. 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вроюст вече подпомага държавите членки в сложните трансгранични разследвания, а Комисията ги насърчава да използват Евроюст в съвместните екипи за разследване (СЕР) с цел да се укрепят ответните съдебни действия по отношение на чуждестранните бойци терорис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ти. В този контекст държавите членки трябва да предприемат необходимите мерки, за да спазят крайния срок за транспониране (22 май 2017 г.) на 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Европейската заповед за разследване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bg-BG"/>
        </w:rPr>
        <w:footnoteReference w:id="7"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тъй като това ще улесни и ускори събирането и предаването на доказателства. </w:t>
      </w:r>
    </w:p>
    <w:p w:rsidR="00D076A1" w:rsidRDefault="00D076A1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lang w:val="bg-BG"/>
        </w:rPr>
        <w:t>III. ЗАСИЛВАНЕ НА НАШАТА ЗАЩИТА И УСТОЙЧИВОСТ</w:t>
      </w:r>
    </w:p>
    <w:p w:rsidR="00D076A1" w:rsidRDefault="00FD0F5A">
      <w:pPr>
        <w:keepNext/>
        <w:spacing w:after="120" w:line="240" w:lineRule="auto"/>
        <w:jc w:val="both"/>
        <w:outlineLvl w:val="2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lang w:val="bg-BG"/>
        </w:rPr>
        <w:t>a) Подобряване на информационния обмен</w:t>
      </w: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t xml:space="preserve">Ефективният и целенасочен обмен на информация е ключов инструмент в борбата с тероризма. Комисията работи активно за транспонирането на </w:t>
      </w:r>
      <w:r>
        <w:rPr>
          <w:rFonts w:ascii="Times New Roman" w:hAnsi="Times New Roman" w:cs="Times New Roman"/>
          <w:b/>
          <w:noProof/>
          <w:sz w:val="24"/>
          <w:lang w:val="bg-BG"/>
        </w:rPr>
        <w:t xml:space="preserve">Директивата на ЕС за </w:t>
      </w:r>
      <w:r>
        <w:rPr>
          <w:rFonts w:ascii="Times New Roman" w:hAnsi="Times New Roman" w:cs="Times New Roman"/>
          <w:b/>
          <w:noProof/>
          <w:sz w:val="24"/>
          <w:lang w:val="bg-BG"/>
        </w:rPr>
        <w:t>резервационните данни на пътниците (PNR)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, за да гарантира, че то не изостава спрямо крайния срок през май 2018 г. Директивата не само изисква всички държави членки да събират данни за пътниците на авиокомпаниите, но също да бъдат в състояние да обработват </w:t>
      </w:r>
      <w:r>
        <w:rPr>
          <w:rFonts w:ascii="Times New Roman" w:hAnsi="Times New Roman" w:cs="Times New Roman"/>
          <w:noProof/>
          <w:sz w:val="24"/>
          <w:lang w:val="bg-BG"/>
        </w:rPr>
        <w:t>тези данни и да засичат модели на поведение и аномалии. След последния доклад за напредъка Комисията е писала до единадесет държави членки, които все още не са започнали да работят по транспонирането на PNR, с предложение за допълнителна подкрепа в тази об</w:t>
      </w:r>
      <w:r>
        <w:rPr>
          <w:rFonts w:ascii="Times New Roman" w:hAnsi="Times New Roman" w:cs="Times New Roman"/>
          <w:noProof/>
          <w:sz w:val="24"/>
          <w:lang w:val="bg-BG"/>
        </w:rPr>
        <w:t>ласт. Комисията ще представи план за изпълнение на инициативата за по-добро регулиране преди края на ноември 2016 г. Този план за изпълнение ще насочи държавите членки, като определи междинни цели за ключови елементи за създаването на PNR система и разгран</w:t>
      </w:r>
      <w:r>
        <w:rPr>
          <w:rFonts w:ascii="Times New Roman" w:hAnsi="Times New Roman" w:cs="Times New Roman"/>
          <w:noProof/>
          <w:sz w:val="24"/>
          <w:lang w:val="bg-BG"/>
        </w:rPr>
        <w:t>ичи различните видове подкрепа (правна, техническа и финансова), която Комисията предоставя, за да способства и спомогне за своевременното и ефективно транспониране.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t>Борбата с трансграничната престъпност и тероризма изисква ефективни канали за сътрудничест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во между различните правоприлагащи органи. В пограничните райони </w:t>
      </w:r>
      <w:r>
        <w:rPr>
          <w:rFonts w:ascii="Times New Roman" w:hAnsi="Times New Roman" w:cs="Times New Roman"/>
          <w:b/>
          <w:noProof/>
          <w:sz w:val="24"/>
          <w:lang w:val="bg-BG"/>
        </w:rPr>
        <w:t>центровете за полицейско и митническо сътрудничество (ЦПМС)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 обединяват правоприлагащите органи на различни държави членки. 50 ЦПМС от цяла Европа се срещнаха в централата на Европол през окто</w:t>
      </w:r>
      <w:r>
        <w:rPr>
          <w:rFonts w:ascii="Times New Roman" w:hAnsi="Times New Roman" w:cs="Times New Roman"/>
          <w:noProof/>
          <w:sz w:val="24"/>
          <w:lang w:val="bg-BG"/>
        </w:rPr>
        <w:t xml:space="preserve">мври 2016 г., за да набележат начини за подобряване на основните задачи на центровете, информационния обмен и сътрудничеството с Европол и Европейската гранична и брегова охрана. </w:t>
      </w:r>
    </w:p>
    <w:p w:rsidR="00D076A1" w:rsidRDefault="00FD0F5A">
      <w:pPr>
        <w:keepNext/>
        <w:spacing w:after="120" w:line="240" w:lineRule="auto"/>
        <w:jc w:val="both"/>
        <w:outlineLvl w:val="2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lang w:val="bg-BG"/>
        </w:rPr>
        <w:t>б) Укрепване на информационните системи и запълване на информационни празнот</w:t>
      </w:r>
      <w:r>
        <w:rPr>
          <w:rFonts w:ascii="Times New Roman" w:hAnsi="Times New Roman" w:cs="Times New Roman"/>
          <w:i/>
          <w:noProof/>
          <w:sz w:val="24"/>
          <w:lang w:val="bg-BG"/>
        </w:rPr>
        <w:t>и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t xml:space="preserve">Европейският съвет през октомври 2016 г. потвърди подкрепата си за предложението на Комисията за създаване на </w:t>
      </w:r>
      <w:r>
        <w:rPr>
          <w:rFonts w:ascii="Times New Roman" w:hAnsi="Times New Roman" w:cs="Times New Roman"/>
          <w:b/>
          <w:noProof/>
          <w:sz w:val="24"/>
          <w:lang w:val="bg-BG"/>
        </w:rPr>
        <w:t>система на ЕС за информация за пътуванията и разрешаването им (ETIAS)</w:t>
      </w:r>
      <w:r>
        <w:rPr>
          <w:rFonts w:ascii="Times New Roman" w:hAnsi="Times New Roman" w:cs="Times New Roman"/>
          <w:noProof/>
          <w:sz w:val="24"/>
          <w:vertAlign w:val="superscript"/>
          <w:lang w:val="bg-BG"/>
        </w:rPr>
        <w:footnoteReference w:id="8"/>
      </w:r>
      <w:r>
        <w:rPr>
          <w:rFonts w:ascii="Times New Roman" w:hAnsi="Times New Roman" w:cs="Times New Roman"/>
          <w:noProof/>
          <w:sz w:val="24"/>
          <w:lang w:val="bg-BG"/>
        </w:rPr>
        <w:t>, която ще даде възможност да се извършват предварителни проверки на пътни</w:t>
      </w:r>
      <w:r>
        <w:rPr>
          <w:rFonts w:ascii="Times New Roman" w:hAnsi="Times New Roman" w:cs="Times New Roman"/>
          <w:noProof/>
          <w:sz w:val="24"/>
          <w:lang w:val="bg-BG"/>
        </w:rPr>
        <w:t>ци, освободени от изискване за виза. На 16 ноември Комисията представи предложение за регламент за създаване на ETIAS — автоматизирана система за предварителна проверка с цел да се идентифицират потенциални рискове от имиграция или по отношение на сигурнос</w:t>
      </w:r>
      <w:r>
        <w:rPr>
          <w:rFonts w:ascii="Times New Roman" w:hAnsi="Times New Roman" w:cs="Times New Roman"/>
          <w:noProof/>
          <w:sz w:val="24"/>
          <w:lang w:val="bg-BG"/>
        </w:rPr>
        <w:t>тта преди пристигането на пътници, освободени от изискването за виза, на външната граница на ЕС. Понастоящем информацията за притежателите на визи е вписана във Визовата информационна система (ВИС), докато единствените данни за лицата, освободени от изискв</w:t>
      </w:r>
      <w:r>
        <w:rPr>
          <w:rFonts w:ascii="Times New Roman" w:hAnsi="Times New Roman" w:cs="Times New Roman"/>
          <w:noProof/>
          <w:sz w:val="24"/>
          <w:lang w:val="bg-BG"/>
        </w:rPr>
        <w:t>ането за виза, се съдържат в документите за пътуване, които представят при пристигането си. В момента няма предварителна информация за лицата, освободени от изискването за виза, които влизат в ЕС през сухопътна граница, преди да пристигнат на външната гран</w:t>
      </w:r>
      <w:r>
        <w:rPr>
          <w:rFonts w:ascii="Times New Roman" w:hAnsi="Times New Roman" w:cs="Times New Roman"/>
          <w:noProof/>
          <w:sz w:val="24"/>
          <w:lang w:val="bg-BG"/>
        </w:rPr>
        <w:t>ица на ЕС. Системата ще подпомага също политиката на ЕС за либерализиране на визовия режим и ще повиши качеството на управлението на шенгенските граници.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По-солидните граници, които могат да разчитат на свързани информационни системи, са основен инструмент</w:t>
      </w:r>
      <w:r>
        <w:rPr>
          <w:rFonts w:ascii="Times New Roman" w:hAnsi="Times New Roman"/>
          <w:noProof/>
          <w:sz w:val="24"/>
          <w:lang w:val="bg-BG"/>
        </w:rPr>
        <w:t xml:space="preserve"> за откриването на завръщащи се бойци терористи и на други потенциални терористи. Атентатите в Париж откроиха слабостите, свързани с наличието на множество самостоятелни информационни системи, което прави невъзможно за служителите на място да направят цяло</w:t>
      </w:r>
      <w:r>
        <w:rPr>
          <w:rFonts w:ascii="Times New Roman" w:hAnsi="Times New Roman"/>
          <w:noProof/>
          <w:sz w:val="24"/>
          <w:lang w:val="bg-BG"/>
        </w:rPr>
        <w:t xml:space="preserve">стна проверка на дадено физическо лице във всички бази данни. Комисията проучва активно как да бъде подобрена оперативната съвместимост на информационните системи за целите на управлението на границите и сигурността чрез процеса, който тя стартира по-рано </w:t>
      </w:r>
      <w:r>
        <w:rPr>
          <w:rFonts w:ascii="Times New Roman" w:hAnsi="Times New Roman"/>
          <w:noProof/>
          <w:sz w:val="24"/>
          <w:lang w:val="bg-BG"/>
        </w:rPr>
        <w:t>тази година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9"/>
      </w:r>
      <w:r>
        <w:rPr>
          <w:rFonts w:ascii="Times New Roman" w:hAnsi="Times New Roman"/>
          <w:noProof/>
          <w:sz w:val="24"/>
          <w:lang w:val="bg-BG"/>
        </w:rPr>
        <w:t xml:space="preserve">. Тя работи по създаването на </w:t>
      </w:r>
      <w:r>
        <w:rPr>
          <w:rFonts w:ascii="Times New Roman" w:hAnsi="Times New Roman"/>
          <w:b/>
          <w:noProof/>
          <w:sz w:val="24"/>
          <w:lang w:val="bg-BG"/>
        </w:rPr>
        <w:t>единен интерфейс за търсене</w:t>
      </w:r>
      <w:r>
        <w:rPr>
          <w:rFonts w:ascii="Times New Roman" w:hAnsi="Times New Roman"/>
          <w:noProof/>
          <w:sz w:val="24"/>
          <w:lang w:val="bg-BG"/>
        </w:rPr>
        <w:t xml:space="preserve"> — ключов инструмент, от който ще има реални ползи за правоприлагащите органи, граничните и имиграционните органи на държавите членки и чрез който ще се създаде единен технически портал з</w:t>
      </w:r>
      <w:r>
        <w:rPr>
          <w:rFonts w:ascii="Times New Roman" w:hAnsi="Times New Roman"/>
          <w:noProof/>
          <w:sz w:val="24"/>
          <w:lang w:val="bg-BG"/>
        </w:rPr>
        <w:t>а системите, управлявани от Агенцията за оперативното управление на широкомащабни информационни системи в пространството на свобода, сигурност и правосъдие (eu-LISA). Такъв единен интерфейс за търсене няма да замени националните интерфейси, а ще ги допълва</w:t>
      </w:r>
      <w:r>
        <w:rPr>
          <w:rFonts w:ascii="Times New Roman" w:hAnsi="Times New Roman"/>
          <w:noProof/>
          <w:sz w:val="24"/>
          <w:lang w:val="bg-BG"/>
        </w:rPr>
        <w:t xml:space="preserve"> и ще бъде достъпен за всички държави членки в съответствие със съществуващите правила за достъп и използване на системите. Комисията поиска от </w:t>
      </w:r>
      <w:r>
        <w:rPr>
          <w:rFonts w:ascii="Times New Roman" w:hAnsi="Times New Roman"/>
          <w:b/>
          <w:noProof/>
          <w:sz w:val="24"/>
          <w:lang w:val="bg-BG"/>
        </w:rPr>
        <w:t>Експертната група на високо равнище</w:t>
      </w:r>
      <w:r>
        <w:rPr>
          <w:rFonts w:ascii="Times New Roman" w:hAnsi="Times New Roman"/>
          <w:noProof/>
          <w:sz w:val="24"/>
          <w:lang w:val="bg-BG"/>
        </w:rPr>
        <w:t xml:space="preserve"> по информационните системи и оперативната съвместимост да представи междинен</w:t>
      </w:r>
      <w:r>
        <w:rPr>
          <w:rFonts w:ascii="Times New Roman" w:hAnsi="Times New Roman"/>
          <w:noProof/>
          <w:sz w:val="24"/>
          <w:lang w:val="bg-BG"/>
        </w:rPr>
        <w:t xml:space="preserve"> доклад за констатациите си до края на годината. </w:t>
      </w: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На 14 октомври 2016 г. Комисията представи доклад за оценка на прилагането на Визовата информационна система (ВИС), за да анализира начина, по който се извършват проверки по външните граници на ЕС чрез </w:t>
      </w:r>
      <w:r>
        <w:rPr>
          <w:rFonts w:ascii="Times New Roman" w:hAnsi="Times New Roman"/>
          <w:noProof/>
          <w:sz w:val="24"/>
          <w:lang w:val="bg-BG"/>
        </w:rPr>
        <w:t>използване на пръстови отпечатъци и биометрични данни, а така също и използването на системата от правоприлагащи органи за предотвратяване, разкриване и разследване на терористични и други тежки престъпления. ВИС остава една от най-модерните системи от тоз</w:t>
      </w:r>
      <w:r>
        <w:rPr>
          <w:rFonts w:ascii="Times New Roman" w:hAnsi="Times New Roman"/>
          <w:noProof/>
          <w:sz w:val="24"/>
          <w:lang w:val="bg-BG"/>
        </w:rPr>
        <w:t>и вид с близо 23 милиона заявления за издаване на виза и 18,8 милиона пръстови отпечатъци, регистрирани до края на март 2016 г. Същевременно обаче само една на всеки две издадени визи бива проверявана във ВИС от държавите членки по външните граници и изпол</w:t>
      </w:r>
      <w:r>
        <w:rPr>
          <w:rFonts w:ascii="Times New Roman" w:hAnsi="Times New Roman"/>
          <w:noProof/>
          <w:sz w:val="24"/>
          <w:lang w:val="bg-BG"/>
        </w:rPr>
        <w:t>зването на системата за целите на правоприлагането е все още откъслечно. Комисията ще разгледа с държавите членки тези предизвикателства при използването на ВИС въз основа на най-добрите практики в държавите членки, които вече ползват напълно системата.</w:t>
      </w:r>
    </w:p>
    <w:p w:rsidR="00D076A1" w:rsidRDefault="00FD0F5A">
      <w:pPr>
        <w:keepNext/>
        <w:spacing w:after="120" w:line="240" w:lineRule="auto"/>
        <w:jc w:val="both"/>
        <w:outlineLvl w:val="2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noProof/>
          <w:sz w:val="24"/>
          <w:lang w:val="bg-BG"/>
        </w:rPr>
        <w:t>в)</w:t>
      </w:r>
      <w:r>
        <w:rPr>
          <w:rFonts w:ascii="Times New Roman" w:hAnsi="Times New Roman"/>
          <w:i/>
          <w:noProof/>
          <w:sz w:val="24"/>
          <w:lang w:val="bg-BG"/>
        </w:rPr>
        <w:t xml:space="preserve"> Укрепване на сигурността по външните граници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Ключова стъпка в укрепването на сигурността на външните граници на ЕС е стартът на </w:t>
      </w:r>
      <w:r>
        <w:rPr>
          <w:rFonts w:ascii="Times New Roman" w:hAnsi="Times New Roman"/>
          <w:b/>
          <w:noProof/>
          <w:sz w:val="24"/>
          <w:lang w:val="bg-BG"/>
        </w:rPr>
        <w:t>европейската гранична и брегова охрана</w:t>
      </w:r>
      <w:r>
        <w:rPr>
          <w:rFonts w:ascii="Times New Roman" w:hAnsi="Times New Roman"/>
          <w:noProof/>
          <w:sz w:val="24"/>
          <w:lang w:val="bg-BG"/>
        </w:rPr>
        <w:t>, който беше даден на 6 октомври. Сега всяка държава членка трябва да участва в групата/с</w:t>
      </w:r>
      <w:r>
        <w:rPr>
          <w:rFonts w:ascii="Times New Roman" w:hAnsi="Times New Roman"/>
          <w:noProof/>
          <w:sz w:val="24"/>
          <w:lang w:val="bg-BG"/>
        </w:rPr>
        <w:t>труктурата за бързо реагиране, която представлява постоянен корпус от гранични и подходящи други служители, които са на разположение на Агенцията. Тя ще може да прибягва до използването на тази група/структура с кратко предизвестие с цел справяне със спешн</w:t>
      </w:r>
      <w:r>
        <w:rPr>
          <w:rFonts w:ascii="Times New Roman" w:hAnsi="Times New Roman"/>
          <w:noProof/>
          <w:sz w:val="24"/>
          <w:lang w:val="bg-BG"/>
        </w:rPr>
        <w:t>а ситуация по външните граници или бърза гранична намеса. В съответствие със заключенията на Европейския съвет от октомври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10"/>
      </w:r>
      <w:r>
        <w:rPr>
          <w:rFonts w:ascii="Times New Roman" w:hAnsi="Times New Roman"/>
          <w:noProof/>
          <w:sz w:val="24"/>
          <w:lang w:val="bg-BG"/>
        </w:rPr>
        <w:t>, персоналът и оборудването следва да достигнат пълния си капацитет за бързо реагиране до края на годината. Конкретен пример за сътру</w:t>
      </w:r>
      <w:r>
        <w:rPr>
          <w:rFonts w:ascii="Times New Roman" w:hAnsi="Times New Roman"/>
          <w:noProof/>
          <w:sz w:val="24"/>
          <w:lang w:val="bg-BG"/>
        </w:rPr>
        <w:t>дничество на Европейската агенция за гранична и брегова охрана извън границите на ЕС е постигнатата договореност да се увеличи аналитичният, превантивният и оперативният капацитет на органите на трети държави, по-специално в Африка, за борба срещу престъпн</w:t>
      </w:r>
      <w:r>
        <w:rPr>
          <w:rFonts w:ascii="Times New Roman" w:hAnsi="Times New Roman"/>
          <w:noProof/>
          <w:sz w:val="24"/>
          <w:lang w:val="bg-BG"/>
        </w:rPr>
        <w:t xml:space="preserve">ите мрежи за контрабанда на мигранти и да се изградят реално доверие и контакти между ключови държави. 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На заседанието си през октомври Европейският съвет</w:t>
      </w:r>
      <w:r>
        <w:rPr>
          <w:rFonts w:ascii="Times New Roman" w:hAnsi="Times New Roman"/>
          <w:noProof/>
          <w:sz w:val="24"/>
          <w:vertAlign w:val="superscript"/>
          <w:lang w:val="bg-BG"/>
        </w:rPr>
        <w:footnoteReference w:id="11"/>
      </w:r>
      <w:r>
        <w:rPr>
          <w:rFonts w:ascii="Times New Roman" w:hAnsi="Times New Roman"/>
          <w:noProof/>
          <w:sz w:val="24"/>
          <w:lang w:val="bg-BG"/>
        </w:rPr>
        <w:t xml:space="preserve"> призова също за бързо приемане на преразгледания </w:t>
      </w:r>
      <w:r>
        <w:rPr>
          <w:rFonts w:ascii="Times New Roman" w:hAnsi="Times New Roman"/>
          <w:b/>
          <w:noProof/>
          <w:sz w:val="24"/>
          <w:lang w:val="bg-BG"/>
        </w:rPr>
        <w:t>Кодекс на шенгенските граници</w:t>
      </w:r>
      <w:r>
        <w:rPr>
          <w:rFonts w:ascii="Times New Roman" w:hAnsi="Times New Roman"/>
          <w:noProof/>
          <w:sz w:val="24"/>
          <w:lang w:val="bg-BG"/>
        </w:rPr>
        <w:t>, предложен от Комисия</w:t>
      </w:r>
      <w:r>
        <w:rPr>
          <w:rFonts w:ascii="Times New Roman" w:hAnsi="Times New Roman"/>
          <w:noProof/>
          <w:sz w:val="24"/>
          <w:lang w:val="bg-BG"/>
        </w:rPr>
        <w:t>та, за да бъдат засилени систематичните проверки на всички пътници, които преминават външните граници на ЕС, с цел укрепване на сигурността. Като се има предвид централната роля на това преразглеждане за борбата с тероризма и по-специално за откриването на</w:t>
      </w:r>
      <w:r>
        <w:rPr>
          <w:rFonts w:ascii="Times New Roman" w:hAnsi="Times New Roman"/>
          <w:noProof/>
          <w:sz w:val="24"/>
          <w:lang w:val="bg-BG"/>
        </w:rPr>
        <w:t xml:space="preserve"> завръщащи се чуждестранни бойци, съзаконодателите следва бързо да постигнат съгласие по промените преди края на тази година.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През декември Комисията ще представи първия пакет от предложения за подобряване на функционалните възможности на </w:t>
      </w:r>
      <w:r>
        <w:rPr>
          <w:rFonts w:ascii="Times New Roman" w:hAnsi="Times New Roman"/>
          <w:b/>
          <w:noProof/>
          <w:sz w:val="24"/>
          <w:lang w:val="bg-BG"/>
        </w:rPr>
        <w:t>Шенгенската инфор</w:t>
      </w:r>
      <w:r>
        <w:rPr>
          <w:rFonts w:ascii="Times New Roman" w:hAnsi="Times New Roman"/>
          <w:b/>
          <w:noProof/>
          <w:sz w:val="24"/>
          <w:lang w:val="bg-BG"/>
        </w:rPr>
        <w:t>мационна система</w:t>
      </w:r>
      <w:r>
        <w:rPr>
          <w:rFonts w:ascii="Times New Roman" w:hAnsi="Times New Roman"/>
          <w:noProof/>
          <w:sz w:val="24"/>
          <w:lang w:val="bg-BG"/>
        </w:rPr>
        <w:t xml:space="preserve"> (ШИС), по-специално за целите на правоприлагането. С цел оптимизиране на нейната ефективност граничната охрана трябва да проверява систематично всички лица, които преминават външните граници, използвайки системата. В очакване на споразумен</w:t>
      </w:r>
      <w:r>
        <w:rPr>
          <w:rFonts w:ascii="Times New Roman" w:hAnsi="Times New Roman"/>
          <w:noProof/>
          <w:sz w:val="24"/>
          <w:lang w:val="bg-BG"/>
        </w:rPr>
        <w:t xml:space="preserve">ие по измененията на Кодекса на шенгенските граници, държавите членки следва да гарантират, че </w:t>
      </w:r>
      <w:r>
        <w:rPr>
          <w:rFonts w:ascii="Times New Roman" w:hAnsi="Times New Roman"/>
          <w:b/>
          <w:noProof/>
          <w:sz w:val="24"/>
          <w:lang w:val="bg-BG"/>
        </w:rPr>
        <w:t>общите показатели за риска</w:t>
      </w:r>
      <w:r>
        <w:rPr>
          <w:rFonts w:ascii="Times New Roman" w:hAnsi="Times New Roman"/>
          <w:noProof/>
          <w:sz w:val="24"/>
          <w:lang w:val="bg-BG"/>
        </w:rPr>
        <w:t xml:space="preserve"> във връзка с чуждестранните бойци терористи се прилагат изцяло и в съответствие с актуализираните насоки, предоставени от Европейската</w:t>
      </w:r>
      <w:r>
        <w:rPr>
          <w:rFonts w:ascii="Times New Roman" w:hAnsi="Times New Roman"/>
          <w:noProof/>
          <w:sz w:val="24"/>
          <w:lang w:val="bg-BG"/>
        </w:rPr>
        <w:t xml:space="preserve"> гранична и брегова охрана.</w:t>
      </w:r>
    </w:p>
    <w:p w:rsidR="00D076A1" w:rsidRDefault="00FD0F5A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 xml:space="preserve">Измамите с документи за пътуване и с фалшива самоличност </w:t>
      </w:r>
      <w:r>
        <w:rPr>
          <w:rFonts w:ascii="Times New Roman" w:hAnsi="Times New Roman"/>
          <w:noProof/>
          <w:sz w:val="24"/>
          <w:lang w:val="bg-BG"/>
        </w:rPr>
        <w:t>са все по-голяма заплаха за сигурността, както беше потвърдено от фалшивата самоличност на парижките атентатори. През декември Комисията ще представи план за действие за п</w:t>
      </w:r>
      <w:r>
        <w:rPr>
          <w:rFonts w:ascii="Times New Roman" w:hAnsi="Times New Roman"/>
          <w:noProof/>
          <w:sz w:val="24"/>
          <w:lang w:val="bg-BG"/>
        </w:rPr>
        <w:t>одобряване на защитните елементи в документите за пътуване.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Укрепването на сигурността по външните граници е свързано не само с отделните пътници, но и със стоките, където на преден план са митническите органи. Реформата на</w:t>
      </w:r>
      <w:r>
        <w:rPr>
          <w:rFonts w:ascii="Times New Roman" w:hAnsi="Times New Roman"/>
          <w:b/>
          <w:noProof/>
          <w:sz w:val="24"/>
          <w:lang w:val="bg-BG"/>
        </w:rPr>
        <w:t xml:space="preserve"> системата за предварителна инфор</w:t>
      </w:r>
      <w:r>
        <w:rPr>
          <w:rFonts w:ascii="Times New Roman" w:hAnsi="Times New Roman"/>
          <w:b/>
          <w:noProof/>
          <w:sz w:val="24"/>
          <w:lang w:val="bg-BG"/>
        </w:rPr>
        <w:t>мация за товарите (ICS 2.0)</w:t>
      </w:r>
      <w:r>
        <w:rPr>
          <w:rFonts w:ascii="Times New Roman" w:hAnsi="Times New Roman"/>
          <w:noProof/>
          <w:sz w:val="24"/>
          <w:lang w:val="bg-BG"/>
        </w:rPr>
        <w:t xml:space="preserve"> се стреми да разшири и модернизира системата, за да разполага чрез защитен регистър на ЕС с повече и по-качествена информация от търговците относно движението на стоки, както и да предоставя тази информация на всички митнически </w:t>
      </w:r>
      <w:r>
        <w:rPr>
          <w:rFonts w:ascii="Times New Roman" w:hAnsi="Times New Roman"/>
          <w:noProof/>
          <w:sz w:val="24"/>
          <w:lang w:val="bg-BG"/>
        </w:rPr>
        <w:t>органи. Целта е да се премахнат съществуващите ограничения (липса на пълни данни от качествена и количествена гледна точка; съответните държави членки разполагат с ограничени данни; ограничен капацитет за използване на разузнавателни данни). Съветът възнам</w:t>
      </w:r>
      <w:r>
        <w:rPr>
          <w:rFonts w:ascii="Times New Roman" w:hAnsi="Times New Roman"/>
          <w:noProof/>
          <w:sz w:val="24"/>
          <w:lang w:val="bg-BG"/>
        </w:rPr>
        <w:t xml:space="preserve">ерява да приеме заключения по този въпрос през декември 2016 г. 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noProof/>
          <w:sz w:val="24"/>
          <w:lang w:val="bg-BG"/>
        </w:rPr>
        <w:t>г) Подобряване на сигурността на ЕС чрез диалог отвъд границите на ЕС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Като се има предвид, че тероризмът е международен по характер и терористите не зачитат границите, ЕС продължава да участв</w:t>
      </w:r>
      <w:r>
        <w:rPr>
          <w:rFonts w:ascii="Times New Roman" w:hAnsi="Times New Roman"/>
          <w:noProof/>
          <w:sz w:val="24"/>
          <w:lang w:val="bg-BG"/>
        </w:rPr>
        <w:t xml:space="preserve">а активно в разисквания със своите съседи и други международни партньори за разработването на ефективни партньорства в областта на сигурността и борбата с тероризма. 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Скорошни събития в това отношение: </w:t>
      </w:r>
    </w:p>
    <w:p w:rsidR="00D076A1" w:rsidRDefault="00FD0F5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Засилване на координацията между делегациите на ЕС и </w:t>
      </w:r>
      <w:r>
        <w:rPr>
          <w:rFonts w:ascii="Times New Roman" w:hAnsi="Times New Roman"/>
          <w:noProof/>
          <w:sz w:val="24"/>
          <w:lang w:val="bg-BG"/>
        </w:rPr>
        <w:t xml:space="preserve">посолствата на държавите членки, като с назначаването в Босна и Херцеговина, Чад и Ливан на трима допълнителни </w:t>
      </w:r>
      <w:r>
        <w:rPr>
          <w:rFonts w:ascii="Times New Roman" w:hAnsi="Times New Roman"/>
          <w:b/>
          <w:noProof/>
          <w:sz w:val="24"/>
          <w:lang w:val="bg-BG"/>
        </w:rPr>
        <w:t>експерти по въпросите на</w:t>
      </w:r>
      <w:r>
        <w:rPr>
          <w:rFonts w:ascii="Times New Roman" w:hAnsi="Times New Roman"/>
          <w:noProof/>
          <w:sz w:val="24"/>
          <w:lang w:val="bg-BG"/>
        </w:rPr>
        <w:t xml:space="preserve"> </w:t>
      </w:r>
      <w:r>
        <w:rPr>
          <w:rFonts w:ascii="Times New Roman" w:hAnsi="Times New Roman"/>
          <w:b/>
          <w:noProof/>
          <w:sz w:val="24"/>
          <w:lang w:val="bg-BG"/>
        </w:rPr>
        <w:t>борбата с тероризма/сигурността</w:t>
      </w:r>
      <w:r>
        <w:rPr>
          <w:rFonts w:ascii="Times New Roman" w:hAnsi="Times New Roman"/>
          <w:noProof/>
          <w:sz w:val="24"/>
          <w:lang w:val="bg-BG"/>
        </w:rPr>
        <w:t xml:space="preserve"> общият брой на експертите достигна 14. </w:t>
      </w:r>
    </w:p>
    <w:p w:rsidR="00D076A1" w:rsidRDefault="00FD0F5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Диалогът по въпросите на борбата с тероризма меж</w:t>
      </w:r>
      <w:r>
        <w:rPr>
          <w:rFonts w:ascii="Times New Roman" w:hAnsi="Times New Roman"/>
          <w:noProof/>
          <w:sz w:val="24"/>
          <w:lang w:val="bg-BG"/>
        </w:rPr>
        <w:t xml:space="preserve">ду </w:t>
      </w:r>
      <w:r>
        <w:rPr>
          <w:rFonts w:ascii="Times New Roman" w:hAnsi="Times New Roman"/>
          <w:b/>
          <w:noProof/>
          <w:sz w:val="24"/>
          <w:lang w:val="bg-BG"/>
        </w:rPr>
        <w:t>ЕС и Израел</w:t>
      </w:r>
      <w:r>
        <w:rPr>
          <w:rFonts w:ascii="Times New Roman" w:hAnsi="Times New Roman"/>
          <w:noProof/>
          <w:sz w:val="24"/>
          <w:lang w:val="bg-BG"/>
        </w:rPr>
        <w:t>, който се състоя в Израел на 13 септември, засегна по-тясното сътрудничество в областта на борбата с финансирането на тероризма, насилническия екстремизъм, неконвенционалния тероризъм, както и резервационните данни на пътниците и сигурността</w:t>
      </w:r>
      <w:r>
        <w:rPr>
          <w:rFonts w:ascii="Times New Roman" w:hAnsi="Times New Roman"/>
          <w:noProof/>
          <w:sz w:val="24"/>
          <w:lang w:val="bg-BG"/>
        </w:rPr>
        <w:t xml:space="preserve"> на транспорта.</w:t>
      </w:r>
    </w:p>
    <w:p w:rsidR="00D076A1" w:rsidRDefault="00FD0F5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По време на съвместното посещение на службите на Комисията, Европейската служба за външна дейност (ЕСВД) и координатора на ЕС за борба с тероризма в </w:t>
      </w:r>
      <w:r>
        <w:rPr>
          <w:rFonts w:ascii="Times New Roman" w:hAnsi="Times New Roman"/>
          <w:b/>
          <w:noProof/>
          <w:sz w:val="24"/>
          <w:lang w:val="bg-BG"/>
        </w:rPr>
        <w:t>Египет</w:t>
      </w:r>
      <w:r>
        <w:rPr>
          <w:rFonts w:ascii="Times New Roman" w:hAnsi="Times New Roman"/>
          <w:noProof/>
          <w:sz w:val="24"/>
          <w:lang w:val="bg-BG"/>
        </w:rPr>
        <w:t xml:space="preserve"> на 6—7 септември беше постигнато съгласие за сътрудничество по редица въпроси, свърз</w:t>
      </w:r>
      <w:r>
        <w:rPr>
          <w:rFonts w:ascii="Times New Roman" w:hAnsi="Times New Roman"/>
          <w:noProof/>
          <w:sz w:val="24"/>
          <w:lang w:val="bg-BG"/>
        </w:rPr>
        <w:t xml:space="preserve">ани със сигурността. </w:t>
      </w:r>
    </w:p>
    <w:p w:rsidR="00D076A1" w:rsidRDefault="00FD0F5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На 26—27 септември беше организиран семинар с органите на ЕС в </w:t>
      </w:r>
      <w:r>
        <w:rPr>
          <w:rFonts w:ascii="Times New Roman" w:hAnsi="Times New Roman"/>
          <w:b/>
          <w:noProof/>
          <w:sz w:val="24"/>
          <w:lang w:val="bg-BG"/>
        </w:rPr>
        <w:t>Ирак</w:t>
      </w:r>
      <w:r>
        <w:rPr>
          <w:rFonts w:ascii="Times New Roman" w:hAnsi="Times New Roman"/>
          <w:noProof/>
          <w:sz w:val="24"/>
          <w:lang w:val="bg-BG"/>
        </w:rPr>
        <w:t xml:space="preserve"> за обмен на най-добри практики в борбата с тероризма. </w:t>
      </w:r>
    </w:p>
    <w:p w:rsidR="00D076A1" w:rsidRDefault="00D076A1">
      <w:pPr>
        <w:spacing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bg-BG"/>
        </w:rPr>
      </w:pPr>
    </w:p>
    <w:p w:rsidR="00D076A1" w:rsidRDefault="00FD0F5A">
      <w:pPr>
        <w:shd w:val="clear" w:color="auto" w:fill="FFFFFF" w:themeFill="background1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noProof/>
          <w:sz w:val="24"/>
          <w:lang w:val="bg-BG"/>
        </w:rPr>
        <w:t>д) Защита на гражданите и на критичните инфраструктури</w:t>
      </w:r>
    </w:p>
    <w:p w:rsidR="00D076A1" w:rsidRDefault="00FD0F5A">
      <w:pPr>
        <w:shd w:val="clear" w:color="auto" w:fill="FFFFFF" w:themeFill="background1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Ключова област за изграждане на устойчивост в Съюза е </w:t>
      </w:r>
      <w:r>
        <w:rPr>
          <w:rFonts w:ascii="Times New Roman" w:hAnsi="Times New Roman"/>
          <w:b/>
          <w:noProof/>
          <w:sz w:val="24"/>
          <w:lang w:val="bg-BG"/>
        </w:rPr>
        <w:t xml:space="preserve">сигурността на транспорта. </w:t>
      </w:r>
      <w:r>
        <w:rPr>
          <w:rFonts w:ascii="Times New Roman" w:hAnsi="Times New Roman"/>
          <w:noProof/>
          <w:sz w:val="24"/>
          <w:lang w:val="bg-BG"/>
        </w:rPr>
        <w:t>Комисията работи за укрепване на регулаторната рамка на ЕС. Въпреки че това вече беше сторено в областта на въздухоплаването, необходимо е да се запази равнището на защита и да се предвиждат бъдещи заплахи, като сигурността на пр</w:t>
      </w:r>
      <w:r>
        <w:rPr>
          <w:rFonts w:ascii="Times New Roman" w:hAnsi="Times New Roman"/>
          <w:noProof/>
          <w:sz w:val="24"/>
          <w:lang w:val="bg-BG"/>
        </w:rPr>
        <w:t>истигащите полети и защитата на охраняваните зони. На 7—8 ноември 2016 г. Комисията бе домакин на конференция относно защитата на обществените места с участието на национални и международни експерти от областта на транспорта, разузнаването и промишлеността</w:t>
      </w:r>
      <w:r>
        <w:rPr>
          <w:rFonts w:ascii="Times New Roman" w:hAnsi="Times New Roman"/>
          <w:noProof/>
          <w:sz w:val="24"/>
          <w:lang w:val="bg-BG"/>
        </w:rPr>
        <w:t xml:space="preserve">, посветена на начините за гарантиране на сигурността в зоните на обществения транспорт. </w:t>
      </w:r>
    </w:p>
    <w:p w:rsidR="00D076A1" w:rsidRDefault="00FD0F5A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Комисията работи също върху </w:t>
      </w:r>
      <w:r>
        <w:rPr>
          <w:rFonts w:ascii="Times New Roman" w:hAnsi="Times New Roman"/>
          <w:b/>
          <w:noProof/>
          <w:sz w:val="24"/>
          <w:lang w:val="bg-BG"/>
        </w:rPr>
        <w:t>оценка на риска</w:t>
      </w:r>
      <w:r>
        <w:rPr>
          <w:rFonts w:ascii="Times New Roman" w:hAnsi="Times New Roman"/>
          <w:noProof/>
          <w:sz w:val="24"/>
          <w:lang w:val="bg-BG"/>
        </w:rPr>
        <w:t xml:space="preserve"> в транспортния сектор. Наскоро финализира 6-ия кръг от оценката на риска за сигурността на </w:t>
      </w:r>
      <w:r>
        <w:rPr>
          <w:rFonts w:ascii="Times New Roman" w:hAnsi="Times New Roman"/>
          <w:b/>
          <w:noProof/>
          <w:sz w:val="24"/>
          <w:lang w:val="bg-BG"/>
        </w:rPr>
        <w:t>въздушния превоз на товари</w:t>
      </w:r>
      <w:r>
        <w:rPr>
          <w:rFonts w:ascii="Times New Roman" w:hAnsi="Times New Roman"/>
          <w:noProof/>
          <w:sz w:val="24"/>
          <w:lang w:val="bg-BG"/>
        </w:rPr>
        <w:t>, как</w:t>
      </w:r>
      <w:r>
        <w:rPr>
          <w:rFonts w:ascii="Times New Roman" w:hAnsi="Times New Roman"/>
          <w:noProof/>
          <w:sz w:val="24"/>
          <w:lang w:val="bg-BG"/>
        </w:rPr>
        <w:t xml:space="preserve">то и 3-ия кръг от оценката на рисковете за </w:t>
      </w:r>
      <w:r>
        <w:rPr>
          <w:rFonts w:ascii="Times New Roman" w:hAnsi="Times New Roman"/>
          <w:b/>
          <w:noProof/>
          <w:sz w:val="24"/>
          <w:lang w:val="bg-BG"/>
        </w:rPr>
        <w:t>авиацията от зони на конфликт</w:t>
      </w:r>
      <w:r>
        <w:rPr>
          <w:rFonts w:ascii="Times New Roman" w:hAnsi="Times New Roman"/>
          <w:noProof/>
          <w:sz w:val="24"/>
          <w:lang w:val="bg-BG"/>
        </w:rPr>
        <w:t xml:space="preserve">, в сътрудничество с държавите членки и ЕСВД. </w:t>
      </w:r>
    </w:p>
    <w:p w:rsidR="00D076A1" w:rsidRDefault="00FD0F5A">
      <w:pPr>
        <w:shd w:val="clear" w:color="auto" w:fill="FFFFFF" w:themeFill="background1"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Комисията работи и в областта на </w:t>
      </w:r>
      <w:r>
        <w:rPr>
          <w:rFonts w:ascii="Times New Roman" w:hAnsi="Times New Roman"/>
          <w:b/>
          <w:noProof/>
          <w:sz w:val="24"/>
          <w:lang w:val="bg-BG"/>
        </w:rPr>
        <w:t>морския и сухопътния транспорт</w:t>
      </w:r>
      <w:r>
        <w:rPr>
          <w:rFonts w:ascii="Times New Roman" w:hAnsi="Times New Roman"/>
          <w:noProof/>
          <w:sz w:val="24"/>
          <w:lang w:val="bg-BG"/>
        </w:rPr>
        <w:t>, особено във връзка с круизните и фериботните услуги, където могат да бъд</w:t>
      </w:r>
      <w:r>
        <w:rPr>
          <w:rFonts w:ascii="Times New Roman" w:hAnsi="Times New Roman"/>
          <w:noProof/>
          <w:sz w:val="24"/>
          <w:lang w:val="bg-BG"/>
        </w:rPr>
        <w:t>ат засегнати голям брой пътници, както и по отношение на железопътните услуги — работа за определяне на основан на риска, пропорционален и устойчив общ подход. Комисията наскоро приключи проучване за оценка на въздействието относно възможните политики за с</w:t>
      </w:r>
      <w:r>
        <w:rPr>
          <w:rFonts w:ascii="Times New Roman" w:hAnsi="Times New Roman"/>
          <w:noProof/>
          <w:sz w:val="24"/>
          <w:lang w:val="bg-BG"/>
        </w:rPr>
        <w:t xml:space="preserve">игурността на европейските </w:t>
      </w:r>
      <w:r>
        <w:rPr>
          <w:rFonts w:ascii="Times New Roman" w:hAnsi="Times New Roman"/>
          <w:b/>
          <w:noProof/>
          <w:sz w:val="24"/>
          <w:lang w:val="bg-BG"/>
        </w:rPr>
        <w:t>високоскоростни и международни железопътни услуги</w:t>
      </w:r>
      <w:r>
        <w:rPr>
          <w:rFonts w:ascii="Times New Roman" w:hAnsi="Times New Roman"/>
          <w:noProof/>
          <w:sz w:val="24"/>
          <w:lang w:val="bg-BG"/>
        </w:rPr>
        <w:t>.</w:t>
      </w: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И накрая, Комисията засили допълнително </w:t>
      </w:r>
      <w:r>
        <w:rPr>
          <w:rFonts w:ascii="Times New Roman" w:hAnsi="Times New Roman"/>
          <w:b/>
          <w:noProof/>
          <w:sz w:val="24"/>
          <w:lang w:val="bg-BG"/>
        </w:rPr>
        <w:t>сътрудничеството си със стратегическите партньори</w:t>
      </w:r>
      <w:r>
        <w:rPr>
          <w:rFonts w:ascii="Times New Roman" w:hAnsi="Times New Roman"/>
          <w:noProof/>
          <w:sz w:val="24"/>
          <w:lang w:val="bg-BG"/>
        </w:rPr>
        <w:t xml:space="preserve"> чрез сътрудничество с Министерството на вътрешната сигурност на САЩ и Министерството за </w:t>
      </w:r>
      <w:r>
        <w:rPr>
          <w:rFonts w:ascii="Times New Roman" w:hAnsi="Times New Roman"/>
          <w:noProof/>
          <w:sz w:val="24"/>
          <w:lang w:val="bg-BG"/>
        </w:rPr>
        <w:t xml:space="preserve">обществена безопасност на Канада по отношение на </w:t>
      </w:r>
      <w:r>
        <w:rPr>
          <w:rFonts w:ascii="Times New Roman" w:hAnsi="Times New Roman"/>
          <w:b/>
          <w:noProof/>
          <w:sz w:val="24"/>
          <w:lang w:val="bg-BG"/>
        </w:rPr>
        <w:t xml:space="preserve">защитата на критичната инфраструктура. </w:t>
      </w:r>
      <w:r>
        <w:rPr>
          <w:rFonts w:ascii="Times New Roman" w:hAnsi="Times New Roman"/>
          <w:noProof/>
          <w:sz w:val="24"/>
          <w:lang w:val="bg-BG"/>
        </w:rPr>
        <w:t>През септември Комисията се срещна с тези партньори, за да задълбочи дискутирането на основни въпроси, свързани със защитата на критичните инфраструктури, киберсигурнос</w:t>
      </w:r>
      <w:r>
        <w:rPr>
          <w:rFonts w:ascii="Times New Roman" w:hAnsi="Times New Roman"/>
          <w:noProof/>
          <w:sz w:val="24"/>
          <w:lang w:val="bg-BG"/>
        </w:rPr>
        <w:t xml:space="preserve">тта и устойчивостта, както и сътрудничеството в ключови области, свързани с </w:t>
      </w:r>
      <w:r>
        <w:rPr>
          <w:rFonts w:ascii="Times New Roman" w:hAnsi="Times New Roman"/>
          <w:b/>
          <w:noProof/>
          <w:sz w:val="24"/>
          <w:lang w:val="bg-BG"/>
        </w:rPr>
        <w:t>взривните вещества</w:t>
      </w:r>
      <w:r>
        <w:rPr>
          <w:rFonts w:ascii="Times New Roman" w:hAnsi="Times New Roman"/>
          <w:noProof/>
          <w:sz w:val="24"/>
          <w:lang w:val="bg-BG"/>
        </w:rPr>
        <w:t xml:space="preserve">, включително откриване, обучение и обмен на информация. </w:t>
      </w:r>
    </w:p>
    <w:p w:rsidR="00D076A1" w:rsidRDefault="00D076A1"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bg-BG"/>
        </w:rPr>
      </w:pPr>
    </w:p>
    <w:p w:rsidR="00D076A1" w:rsidRDefault="00FD0F5A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V. ЗАКЛЮЧЕНИЕ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 xml:space="preserve">Една година след ужасяващите терористични атентати в Париж на 13 ноември Комисията, </w:t>
      </w:r>
      <w:r>
        <w:rPr>
          <w:rFonts w:ascii="Times New Roman" w:hAnsi="Times New Roman"/>
          <w:noProof/>
          <w:sz w:val="24"/>
          <w:lang w:val="bg-BG"/>
        </w:rPr>
        <w:t>агенциите на ЕС и държавите членки предприеха широк набор от незаконодателни действия, които допринасят за постепенното разработване на ефективен и истински Съюз на сигурността. Необходимо е обаче незабавно да се отбележи допълнителен напредък, за да се пр</w:t>
      </w:r>
      <w:r>
        <w:rPr>
          <w:rFonts w:ascii="Times New Roman" w:hAnsi="Times New Roman"/>
          <w:noProof/>
          <w:sz w:val="24"/>
          <w:lang w:val="bg-BG"/>
        </w:rPr>
        <w:t>есече пътят на терористите. Този месец съзаконодателите трябва спешно да постигнат съгласие по предложената директива относно борбата с тероризма, предложението за преразглеждане на Директивата за огнестрелните оръжия и предложените изменения на Кодекса на</w:t>
      </w:r>
      <w:r>
        <w:rPr>
          <w:rFonts w:ascii="Times New Roman" w:hAnsi="Times New Roman"/>
          <w:noProof/>
          <w:sz w:val="24"/>
          <w:lang w:val="bg-BG"/>
        </w:rPr>
        <w:t xml:space="preserve"> шенгенските граници. Допълнителното забавяне ще донесе ползи само за терористите, които се стремят да разрушат начина ни на живот.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Работата по укрепването на системите за външните граници, включително ETIAS, привеждането в действие на Европейската агенция</w:t>
      </w:r>
      <w:r>
        <w:rPr>
          <w:rFonts w:ascii="Times New Roman" w:hAnsi="Times New Roman"/>
          <w:noProof/>
          <w:sz w:val="24"/>
          <w:lang w:val="bg-BG"/>
        </w:rPr>
        <w:t xml:space="preserve"> за гранична и брегова охрана и предложените изменения на Кодекса на шенгенските граници са важни елементи от отговора на ЕС на заплахата от завръщащи се бойци терористи и трябва вече да бъдат възприети като приоритет от съзаконодателите.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Въпреки че работа</w:t>
      </w:r>
      <w:r>
        <w:rPr>
          <w:rFonts w:ascii="Times New Roman" w:hAnsi="Times New Roman"/>
          <w:noProof/>
          <w:sz w:val="24"/>
          <w:lang w:val="bg-BG"/>
        </w:rPr>
        <w:t xml:space="preserve">та на местно равнище за предотвратяване на радикализацията чрез Мрежата за осведоменост по въпросите на радикализацията е дългосрочно усилие, тя е от съществено значение и изисква незабавен и категоричен ангажимент и подкрепа на равнището на ЕС. </w:t>
      </w:r>
    </w:p>
    <w:p w:rsidR="00D076A1" w:rsidRDefault="00FD0F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noProof/>
          <w:sz w:val="24"/>
          <w:lang w:val="bg-BG"/>
        </w:rPr>
        <w:t>Комисията</w:t>
      </w:r>
      <w:r>
        <w:rPr>
          <w:rFonts w:ascii="Times New Roman" w:hAnsi="Times New Roman"/>
          <w:noProof/>
          <w:sz w:val="24"/>
          <w:lang w:val="bg-BG"/>
        </w:rPr>
        <w:t xml:space="preserve"> ще продължи да работи по изпълнението на Европейската програма за сигурност, за да бъде постигнат ефективен и истински Съюз на сигурност, и ще докладва за постигнатия напредък през декември. Освен ключовите етапи, посочени по-долу, докладът през декември </w:t>
      </w:r>
      <w:r>
        <w:rPr>
          <w:rFonts w:ascii="Times New Roman" w:hAnsi="Times New Roman"/>
          <w:noProof/>
          <w:sz w:val="24"/>
          <w:lang w:val="bg-BG"/>
        </w:rPr>
        <w:t xml:space="preserve">ще включва актуална информация за напредъка, постигнат в областта на киберпрестъпността и кибернетичната сигурност, и за хода на работата с ИТ дружества с цел противодействие на онлайн радикализацията. </w:t>
      </w:r>
    </w:p>
    <w:p w:rsidR="00D076A1" w:rsidRDefault="00FD0F5A">
      <w:pPr>
        <w:rPr>
          <w:noProof/>
          <w:lang w:val="bg-BG"/>
        </w:rPr>
      </w:pPr>
      <w:r>
        <w:rPr>
          <w:noProof/>
          <w:lang w:val="bg-BG"/>
        </w:rPr>
        <w:br w:type="page"/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>КЛЮЧОВИ ВЪПРОСИ И СЪБИТИЯ ПРЕЗ СЛЕДВАЩИТЕ МЕСЕЦИ:</w:t>
      </w:r>
    </w:p>
    <w:p w:rsidR="00D076A1" w:rsidRDefault="00D07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lang w:val="bg-BG"/>
        </w:rPr>
      </w:pP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noProof/>
          <w:lang w:val="bg-BG"/>
        </w:rPr>
      </w:pPr>
      <w:r>
        <w:rPr>
          <w:rFonts w:ascii="Times New Roman" w:hAnsi="Times New Roman"/>
          <w:b/>
          <w:noProof/>
          <w:lang w:val="bg-BG"/>
        </w:rPr>
        <w:t>ЗАСИЛВАНЕ НА БОРБАТА НИ С ТЕРОРИЗМА, ОРГАНИЗИРАНАТА ПРЕСТЪПНОСТ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noProof/>
          <w:lang w:val="bg-BG"/>
        </w:rPr>
      </w:pPr>
      <w:r>
        <w:rPr>
          <w:rFonts w:ascii="Times New Roman" w:hAnsi="Times New Roman"/>
          <w:b/>
          <w:noProof/>
          <w:lang w:val="bg-BG"/>
        </w:rPr>
        <w:t xml:space="preserve">И СРЕДСТВАТА ЗА ТЯХНОТО ПОДПОМАГАНЕ 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 xml:space="preserve">а) Правна рамка за борба с тероризма и за пресичане на достъпа до финансиране и огнестрелни оръжия 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Европейският парламент</w:t>
      </w:r>
      <w:r>
        <w:rPr>
          <w:noProof/>
          <w:lang w:val="bg-BG"/>
        </w:rPr>
        <w:t xml:space="preserve"> </w:t>
      </w:r>
      <w:r>
        <w:rPr>
          <w:rFonts w:ascii="Times New Roman" w:hAnsi="Times New Roman"/>
          <w:noProof/>
          <w:lang w:val="bg-BG"/>
        </w:rPr>
        <w:t>и Съветът трябва незабавно и н</w:t>
      </w:r>
      <w:r>
        <w:rPr>
          <w:rFonts w:ascii="Times New Roman" w:hAnsi="Times New Roman"/>
          <w:noProof/>
          <w:lang w:val="bg-BG"/>
        </w:rPr>
        <w:t>ай-късно до края на 2016 г. да постигнат съгласие по проекта на директива относно борбата с тероризма, както и да се споразумеят преди края на годината за преразглеждането на Директивата за огнестрелните оръжия.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 xml:space="preserve">-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През декември Комисията ще представи паке</w:t>
      </w:r>
      <w:r>
        <w:rPr>
          <w:rFonts w:ascii="Times New Roman" w:hAnsi="Times New Roman"/>
          <w:noProof/>
          <w:lang w:val="bg-BG"/>
        </w:rPr>
        <w:t>т от предложения с цел засилване на борбата с тероризма чрез предложения за инкриминирането на изпирането на пари, за укрепването на взаимното признаване на замразяването на активи и заповедите за конфискация, както и за справяне с незаконните парични плащ</w:t>
      </w:r>
      <w:r>
        <w:rPr>
          <w:rFonts w:ascii="Times New Roman" w:hAnsi="Times New Roman"/>
          <w:noProof/>
          <w:lang w:val="bg-BG"/>
        </w:rPr>
        <w:t xml:space="preserve">ания. 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i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>б) Предотвратяване на радикализацията и борба с нея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Втората среща на високо равнище на интернет форума на ЕС на 8 декември 2016 г. ще определи посоката на по-нататъшната работа за предотвратяване на радикализацията в интернет и за борба с терористичната пропаганда по интернет. Тя ще създаде нова съвместна п</w:t>
      </w:r>
      <w:r>
        <w:rPr>
          <w:rFonts w:ascii="Times New Roman" w:hAnsi="Times New Roman"/>
          <w:noProof/>
          <w:lang w:val="bg-BG"/>
        </w:rPr>
        <w:t xml:space="preserve">латформа за сигнализиране и програма за овластяване на гражданското общество. </w:t>
      </w:r>
      <w:r>
        <w:rPr>
          <w:noProof/>
          <w:lang w:val="bg-BG"/>
        </w:rPr>
        <w:tab/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noProof/>
          <w:lang w:val="bg-BG"/>
        </w:rPr>
      </w:pPr>
      <w:r>
        <w:rPr>
          <w:rFonts w:ascii="Times New Roman" w:hAnsi="Times New Roman"/>
          <w:b/>
          <w:noProof/>
          <w:lang w:val="bg-BG"/>
        </w:rPr>
        <w:t>ЗАСИЛВАНЕ НА НАШАТА ЗАЩИТА И УСТОЙЧИВОСТ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i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>a) Подобряване на информационния обмен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bg-BG"/>
        </w:rPr>
      </w:pPr>
      <w:r>
        <w:rPr>
          <w:rFonts w:ascii="Times New Roman" w:hAnsi="Times New Roman"/>
          <w:noProof/>
          <w:lang w:val="bg-BG"/>
        </w:rPr>
        <w:t xml:space="preserve">-        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Комисията ще представи план за изпълнение на инициативата за по-добро регулиране по о</w:t>
      </w:r>
      <w:r>
        <w:rPr>
          <w:rFonts w:ascii="Times New Roman" w:hAnsi="Times New Roman"/>
          <w:noProof/>
          <w:lang w:val="bg-BG"/>
        </w:rPr>
        <w:t>тношение на резервационните данни на пътниците преди края на ноември 2016 г.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i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>б) Укрепване на информационните системи и запълване на информационни празноти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 xml:space="preserve">Комисията призовава съзаконодателите спешно да започнат работа по нейното предложение за създаване </w:t>
      </w:r>
      <w:r>
        <w:rPr>
          <w:rFonts w:ascii="Times New Roman" w:hAnsi="Times New Roman"/>
          <w:noProof/>
          <w:lang w:val="bg-BG"/>
        </w:rPr>
        <w:t>на Система на ЕС за информация за пътуванията и разрешаването им (ETIAS).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Експертната група на високо равнище по информационните системи и оперативната съвместимост ще представи своя междинен доклад преди края на декември 2016 г.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i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 xml:space="preserve"> </w:t>
      </w:r>
      <w:r>
        <w:rPr>
          <w:rFonts w:ascii="Times New Roman" w:hAnsi="Times New Roman"/>
          <w:b/>
          <w:i/>
          <w:noProof/>
          <w:lang w:val="bg-BG"/>
        </w:rPr>
        <w:t>в) Укрепване на сигурно</w:t>
      </w:r>
      <w:r>
        <w:rPr>
          <w:rFonts w:ascii="Times New Roman" w:hAnsi="Times New Roman"/>
          <w:b/>
          <w:i/>
          <w:noProof/>
          <w:lang w:val="bg-BG"/>
        </w:rPr>
        <w:t>стта по външните граници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 xml:space="preserve">- 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Комисията призовава съзаконодателите да дадат своето одобрение за целевото изменение на Кодекса на шенгенските граници по отношение на систематичните проверки, за да бъде възможно приемането му преди края на годината.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През дек</w:t>
      </w:r>
      <w:r>
        <w:rPr>
          <w:rFonts w:ascii="Times New Roman" w:hAnsi="Times New Roman"/>
          <w:noProof/>
          <w:lang w:val="bg-BG"/>
        </w:rPr>
        <w:t>ември Комисията ще представи съобщение относно план за действие за подобряване на цялостната защита на документите за пътуване.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i/>
          <w:noProof/>
          <w:lang w:val="bg-BG"/>
        </w:rPr>
      </w:pPr>
      <w:r>
        <w:rPr>
          <w:rFonts w:ascii="Times New Roman" w:hAnsi="Times New Roman"/>
          <w:b/>
          <w:i/>
          <w:noProof/>
          <w:lang w:val="bg-BG"/>
        </w:rPr>
        <w:t>г) Защита на гражданите и на критичните инфраструктури</w:t>
      </w:r>
    </w:p>
    <w:p w:rsidR="00D076A1" w:rsidRDefault="00FD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20" w:hanging="720"/>
        <w:jc w:val="both"/>
        <w:rPr>
          <w:rFonts w:ascii="Times New Roman" w:eastAsia="Calibri" w:hAnsi="Times New Roman" w:cs="Times New Roman"/>
          <w:bCs/>
          <w:noProof/>
          <w:lang w:val="bg-BG"/>
        </w:rPr>
      </w:pPr>
      <w:r>
        <w:rPr>
          <w:rFonts w:ascii="Times New Roman" w:hAnsi="Times New Roman"/>
          <w:noProof/>
          <w:lang w:val="bg-BG"/>
        </w:rPr>
        <w:t>-</w:t>
      </w:r>
      <w:r>
        <w:rPr>
          <w:noProof/>
          <w:lang w:val="bg-BG"/>
        </w:rPr>
        <w:tab/>
      </w:r>
      <w:r>
        <w:rPr>
          <w:rFonts w:ascii="Times New Roman" w:hAnsi="Times New Roman"/>
          <w:noProof/>
          <w:lang w:val="bg-BG"/>
        </w:rPr>
        <w:t>Комисията ще ускори работата си по определянето на общ подход относно с</w:t>
      </w:r>
      <w:r>
        <w:rPr>
          <w:rFonts w:ascii="Times New Roman" w:hAnsi="Times New Roman"/>
          <w:noProof/>
          <w:lang w:val="bg-BG"/>
        </w:rPr>
        <w:t>игурността на морския и сухопътния транспорт, който да се основава на оценка на риска и да бъде пропорционален и устойчив.</w:t>
      </w:r>
    </w:p>
    <w:p w:rsidR="00D076A1" w:rsidRDefault="00D076A1">
      <w:pPr>
        <w:spacing w:after="120" w:line="240" w:lineRule="auto"/>
        <w:jc w:val="both"/>
        <w:rPr>
          <w:rFonts w:ascii="Times New Roman" w:eastAsia="Calibri" w:hAnsi="Times New Roman" w:cs="Times New Roman"/>
          <w:bCs/>
          <w:noProof/>
          <w:lang w:val="bg-BG"/>
        </w:rPr>
      </w:pPr>
    </w:p>
    <w:sectPr w:rsidR="00D076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A1" w:rsidRDefault="00FD0F5A">
      <w:pPr>
        <w:spacing w:after="0" w:line="240" w:lineRule="auto"/>
      </w:pPr>
      <w:r>
        <w:separator/>
      </w:r>
    </w:p>
  </w:endnote>
  <w:endnote w:type="continuationSeparator" w:id="0">
    <w:p w:rsidR="00D076A1" w:rsidRDefault="00FD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FooterCoverPage"/>
      <w:rPr>
        <w:rFonts w:ascii="Arial" w:hAnsi="Arial" w:cs="Arial"/>
        <w:b/>
        <w:sz w:val="48"/>
      </w:rPr>
    </w:pPr>
    <w:r w:rsidRPr="00FD0F5A">
      <w:rPr>
        <w:rFonts w:ascii="Arial" w:hAnsi="Arial" w:cs="Arial"/>
        <w:b/>
        <w:sz w:val="48"/>
      </w:rPr>
      <w:t>BG</w:t>
    </w:r>
    <w:r w:rsidRPr="00FD0F5A">
      <w:rPr>
        <w:rFonts w:ascii="Arial" w:hAnsi="Arial" w:cs="Arial"/>
        <w:b/>
        <w:sz w:val="48"/>
      </w:rPr>
      <w:tab/>
    </w:r>
    <w:r w:rsidRPr="00FD0F5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FD0F5A">
      <w:tab/>
    </w:r>
    <w:r w:rsidRPr="00FD0F5A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1" w:rsidRDefault="00D076A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941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6A1" w:rsidRDefault="00FD0F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6A1" w:rsidRDefault="00D076A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1" w:rsidRDefault="00D07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A1" w:rsidRDefault="00FD0F5A">
      <w:pPr>
        <w:spacing w:after="0" w:line="240" w:lineRule="auto"/>
      </w:pPr>
      <w:r>
        <w:separator/>
      </w:r>
    </w:p>
  </w:footnote>
  <w:footnote w:type="continuationSeparator" w:id="0">
    <w:p w:rsidR="00D076A1" w:rsidRDefault="00FD0F5A">
      <w:pPr>
        <w:spacing w:after="0" w:line="240" w:lineRule="auto"/>
      </w:pPr>
      <w:r>
        <w:continuationSeparator/>
      </w:r>
    </w:p>
  </w:footnote>
  <w:footnote w:id="1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Съобщение COM(2016) 670 final от 12 октомври 2016 г. — Първи доклад за напредъка по създаването на ефективен и истински Съюз на сигурност.</w:t>
      </w:r>
    </w:p>
  </w:footnote>
  <w:footnote w:id="2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Съобщение COM(2016) 602 final от 14 септември 2016 г. — Повишаване на сигурността в свят на мобилност: подобряване</w:t>
      </w:r>
      <w:r>
        <w:rPr>
          <w:rFonts w:cs="Times New Roman"/>
        </w:rPr>
        <w:t xml:space="preserve"> на информационния обмен в борбата срещу тероризма и по-сигурни външни граници.</w:t>
      </w:r>
    </w:p>
  </w:footnote>
  <w:footnote w:id="3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По-специално във връзка с предложенията на Комисията за Директива относно борбата с тероризма (COM(2015) 625 final) и Директива за изменение на Директива 91/477/ЕИО на Съвета</w:t>
      </w:r>
      <w:r>
        <w:rPr>
          <w:rFonts w:cs="Times New Roman"/>
        </w:rPr>
        <w:t xml:space="preserve"> относно контрола на придобиването и притежаването на оръжие (COM(2015) 750 final).</w:t>
      </w:r>
    </w:p>
  </w:footnote>
  <w:footnote w:id="4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COM(2016) 679 final.</w:t>
      </w:r>
    </w:p>
  </w:footnote>
  <w:footnote w:id="5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Парижка декларация от 17 март 2015 г. относно популяризирането чрез образование на гражданските и общите ценности — свобода, толерантност и недискр</w:t>
      </w:r>
      <w:r>
        <w:rPr>
          <w:rFonts w:cs="Times New Roman"/>
        </w:rPr>
        <w:t>иминация.</w:t>
      </w:r>
    </w:p>
  </w:footnote>
  <w:footnote w:id="6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COM(2016) 679 final.</w:t>
      </w:r>
    </w:p>
  </w:footnote>
  <w:footnote w:id="7">
    <w:p w:rsidR="00D076A1" w:rsidRDefault="00FD0F5A">
      <w:pPr>
        <w:pStyle w:val="FootnoteText"/>
        <w:rPr>
          <w:rFonts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Директива 2014/41/ЕС относно Европейска заповед за разследване по наказателноправни въпроси.</w:t>
      </w:r>
    </w:p>
  </w:footnote>
  <w:footnote w:id="8">
    <w:p w:rsidR="00D076A1" w:rsidRDefault="00FD0F5A">
      <w:pPr>
        <w:pStyle w:val="FootnoteText"/>
      </w:pPr>
      <w:r>
        <w:rPr>
          <w:rStyle w:val="FootnoteReference"/>
          <w:rFonts w:cs="Times New Roman"/>
        </w:rPr>
        <w:footnoteRef/>
      </w:r>
      <w:r>
        <w:rPr>
          <w:rFonts w:cs="Times New Roman"/>
        </w:rPr>
        <w:t xml:space="preserve"> EUCO 31/16 от 21 октомври 2016 г.</w:t>
      </w:r>
    </w:p>
  </w:footnote>
  <w:footnote w:id="9">
    <w:p w:rsidR="00D076A1" w:rsidRDefault="00FD0F5A">
      <w:pPr>
        <w:pStyle w:val="FootnoteText"/>
      </w:pPr>
      <w:r>
        <w:rPr>
          <w:rStyle w:val="FootnoteReference"/>
        </w:rPr>
        <w:footnoteRef/>
      </w:r>
      <w:r>
        <w:t xml:space="preserve"> COM(2016) 205 final от 6 април 2016 г.</w:t>
      </w:r>
    </w:p>
  </w:footnote>
  <w:footnote w:id="10">
    <w:p w:rsidR="00D076A1" w:rsidRDefault="00FD0F5A">
      <w:pPr>
        <w:pStyle w:val="FootnoteText"/>
      </w:pPr>
      <w:r>
        <w:rPr>
          <w:rStyle w:val="FootnoteReference"/>
        </w:rPr>
        <w:footnoteRef/>
      </w:r>
      <w:r>
        <w:t xml:space="preserve"> EUCO 31/16 от 21 октомври 2016 г.</w:t>
      </w:r>
    </w:p>
  </w:footnote>
  <w:footnote w:id="11">
    <w:p w:rsidR="00D076A1" w:rsidRDefault="00FD0F5A">
      <w:pPr>
        <w:pStyle w:val="FootnoteText"/>
      </w:pPr>
      <w:r>
        <w:rPr>
          <w:rStyle w:val="FootnoteReference"/>
        </w:rPr>
        <w:footnoteRef/>
      </w:r>
      <w:r>
        <w:t xml:space="preserve"> EUCO 31/16 от</w:t>
      </w:r>
      <w:r>
        <w:t xml:space="preserve"> 21 октомври 2016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5A" w:rsidRPr="00FD0F5A" w:rsidRDefault="00FD0F5A" w:rsidP="00FD0F5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1" w:rsidRDefault="00D076A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1" w:rsidRDefault="00D076A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A1" w:rsidRDefault="00D07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1B1"/>
    <w:multiLevelType w:val="hybridMultilevel"/>
    <w:tmpl w:val="69D0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74902"/>
    <w:multiLevelType w:val="hybridMultilevel"/>
    <w:tmpl w:val="0AA6E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82B52A2A315D44CE8A0C975A454CA09D"/>
    <w:docVar w:name="LW_CROSSREFERENCE" w:val="&lt;UNUSED&gt;"/>
    <w:docVar w:name="LW_DocType" w:val="NORMAL"/>
    <w:docVar w:name="LW_EMISSION" w:val="16.11.2016"/>
    <w:docVar w:name="LW_EMISSION_ISODATE" w:val="2016-11-16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732"/>
    <w:docVar w:name="LW_REF.INTERNE" w:val="&lt;UNUSED&gt;"/>
    <w:docVar w:name="LW_SOUS.TITRE.OBJ.CP" w:val="&lt;UNUSED&gt;"/>
    <w:docVar w:name="LW_SUPERTITRE" w:val="&lt;UNUSED&gt;"/>
    <w:docVar w:name="LW_TITRE.OBJ.CP" w:val="\u1042?\u1090?\u1086?\u1088?\u1080? \u1076?\u1086?\u1082?\u1083?\u1072?\u1076? \u1079?\u1072? \u1085?\u1072?\u1087?\u1088?\u1077?\u1076?\u1098?\u1082?\u1072? \u1087?\u1086? \u1089?\u1098?\u1079?\u1076?\u1072?\u1074?\u1072?\u1085?\u1077?\u1090?\u1086? \u1085?\u1072? \u1077?\u1092?\u1077?\u1082?\u1090?\u1080?\u1074?\u1077?\u1085? \u1080? \u1080?\u1089?\u1090?\u1080?\u1085?\u1089?\u1082?\u1080? \u1057?\u1098?\u1102?\u1079? \u1085?\u1072? \u1089?\u1080?\u1075?\u1091?\u1088?\u1085?\u1086?\u1089?\u1090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D076A1"/>
    <w:rsid w:val="00D076A1"/>
    <w:rsid w:val="00F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BVI fnr,Footnote symbol, BVI fnr,Footnote Reference text,Footnote Reference Superscript,Nota,Footnote,Appel note de bas de p,SUPERS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aliases w:val="BVI fnr,Footnote symbol, BVI fnr,Footnote Reference text,Footnote Reference Superscript,Nota,Footnote,Appel note de bas de p,SUPERS"/>
    <w:uiPriority w:val="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2773-E325-4110-9F2E-22E2CCB5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3825</Words>
  <Characters>22546</Characters>
  <Application>Microsoft Office Word</Application>
  <DocSecurity>0</DocSecurity>
  <Lines>380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27</cp:revision>
  <cp:lastPrinted>2016-11-11T19:33:00Z</cp:lastPrinted>
  <dcterms:created xsi:type="dcterms:W3CDTF">2016-11-11T19:28:00Z</dcterms:created>
  <dcterms:modified xsi:type="dcterms:W3CDTF">2016-11-28T09:43:00Z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