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B8D28752739457EA6BBB85F8F31D008" style="width:450.75pt;height:435.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spacing w:after="0"/>
        <w:rPr>
          <w:noProof/>
          <w:sz w:val="2"/>
        </w:rPr>
      </w:pPr>
      <w:bookmarkStart w:id="1" w:name="_GoBack"/>
      <w:bookmarkEnd w:id="1"/>
    </w:p>
    <w:tbl>
      <w:tblPr>
        <w:tblW w:w="1018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after="0"/>
              <w:jc w:val="center"/>
              <w:rPr>
                <w:rFonts w:ascii="Tahoma" w:hAnsi="Tahoma" w:cs="Tahoma"/>
                <w:b/>
                <w:noProof/>
              </w:rPr>
            </w:pPr>
            <w:r>
              <w:rPr>
                <w:noProof/>
              </w:rPr>
              <w:br w:type="page"/>
            </w:r>
            <w:r>
              <w:rPr>
                <w:noProof/>
              </w:rPr>
              <w:br w:type="page"/>
            </w:r>
            <w:r>
              <w:rPr>
                <w:noProof/>
              </w:rPr>
              <w:br w:type="page"/>
            </w:r>
            <w:r>
              <w:rPr>
                <w:noProof/>
              </w:rPr>
              <w:br w:type="page"/>
            </w:r>
            <w:r>
              <w:rPr>
                <w:noProof/>
                <w:lang w:eastAsia="en-GB"/>
              </w:rPr>
              <w:br w:type="page"/>
            </w:r>
            <w:r>
              <w:rPr>
                <w:noProof/>
              </w:rPr>
              <w:br w:type="page"/>
            </w:r>
            <w:r>
              <w:rPr>
                <w:noProof/>
              </w:rPr>
              <w:br w:type="page"/>
            </w:r>
            <w:r>
              <w:rPr>
                <w:noProof/>
                <w:lang w:val="fi-FI"/>
              </w:rPr>
              <w:br w:type="page"/>
            </w:r>
            <w:r>
              <w:rPr>
                <w:noProof/>
              </w:rPr>
              <w:br w:type="page"/>
            </w:r>
            <w:r>
              <w:rPr>
                <w:rFonts w:ascii="Tahoma" w:hAnsi="Tahoma" w:cs="Tahoma"/>
                <w:b/>
                <w:noProof/>
              </w:rPr>
              <w:t>Executive Summary Sheet</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cPr>
          <w:p>
            <w:pPr>
              <w:spacing w:after="0"/>
              <w:rPr>
                <w:rFonts w:ascii="Tahoma" w:hAnsi="Tahoma" w:cs="Tahoma"/>
                <w:noProof/>
                <w:sz w:val="20"/>
              </w:rPr>
            </w:pPr>
            <w:r>
              <w:rPr>
                <w:rFonts w:ascii="Tahoma" w:hAnsi="Tahoma" w:cs="Tahoma"/>
                <w:noProof/>
                <w:color w:val="FFFFFF"/>
                <w:sz w:val="20"/>
              </w:rPr>
              <w:t xml:space="preserve">Impact assessment on a proposal for a framework to ensure the orderly recovery and resolution of central counterparties (CCPs)   </w:t>
            </w:r>
          </w:p>
        </w:tc>
      </w:tr>
      <w:tr>
        <w:tc>
          <w:tcPr>
            <w:tcW w:w="10188" w:type="dxa"/>
            <w:tcBorders>
              <w:bottom w:val="single" w:sz="4" w:space="0" w:color="auto"/>
            </w:tcBorders>
            <w:shd w:val="clear" w:color="auto" w:fill="CCCCCC"/>
          </w:tcPr>
          <w:p>
            <w:pPr>
              <w:spacing w:after="0"/>
              <w:jc w:val="center"/>
              <w:rPr>
                <w:rFonts w:ascii="Tahoma" w:hAnsi="Tahoma" w:cs="Tahoma"/>
                <w:b/>
                <w:noProof/>
              </w:rPr>
            </w:pPr>
            <w:r>
              <w:rPr>
                <w:rFonts w:ascii="Tahoma" w:hAnsi="Tahoma" w:cs="Tahoma"/>
                <w:b/>
                <w:noProof/>
              </w:rPr>
              <w:t>A. Need for action</w:t>
            </w:r>
          </w:p>
        </w:tc>
      </w:tr>
      <w:tr>
        <w:tc>
          <w:tcPr>
            <w:tcW w:w="10188" w:type="dxa"/>
            <w:tcBorders>
              <w:bottom w:val="single" w:sz="4" w:space="0" w:color="auto"/>
            </w:tcBorders>
            <w:shd w:val="clear" w:color="auto" w:fill="E0E0E0"/>
          </w:tcPr>
          <w:p>
            <w:pPr>
              <w:spacing w:after="0"/>
              <w:rPr>
                <w:rFonts w:ascii="Tahoma" w:hAnsi="Tahoma" w:cs="Tahoma"/>
                <w:noProof/>
                <w:sz w:val="20"/>
              </w:rPr>
            </w:pPr>
            <w:r>
              <w:rPr>
                <w:rFonts w:ascii="Tahoma" w:hAnsi="Tahoma" w:cs="Tahoma"/>
                <w:b/>
                <w:noProof/>
                <w:sz w:val="20"/>
              </w:rPr>
              <w:t xml:space="preserve">Why? What is the problem being addressed? </w:t>
            </w:r>
          </w:p>
        </w:tc>
      </w:tr>
      <w:tr>
        <w:tc>
          <w:tcPr>
            <w:tcW w:w="10188" w:type="dxa"/>
            <w:tcBorders>
              <w:bottom w:val="single" w:sz="4" w:space="0" w:color="auto"/>
            </w:tcBorders>
            <w:shd w:val="clear" w:color="auto" w:fill="auto"/>
          </w:tcPr>
          <w:p>
            <w:pPr>
              <w:spacing w:after="120"/>
              <w:rPr>
                <w:rFonts w:ascii="Arial" w:hAnsi="Arial" w:cs="Arial"/>
                <w:noProof/>
                <w:sz w:val="20"/>
              </w:rPr>
            </w:pPr>
            <w:r>
              <w:rPr>
                <w:rFonts w:ascii="Arial" w:hAnsi="Arial" w:cs="Arial"/>
                <w:noProof/>
                <w:sz w:val="20"/>
              </w:rPr>
              <w:t>The failure of a financial institution has the potential to create contagion to other institutions in particular where normal insolvency proceedings pose such a threat to the stability of the financial system as a whole. In these cases, the State may be compelled to rescue the institution using taxpayers’ money, as State inaction could result in a systemic crisis and imply huge losses for the economy. State intervention has recently been required, at a cost to the taxpayer, to rescue many banks so as to dampen such a systemic crisis. In response, EU prudential regulation for banks was strengthened considerably and, importantly, a new framework – the Bank Recovery and Resolution Directive (BRRD) – empowering relevant authorities to ensure the orderly failure of a bank was established. It requires banks to prepare more effectively for managing financial distress, provides the competent authorities with powers for early intervention in a bank that is failing or likely to fail, establishes a common set of resolution tools for managing failure and allocates any financial losses among stakeholders in the bank. The BRRD, thus, facilitates the restructuring of a bank by public authorities that is failing or likely to fail, while minimising any cost for taxpayers.</w:t>
            </w:r>
          </w:p>
          <w:p>
            <w:pPr>
              <w:spacing w:after="0"/>
              <w:rPr>
                <w:rFonts w:ascii="Arial" w:hAnsi="Arial" w:cs="Arial"/>
                <w:noProof/>
                <w:sz w:val="20"/>
              </w:rPr>
            </w:pPr>
            <w:r>
              <w:rPr>
                <w:rFonts w:ascii="Arial" w:hAnsi="Arial" w:cs="Arial"/>
                <w:noProof/>
                <w:sz w:val="20"/>
              </w:rPr>
              <w:t>A central counterparty (CCP) intervenes between counterparties to financial transactions to assume and carry out their rights and obligations, acting as the buyer to every seller and the seller to every buyer for a specified set of contracts. While CCPs are less vulnerable to failure compared to banks, they are not immune. There is an international consensus that systemic financial risks in all financial institutions, and not just banks, should be carefully monitored and addressed.</w:t>
            </w:r>
            <w:r>
              <w:rPr>
                <w:rFonts w:ascii="Arial" w:hAnsi="Arial" w:cs="Arial"/>
                <w:noProof/>
                <w:sz w:val="20"/>
                <w:vertAlign w:val="superscript"/>
              </w:rPr>
              <w:footnoteReference w:id="2"/>
            </w:r>
            <w:r>
              <w:rPr>
                <w:rFonts w:ascii="Arial" w:hAnsi="Arial" w:cs="Arial"/>
                <w:noProof/>
                <w:sz w:val="20"/>
              </w:rPr>
              <w:t xml:space="preserve"> The recent crisis has shown that any public intervention to address risks in financial institutions should be swift and with minimum recourse to taxpayer funds. It is widely acknowledged that an EU-wide recovery and resolution framework is most urgently required for CCPs. The Financial Stability Board (FSB), a top-level international grouping of regulators working under the aegis of the G20 to reform the financial regulatory landscape in the wake of the crisis and to address emerging risks, has also prioritised this work. The business model of CCPs implies a significant concentration of financial risk, primarily from banks as their largest users, but also by other financial actors. It  is inherently cross-border within an integrated EU and global market. Moreover, the systemic significance of CCPs is certain to increase further due to the G20-commitment to clear over-the-counter (OTC) derivatives via CCPs, transferring risks inherent in these instruments away from banks and concentrating them on CCPs and ensuring their centralised risk management. While being a low-probability event, the failure of a CCP could, via its central position in the markets and notably its direct links to banks, cause widespread contagion within the financial system if not managed in an orderly manner. Accordingly, a legislative framework is required that empowers relevant authorities to address this financial-stability risk by rapidly restructuring and winding-up the operations of a CCP in an orderly way in case of threatened systemic failure. In addition, legislative measures should provide incentives for sound risk management of CCPs and protect the clients of the large banks which use the CCPs clearing services, and taxpayers from large losses in the event of resolution. </w:t>
            </w:r>
          </w:p>
          <w:p>
            <w:pPr>
              <w:spacing w:after="0"/>
              <w:rPr>
                <w:rFonts w:ascii="Arial" w:hAnsi="Arial" w:cs="Arial"/>
                <w:noProof/>
                <w:sz w:val="20"/>
              </w:rPr>
            </w:pPr>
          </w:p>
        </w:tc>
      </w:tr>
      <w:tr>
        <w:tc>
          <w:tcPr>
            <w:tcW w:w="10188" w:type="dxa"/>
            <w:tcBorders>
              <w:bottom w:val="single" w:sz="4" w:space="0" w:color="auto"/>
            </w:tcBorders>
            <w:shd w:val="clear" w:color="auto" w:fill="E6E6E6"/>
          </w:tcPr>
          <w:p>
            <w:pPr>
              <w:spacing w:after="0"/>
              <w:rPr>
                <w:rFonts w:ascii="Tahoma" w:hAnsi="Tahoma" w:cs="Tahoma"/>
                <w:noProof/>
                <w:sz w:val="20"/>
              </w:rPr>
            </w:pPr>
            <w:r>
              <w:rPr>
                <w:rFonts w:ascii="Tahoma" w:hAnsi="Tahoma" w:cs="Tahoma"/>
                <w:b/>
                <w:noProof/>
                <w:sz w:val="20"/>
              </w:rPr>
              <w:t xml:space="preserve">What is this initiative expected to achieve? </w:t>
            </w:r>
          </w:p>
        </w:tc>
      </w:tr>
      <w:tr>
        <w:tc>
          <w:tcPr>
            <w:tcW w:w="10188" w:type="dxa"/>
            <w:tcBorders>
              <w:bottom w:val="single" w:sz="4" w:space="0" w:color="auto"/>
            </w:tcBorders>
            <w:shd w:val="clear" w:color="auto" w:fill="auto"/>
          </w:tcPr>
          <w:p>
            <w:pPr>
              <w:spacing w:after="0"/>
              <w:rPr>
                <w:rFonts w:ascii="Arial" w:hAnsi="Arial" w:cs="Arial"/>
                <w:noProof/>
                <w:sz w:val="20"/>
              </w:rPr>
            </w:pPr>
            <w:r>
              <w:rPr>
                <w:rFonts w:ascii="Arial" w:hAnsi="Arial" w:cs="Arial"/>
                <w:noProof/>
                <w:sz w:val="20"/>
              </w:rPr>
              <w:t>The new legislation would ensure that CCPs are better prepared to recover from financial distress and provide  appropriate authorities with new powers to rapidly recover or resolve CCPs, which are failing or likely to fail, so as to preserve their critical functions while winding up other operations. While EU Regulation governing the functioning of CCPs</w:t>
            </w:r>
            <w:r>
              <w:rPr>
                <w:rFonts w:ascii="Arial" w:hAnsi="Arial" w:cs="Arial"/>
                <w:noProof/>
                <w:sz w:val="20"/>
                <w:vertAlign w:val="superscript"/>
              </w:rPr>
              <w:footnoteReference w:id="3"/>
            </w:r>
            <w:r>
              <w:rPr>
                <w:rFonts w:ascii="Arial" w:hAnsi="Arial" w:cs="Arial"/>
                <w:noProof/>
                <w:sz w:val="20"/>
              </w:rPr>
              <w:t xml:space="preserve"> already brings major improvements to the prudential management, this initiative would contribute to further enhancing financial stability by designing and harmonising crisis-prevention and resolution tools across the EU. The specificity of CCPs and the existing regulatory framework will be duly taken into account when designing such tools so as to avoid duplication and ensure proportionality.</w:t>
            </w:r>
          </w:p>
          <w:p>
            <w:pPr>
              <w:spacing w:after="0"/>
              <w:rPr>
                <w:rFonts w:ascii="Arial" w:hAnsi="Arial" w:cs="Arial"/>
                <w:noProof/>
                <w:sz w:val="20"/>
              </w:rPr>
            </w:pPr>
          </w:p>
        </w:tc>
      </w:tr>
      <w:tr>
        <w:tc>
          <w:tcPr>
            <w:tcW w:w="10188" w:type="dxa"/>
            <w:tcBorders>
              <w:bottom w:val="single" w:sz="4" w:space="0" w:color="auto"/>
            </w:tcBorders>
            <w:shd w:val="clear" w:color="auto" w:fill="E6E6E6"/>
          </w:tcPr>
          <w:p>
            <w:pPr>
              <w:spacing w:after="0"/>
              <w:rPr>
                <w:rFonts w:ascii="Tahoma" w:hAnsi="Tahoma" w:cs="Tahoma"/>
                <w:noProof/>
                <w:sz w:val="20"/>
              </w:rPr>
            </w:pPr>
            <w:r>
              <w:rPr>
                <w:rFonts w:ascii="Tahoma" w:hAnsi="Tahoma" w:cs="Tahoma"/>
                <w:b/>
                <w:noProof/>
                <w:sz w:val="20"/>
              </w:rPr>
              <w:t>What is the value added of action at the EU level?</w:t>
            </w:r>
            <w:r>
              <w:rPr>
                <w:rFonts w:ascii="Tahoma" w:hAnsi="Tahoma" w:cs="Tahoma"/>
                <w:noProof/>
                <w:sz w:val="20"/>
              </w:rPr>
              <w:t xml:space="preserve"> </w:t>
            </w:r>
          </w:p>
        </w:tc>
      </w:tr>
      <w:tr>
        <w:tc>
          <w:tcPr>
            <w:tcW w:w="10188" w:type="dxa"/>
            <w:tcBorders>
              <w:bottom w:val="single" w:sz="4" w:space="0" w:color="auto"/>
            </w:tcBorders>
            <w:shd w:val="clear" w:color="auto" w:fill="auto"/>
          </w:tcPr>
          <w:p>
            <w:pPr>
              <w:spacing w:after="0"/>
              <w:rPr>
                <w:rFonts w:ascii="Arial" w:hAnsi="Arial" w:cs="Arial"/>
                <w:noProof/>
                <w:sz w:val="20"/>
              </w:rPr>
            </w:pPr>
            <w:r>
              <w:rPr>
                <w:rFonts w:ascii="Arial" w:hAnsi="Arial" w:cs="Arial"/>
                <w:noProof/>
                <w:sz w:val="20"/>
              </w:rPr>
              <w:t xml:space="preserve">EU financial markets are highly integrated. Authorised CCPs provide their services across borders and, accordingly, the failure of a CCP would imply spillover effects between Member States. The fragmentation of the EU Single Market during the recent crisis clearly demonstrates the danger of relying exclusively on divergent national regimes to manage the failure of financial institutions with cross-border reach. Therefore, a European framework for recovery and resolution of CCPs would ensure more effective crisis management and less market fragmentation. It would foster a coordinated execution of actions across Member States, a level playing-field for the institutions concerned and an equal treatment of their owners, creditors and customers. In this way, the existing EU and national prudential rules would also be enhanced by the EU recovery and resolution framework. </w:t>
            </w:r>
          </w:p>
          <w:p>
            <w:pPr>
              <w:spacing w:after="0"/>
              <w:rPr>
                <w:rFonts w:ascii="Arial" w:hAnsi="Arial" w:cs="Arial"/>
                <w:noProof/>
                <w:sz w:val="20"/>
              </w:rPr>
            </w:pPr>
          </w:p>
        </w:tc>
      </w:tr>
      <w:tr>
        <w:tc>
          <w:tcPr>
            <w:tcW w:w="10188" w:type="dxa"/>
            <w:tcBorders>
              <w:bottom w:val="single" w:sz="4" w:space="0" w:color="auto"/>
            </w:tcBorders>
            <w:shd w:val="clear" w:color="auto" w:fill="CCCCCC"/>
          </w:tcPr>
          <w:p>
            <w:pPr>
              <w:spacing w:after="0"/>
              <w:jc w:val="center"/>
              <w:rPr>
                <w:rFonts w:ascii="Tahoma" w:hAnsi="Tahoma" w:cs="Tahoma"/>
                <w:b/>
                <w:noProof/>
              </w:rPr>
            </w:pPr>
            <w:r>
              <w:rPr>
                <w:rFonts w:ascii="Tahoma" w:hAnsi="Tahoma" w:cs="Tahoma"/>
                <w:b/>
                <w:noProof/>
              </w:rPr>
              <w:t>B. Solutions</w:t>
            </w:r>
          </w:p>
        </w:tc>
      </w:tr>
      <w:tr>
        <w:tc>
          <w:tcPr>
            <w:tcW w:w="10188" w:type="dxa"/>
            <w:tcBorders>
              <w:bottom w:val="single" w:sz="4" w:space="0" w:color="auto"/>
            </w:tcBorders>
            <w:shd w:val="clear" w:color="auto" w:fill="E6E6E6"/>
          </w:tcPr>
          <w:p>
            <w:pPr>
              <w:spacing w:after="0"/>
              <w:rPr>
                <w:rFonts w:ascii="Tahoma" w:hAnsi="Tahoma" w:cs="Tahoma"/>
                <w:noProof/>
                <w:sz w:val="20"/>
              </w:rPr>
            </w:pPr>
            <w:r>
              <w:rPr>
                <w:rFonts w:ascii="Tahoma" w:hAnsi="Tahoma" w:cs="Tahoma"/>
                <w:b/>
                <w:noProof/>
                <w:sz w:val="20"/>
              </w:rPr>
              <w:t>What legislative and non-legislative policy options have been considered?</w:t>
            </w:r>
            <w:r>
              <w:rPr>
                <w:rFonts w:ascii="Tahoma" w:hAnsi="Tahoma" w:cs="Tahoma"/>
                <w:noProof/>
                <w:sz w:val="20"/>
              </w:rPr>
              <w:t xml:space="preserve"> </w:t>
            </w:r>
            <w:r>
              <w:rPr>
                <w:rFonts w:ascii="Tahoma" w:hAnsi="Tahoma" w:cs="Tahoma"/>
                <w:b/>
                <w:noProof/>
                <w:sz w:val="20"/>
              </w:rPr>
              <w:t xml:space="preserve">Is there a preferred choice or not? Why? </w:t>
            </w:r>
          </w:p>
        </w:tc>
      </w:tr>
      <w:tr>
        <w:tc>
          <w:tcPr>
            <w:tcW w:w="10188" w:type="dxa"/>
            <w:tcBorders>
              <w:bottom w:val="single" w:sz="4" w:space="0" w:color="auto"/>
            </w:tcBorders>
            <w:shd w:val="clear" w:color="auto" w:fill="auto"/>
          </w:tcPr>
          <w:p>
            <w:pPr>
              <w:spacing w:after="0"/>
              <w:rPr>
                <w:rFonts w:ascii="Arial" w:hAnsi="Arial" w:cs="Arial"/>
                <w:noProof/>
                <w:sz w:val="20"/>
              </w:rPr>
            </w:pPr>
            <w:r>
              <w:rPr>
                <w:rFonts w:ascii="Arial" w:hAnsi="Arial" w:cs="Arial"/>
                <w:noProof/>
                <w:sz w:val="20"/>
              </w:rPr>
              <w:t xml:space="preserve">A recovery and resolution framework for CCPs is likely to involve a public authority taking extraordinary measures in the public interest, possibly overriding normal property rights and allocating losses to specific stakeholders. Accordingly, legislative policy options are preferred to possible “soft-law” measures.  </w:t>
            </w:r>
          </w:p>
          <w:p>
            <w:pPr>
              <w:spacing w:after="0"/>
              <w:rPr>
                <w:rFonts w:ascii="Arial" w:hAnsi="Arial" w:cs="Arial"/>
                <w:noProof/>
                <w:sz w:val="20"/>
              </w:rPr>
            </w:pPr>
          </w:p>
        </w:tc>
      </w:tr>
      <w:tr>
        <w:tc>
          <w:tcPr>
            <w:tcW w:w="10188" w:type="dxa"/>
            <w:shd w:val="clear" w:color="auto" w:fill="CCCCCC"/>
          </w:tcPr>
          <w:p>
            <w:pPr>
              <w:spacing w:after="0"/>
              <w:rPr>
                <w:rFonts w:ascii="Tahoma" w:hAnsi="Tahoma" w:cs="Tahoma"/>
                <w:noProof/>
                <w:sz w:val="20"/>
              </w:rPr>
            </w:pPr>
            <w:r>
              <w:rPr>
                <w:rFonts w:ascii="Tahoma" w:hAnsi="Tahoma" w:cs="Tahoma"/>
                <w:b/>
                <w:noProof/>
                <w:sz w:val="20"/>
              </w:rPr>
              <w:t xml:space="preserve">Who supports which option? </w:t>
            </w:r>
          </w:p>
        </w:tc>
      </w:tr>
      <w:tr>
        <w:tc>
          <w:tcPr>
            <w:tcW w:w="10188" w:type="dxa"/>
            <w:shd w:val="clear" w:color="auto" w:fill="auto"/>
          </w:tcPr>
          <w:p>
            <w:pPr>
              <w:spacing w:after="0"/>
              <w:rPr>
                <w:rFonts w:ascii="Arial" w:hAnsi="Arial" w:cs="Arial"/>
                <w:noProof/>
                <w:sz w:val="20"/>
              </w:rPr>
            </w:pPr>
            <w:r>
              <w:rPr>
                <w:rFonts w:ascii="Arial" w:hAnsi="Arial" w:cs="Arial"/>
                <w:noProof/>
                <w:sz w:val="20"/>
              </w:rPr>
              <w:t xml:space="preserve">Based on stakeholder feedback obtained through a Commission public consultation and international discussions under the aegis of the FSB, there is widespread consensus within the  industry and amongst authorities that all CCPs should be subject to a framework that enables their orderly recovery and potential resolution in the event of serious financial distress. However, stakeholders have diverging preferences among the different loss-allocation options (6.6), depending on how they would be affected. </w:t>
            </w:r>
          </w:p>
        </w:tc>
      </w:tr>
      <w:tr>
        <w:tc>
          <w:tcPr>
            <w:tcW w:w="10188" w:type="dxa"/>
            <w:tcBorders>
              <w:bottom w:val="single" w:sz="4" w:space="0" w:color="auto"/>
            </w:tcBorders>
            <w:shd w:val="clear" w:color="auto" w:fill="CCCCCC"/>
          </w:tcPr>
          <w:p>
            <w:pPr>
              <w:spacing w:after="0"/>
              <w:jc w:val="center"/>
              <w:rPr>
                <w:rFonts w:ascii="Tahoma" w:hAnsi="Tahoma" w:cs="Tahoma"/>
                <w:b/>
                <w:noProof/>
              </w:rPr>
            </w:pPr>
            <w:r>
              <w:rPr>
                <w:rFonts w:ascii="Tahoma" w:hAnsi="Tahoma" w:cs="Tahoma"/>
                <w:b/>
                <w:noProof/>
              </w:rPr>
              <w:t>C. Impacts of the preferred option</w:t>
            </w:r>
          </w:p>
        </w:tc>
      </w:tr>
      <w:tr>
        <w:tc>
          <w:tcPr>
            <w:tcW w:w="10188" w:type="dxa"/>
            <w:tcBorders>
              <w:bottom w:val="single" w:sz="4" w:space="0" w:color="auto"/>
            </w:tcBorders>
            <w:shd w:val="clear" w:color="auto" w:fill="E6E6E6"/>
          </w:tcPr>
          <w:p>
            <w:pPr>
              <w:spacing w:after="0"/>
              <w:rPr>
                <w:rFonts w:ascii="Tahoma" w:hAnsi="Tahoma" w:cs="Tahoma"/>
                <w:noProof/>
                <w:sz w:val="20"/>
              </w:rPr>
            </w:pPr>
            <w:r>
              <w:rPr>
                <w:rFonts w:ascii="Tahoma" w:hAnsi="Tahoma" w:cs="Tahoma"/>
                <w:b/>
                <w:noProof/>
                <w:sz w:val="20"/>
              </w:rPr>
              <w:t>What are the benefits</w:t>
            </w:r>
            <w:r>
              <w:rPr>
                <w:rFonts w:ascii="Tahoma" w:hAnsi="Tahoma" w:cs="Tahoma"/>
                <w:noProof/>
                <w:sz w:val="20"/>
              </w:rPr>
              <w:t xml:space="preserve"> </w:t>
            </w:r>
            <w:r>
              <w:rPr>
                <w:rFonts w:ascii="Tahoma" w:hAnsi="Tahoma" w:cs="Tahoma"/>
                <w:b/>
                <w:noProof/>
                <w:sz w:val="20"/>
              </w:rPr>
              <w:t>of the preferred option (if any, otherwise main ones)?</w:t>
            </w:r>
            <w:r>
              <w:rPr>
                <w:rFonts w:ascii="Tahoma" w:hAnsi="Tahoma" w:cs="Tahoma"/>
                <w:noProof/>
                <w:sz w:val="20"/>
              </w:rPr>
              <w:t xml:space="preserve">                                      </w:t>
            </w:r>
          </w:p>
        </w:tc>
      </w:tr>
      <w:tr>
        <w:tc>
          <w:tcPr>
            <w:tcW w:w="10188" w:type="dxa"/>
            <w:tcBorders>
              <w:bottom w:val="single" w:sz="4" w:space="0" w:color="auto"/>
            </w:tcBorders>
            <w:shd w:val="clear" w:color="auto" w:fill="auto"/>
          </w:tcPr>
          <w:p>
            <w:pPr>
              <w:spacing w:after="0"/>
              <w:rPr>
                <w:rFonts w:ascii="Arial" w:hAnsi="Arial" w:cs="Arial"/>
                <w:noProof/>
                <w:sz w:val="20"/>
              </w:rPr>
            </w:pPr>
            <w:r>
              <w:rPr>
                <w:rFonts w:ascii="Arial" w:hAnsi="Arial" w:cs="Arial"/>
                <w:noProof/>
                <w:sz w:val="20"/>
              </w:rPr>
              <w:t xml:space="preserve">In contrast to the banking sector, CCPs did not experience major problems during the recent crisis. Consequently, there is less empirical evidence with which to quantify the benefits of an EU recovery and resolution framework for CCPs. However, the cross-border operations and risk concentration of larger CCPs suggest that the implications of a disorderly failure for financial stability could be even greater than in the case of a systemically-important bank. Moreover, the risk concentration in CCPs is set to increase substantially due to the G20 commitment to mitigate risks for market participants in bilateral derivative transactions by requiring them to clear standardised transactions through CCPs. Better crisis planning within CCPs and powers for authorities to intervene with standardised tools should reduce the risk of a catastrophic failure of a CCP, which would otherwise almost certainly necessitate a rescue by the State at considerable cost to the taxpayer. The prospect of more orderly CCP recovery and resolution is likely to benefit the financial sector more generally, by incentivising better risk management within the CCP and of bank exposures to the CCP. </w:t>
            </w:r>
          </w:p>
          <w:p>
            <w:pPr>
              <w:spacing w:after="0"/>
              <w:rPr>
                <w:rFonts w:ascii="Arial" w:hAnsi="Arial" w:cs="Arial"/>
                <w:i/>
                <w:noProof/>
                <w:sz w:val="20"/>
              </w:rPr>
            </w:pPr>
          </w:p>
        </w:tc>
      </w:tr>
      <w:tr>
        <w:tc>
          <w:tcPr>
            <w:tcW w:w="10188" w:type="dxa"/>
            <w:tcBorders>
              <w:bottom w:val="single" w:sz="4" w:space="0" w:color="auto"/>
            </w:tcBorders>
            <w:shd w:val="clear" w:color="auto" w:fill="E6E6E6"/>
          </w:tcPr>
          <w:p>
            <w:pPr>
              <w:spacing w:after="0"/>
              <w:rPr>
                <w:rFonts w:ascii="Tahoma" w:hAnsi="Tahoma" w:cs="Tahoma"/>
                <w:noProof/>
                <w:sz w:val="20"/>
              </w:rPr>
            </w:pPr>
            <w:r>
              <w:rPr>
                <w:rFonts w:ascii="Tahoma" w:hAnsi="Tahoma" w:cs="Tahoma"/>
                <w:b/>
                <w:noProof/>
                <w:sz w:val="20"/>
              </w:rPr>
              <w:t>What are the costs of the preferred option (if any, otherwise main ones)?</w:t>
            </w:r>
            <w:r>
              <w:rPr>
                <w:rFonts w:ascii="Tahoma" w:hAnsi="Tahoma" w:cs="Tahoma"/>
                <w:noProof/>
                <w:sz w:val="20"/>
              </w:rPr>
              <w:t xml:space="preserve">                                      </w:t>
            </w:r>
          </w:p>
        </w:tc>
      </w:tr>
      <w:tr>
        <w:tc>
          <w:tcPr>
            <w:tcW w:w="10188" w:type="dxa"/>
            <w:tcBorders>
              <w:bottom w:val="single" w:sz="4" w:space="0" w:color="auto"/>
            </w:tcBorders>
            <w:shd w:val="clear" w:color="auto" w:fill="auto"/>
          </w:tcPr>
          <w:p>
            <w:pPr>
              <w:spacing w:after="0"/>
              <w:rPr>
                <w:rFonts w:ascii="Arial" w:hAnsi="Arial" w:cs="Arial"/>
                <w:noProof/>
                <w:sz w:val="20"/>
              </w:rPr>
            </w:pPr>
            <w:r>
              <w:rPr>
                <w:rFonts w:ascii="Arial" w:hAnsi="Arial" w:cs="Arial"/>
                <w:noProof/>
                <w:sz w:val="20"/>
              </w:rPr>
              <w:t xml:space="preserve">The upfront costs for CCPs will primarily be in the shape of requirements for better planning and prevention of failure. These will vary depending on the size, interconnectedness, substitutability and complexity of the CCP and include human resource costs, applicable consulting and legal fees, systems upgrades and possible reorganisation costs. Based on the corresponding costs for banks, these requirements are estimated to be in the millions for the largest institutions and in the thousands for smaller entities. On aggregate, the smaller number of CCPs subject to these requirements and their lower level of organisational complexity compared to banks should entail overall lower upfront costs. As part of assessing and facilitating CCPs’ resolvability, authorities could require some of them to strengthen their balance sheet or streamline their organisational structures, but these would be ad hoc cases and not apply to the whole sector.  </w:t>
            </w:r>
          </w:p>
        </w:tc>
      </w:tr>
      <w:tr>
        <w:tc>
          <w:tcPr>
            <w:tcW w:w="10188" w:type="dxa"/>
            <w:tcBorders>
              <w:bottom w:val="single" w:sz="4" w:space="0" w:color="auto"/>
            </w:tcBorders>
            <w:shd w:val="clear" w:color="auto" w:fill="E6E6E6"/>
          </w:tcPr>
          <w:p>
            <w:pPr>
              <w:spacing w:after="0"/>
              <w:rPr>
                <w:rFonts w:ascii="Tahoma" w:hAnsi="Tahoma" w:cs="Tahoma"/>
                <w:noProof/>
                <w:sz w:val="20"/>
              </w:rPr>
            </w:pPr>
            <w:r>
              <w:rPr>
                <w:rFonts w:ascii="Tahoma" w:hAnsi="Tahoma" w:cs="Tahoma"/>
                <w:b/>
                <w:noProof/>
                <w:sz w:val="20"/>
              </w:rPr>
              <w:t xml:space="preserve">How will businesses, SMEs and micro-enterprises be affected? </w:t>
            </w:r>
          </w:p>
        </w:tc>
      </w:tr>
      <w:tr>
        <w:tc>
          <w:tcPr>
            <w:tcW w:w="10188" w:type="dxa"/>
            <w:tcBorders>
              <w:bottom w:val="single" w:sz="4" w:space="0" w:color="auto"/>
            </w:tcBorders>
            <w:shd w:val="clear" w:color="auto" w:fill="auto"/>
          </w:tcPr>
          <w:p>
            <w:pPr>
              <w:spacing w:after="0"/>
              <w:rPr>
                <w:rFonts w:ascii="Arial" w:hAnsi="Arial" w:cs="Arial"/>
                <w:i/>
                <w:noProof/>
                <w:sz w:val="20"/>
              </w:rPr>
            </w:pPr>
            <w:r>
              <w:rPr>
                <w:rFonts w:ascii="Arial" w:hAnsi="Arial" w:cs="Arial"/>
                <w:noProof/>
                <w:sz w:val="20"/>
              </w:rPr>
              <w:t xml:space="preserve">All EU CCPs are in the scope of this impact assessment. In terms of indirect net impacts, SMEs and other businesses are expected to benefit from an overall reinforcement of financial stability. </w:t>
            </w:r>
          </w:p>
        </w:tc>
      </w:tr>
      <w:tr>
        <w:tc>
          <w:tcPr>
            <w:tcW w:w="10188" w:type="dxa"/>
            <w:tcBorders>
              <w:bottom w:val="single" w:sz="4" w:space="0" w:color="auto"/>
            </w:tcBorders>
            <w:shd w:val="clear" w:color="auto" w:fill="E6E6E6"/>
          </w:tcPr>
          <w:p>
            <w:pPr>
              <w:spacing w:after="0"/>
              <w:rPr>
                <w:rFonts w:ascii="Tahoma" w:hAnsi="Tahoma" w:cs="Tahoma"/>
                <w:b/>
                <w:i/>
                <w:noProof/>
                <w:sz w:val="20"/>
              </w:rPr>
            </w:pPr>
            <w:r>
              <w:rPr>
                <w:rFonts w:ascii="Tahoma" w:hAnsi="Tahoma" w:cs="Tahoma"/>
                <w:b/>
                <w:noProof/>
                <w:sz w:val="20"/>
              </w:rPr>
              <w:t>Will there be significant impacts</w:t>
            </w:r>
            <w:r>
              <w:rPr>
                <w:rFonts w:ascii="Tahoma" w:hAnsi="Tahoma" w:cs="Tahoma"/>
                <w:noProof/>
                <w:sz w:val="20"/>
              </w:rPr>
              <w:t xml:space="preserve"> </w:t>
            </w:r>
            <w:r>
              <w:rPr>
                <w:rFonts w:ascii="Tahoma" w:hAnsi="Tahoma" w:cs="Tahoma"/>
                <w:b/>
                <w:noProof/>
                <w:sz w:val="20"/>
              </w:rPr>
              <w:t>on national budgets and administrations?</w:t>
            </w:r>
            <w:r>
              <w:rPr>
                <w:rFonts w:ascii="Tahoma" w:hAnsi="Tahoma" w:cs="Tahoma"/>
                <w:noProof/>
                <w:sz w:val="20"/>
              </w:rPr>
              <w:t xml:space="preserve"> </w:t>
            </w:r>
          </w:p>
        </w:tc>
      </w:tr>
      <w:tr>
        <w:tc>
          <w:tcPr>
            <w:tcW w:w="10188" w:type="dxa"/>
            <w:shd w:val="clear" w:color="auto" w:fill="auto"/>
          </w:tcPr>
          <w:p>
            <w:pPr>
              <w:spacing w:after="0"/>
              <w:rPr>
                <w:rFonts w:ascii="Arial" w:hAnsi="Arial" w:cs="Arial"/>
                <w:noProof/>
                <w:sz w:val="20"/>
              </w:rPr>
            </w:pPr>
            <w:r>
              <w:rPr>
                <w:rFonts w:ascii="Arial" w:hAnsi="Arial" w:cs="Arial"/>
                <w:noProof/>
                <w:sz w:val="20"/>
              </w:rPr>
              <w:t xml:space="preserve">One of the main objectives of the proposed measures is to spare national budgets from the costs of providing solvency support in the event of failure of a CCP.  </w:t>
            </w:r>
          </w:p>
        </w:tc>
      </w:tr>
      <w:tr>
        <w:tc>
          <w:tcPr>
            <w:tcW w:w="10188" w:type="dxa"/>
            <w:tcBorders>
              <w:bottom w:val="single" w:sz="4" w:space="0" w:color="auto"/>
            </w:tcBorders>
            <w:shd w:val="clear" w:color="auto" w:fill="E6E6E6"/>
          </w:tcPr>
          <w:p>
            <w:pPr>
              <w:spacing w:after="0"/>
              <w:rPr>
                <w:rFonts w:ascii="Tahoma" w:hAnsi="Tahoma" w:cs="Tahoma"/>
                <w:noProof/>
                <w:sz w:val="20"/>
              </w:rPr>
            </w:pPr>
            <w:r>
              <w:rPr>
                <w:rFonts w:ascii="Tahoma" w:hAnsi="Tahoma" w:cs="Tahoma"/>
                <w:b/>
                <w:noProof/>
                <w:sz w:val="20"/>
              </w:rPr>
              <w:t>Will there be other significant impacts?</w:t>
            </w:r>
            <w:r>
              <w:rPr>
                <w:rFonts w:ascii="Tahoma" w:hAnsi="Tahoma" w:cs="Tahoma"/>
                <w:noProof/>
                <w:sz w:val="20"/>
              </w:rPr>
              <w:t xml:space="preserve"> </w:t>
            </w:r>
            <w:r>
              <w:rPr>
                <w:rFonts w:ascii="Tahoma" w:hAnsi="Tahoma" w:cs="Tahoma"/>
                <w:noProof/>
                <w:sz w:val="20"/>
                <w:u w:val="single"/>
              </w:rPr>
              <w:t xml:space="preserve"> </w:t>
            </w:r>
          </w:p>
        </w:tc>
      </w:tr>
      <w:tr>
        <w:tc>
          <w:tcPr>
            <w:tcW w:w="10188" w:type="dxa"/>
            <w:tcBorders>
              <w:bottom w:val="single" w:sz="4" w:space="0" w:color="auto"/>
            </w:tcBorders>
            <w:shd w:val="clear" w:color="auto" w:fill="auto"/>
          </w:tcPr>
          <w:p>
            <w:pPr>
              <w:spacing w:after="0"/>
              <w:rPr>
                <w:rFonts w:ascii="Arial" w:hAnsi="Arial" w:cs="Arial"/>
                <w:noProof/>
                <w:sz w:val="20"/>
              </w:rPr>
            </w:pPr>
            <w:r>
              <w:rPr>
                <w:rFonts w:ascii="Arial" w:hAnsi="Arial" w:cs="Arial"/>
                <w:noProof/>
                <w:sz w:val="20"/>
              </w:rPr>
              <w:t xml:space="preserve">It might be necessary for the competent authorities to take extraordinary measures in the public interest so as to avert a threat of financial panic in the event that a CCP is failing or likely to fail. Such extraordinary measures could override established property rights. However, any such measures must comply with the European Convention of Human Rights  and so be proportionate, seek to preserve value in the overall interest and leave affected stakeholders in a position no worse than if the CCP had gone into insolvency proceedings.  </w:t>
            </w:r>
          </w:p>
        </w:tc>
      </w:tr>
      <w:tr>
        <w:tc>
          <w:tcPr>
            <w:tcW w:w="10188" w:type="dxa"/>
            <w:tcBorders>
              <w:bottom w:val="single" w:sz="4" w:space="0" w:color="auto"/>
            </w:tcBorders>
            <w:shd w:val="clear" w:color="auto" w:fill="C0C0C0"/>
          </w:tcPr>
          <w:p>
            <w:pPr>
              <w:spacing w:after="0"/>
              <w:jc w:val="center"/>
              <w:rPr>
                <w:rFonts w:ascii="Tahoma" w:hAnsi="Tahoma" w:cs="Tahoma"/>
                <w:b/>
                <w:noProof/>
              </w:rPr>
            </w:pPr>
            <w:r>
              <w:rPr>
                <w:rFonts w:ascii="Tahoma" w:hAnsi="Tahoma" w:cs="Tahoma"/>
                <w:b/>
                <w:noProof/>
              </w:rPr>
              <w:t>D. Follow up</w:t>
            </w:r>
          </w:p>
        </w:tc>
      </w:tr>
      <w:tr>
        <w:tc>
          <w:tcPr>
            <w:tcW w:w="10188" w:type="dxa"/>
            <w:tcBorders>
              <w:bottom w:val="single" w:sz="4" w:space="0" w:color="auto"/>
            </w:tcBorders>
            <w:shd w:val="clear" w:color="auto" w:fill="E6E6E6"/>
          </w:tcPr>
          <w:p>
            <w:pPr>
              <w:spacing w:after="0"/>
              <w:rPr>
                <w:rFonts w:ascii="Tahoma" w:hAnsi="Tahoma" w:cs="Tahoma"/>
                <w:noProof/>
                <w:sz w:val="20"/>
              </w:rPr>
            </w:pPr>
            <w:r>
              <w:rPr>
                <w:rFonts w:ascii="Tahoma" w:hAnsi="Tahoma" w:cs="Tahoma"/>
                <w:b/>
                <w:noProof/>
                <w:sz w:val="20"/>
              </w:rPr>
              <w:t xml:space="preserve">When will the policy be reviewed? </w:t>
            </w:r>
            <w:r>
              <w:rPr>
                <w:rFonts w:ascii="Tahoma" w:hAnsi="Tahoma" w:cs="Tahoma"/>
                <w:noProof/>
                <w:sz w:val="20"/>
              </w:rPr>
              <w:t xml:space="preserve"> </w:t>
            </w:r>
          </w:p>
        </w:tc>
      </w:tr>
      <w:tr>
        <w:tc>
          <w:tcPr>
            <w:tcW w:w="10188" w:type="dxa"/>
            <w:tcBorders>
              <w:bottom w:val="single" w:sz="4" w:space="0" w:color="auto"/>
            </w:tcBorders>
            <w:shd w:val="clear" w:color="auto" w:fill="auto"/>
          </w:tcPr>
          <w:p>
            <w:pPr>
              <w:spacing w:after="0"/>
              <w:rPr>
                <w:rFonts w:ascii="Arial" w:hAnsi="Arial" w:cs="Arial"/>
                <w:b/>
                <w:noProof/>
                <w:sz w:val="20"/>
              </w:rPr>
            </w:pPr>
            <w:r>
              <w:rPr>
                <w:rFonts w:ascii="Arial" w:hAnsi="Arial" w:cs="Arial"/>
                <w:noProof/>
                <w:sz w:val="20"/>
              </w:rPr>
              <w:t xml:space="preserve">CCPs should monitor their recovery plans and authorities their preferred resolution options so as to ensure that they are appropriate on an on-going basis and in light of any changes to the CCPs' situation and wider market developments. The framework as a whole could be subject to review after a 3-5 year period. </w:t>
            </w:r>
          </w:p>
        </w:tc>
      </w:tr>
    </w:tbl>
    <w:p>
      <w:pPr>
        <w:rPr>
          <w:noProof/>
        </w:rPr>
      </w:pPr>
      <w:bookmarkStart w:id="2" w:name="_Toc425860951"/>
      <w:bookmarkStart w:id="3" w:name="_Toc425861051"/>
      <w:bookmarkStart w:id="4" w:name="_Toc425861121"/>
      <w:bookmarkStart w:id="5" w:name="_Toc425869896"/>
      <w:bookmarkStart w:id="6" w:name="_Toc425860952"/>
      <w:bookmarkStart w:id="7" w:name="_Toc425861052"/>
      <w:bookmarkStart w:id="8" w:name="_Toc425861122"/>
      <w:bookmarkStart w:id="9" w:name="_Toc425869897"/>
      <w:bookmarkStart w:id="10" w:name="_Toc401848614"/>
      <w:bookmarkStart w:id="11" w:name="_Toc402183499"/>
      <w:bookmarkStart w:id="12" w:name="_Toc411439303"/>
      <w:bookmarkStart w:id="13" w:name="_Toc412736413"/>
      <w:bookmarkStart w:id="14" w:name="_Toc413053046"/>
      <w:bookmarkStart w:id="15" w:name="_Toc413138174"/>
      <w:bookmarkStart w:id="16" w:name="_Toc413139238"/>
      <w:bookmarkStart w:id="17" w:name="_Toc413139459"/>
      <w:bookmarkStart w:id="18" w:name="_Toc413139764"/>
      <w:bookmarkStart w:id="19" w:name="_Toc414268562"/>
      <w:bookmarkStart w:id="20" w:name="_Toc414453413"/>
      <w:bookmarkStart w:id="21" w:name="_Toc414466884"/>
      <w:bookmarkStart w:id="22" w:name="_Toc415131680"/>
      <w:bookmarkStart w:id="23" w:name="_Toc415654190"/>
      <w:bookmarkStart w:id="24" w:name="_Toc416265125"/>
      <w:bookmarkStart w:id="25" w:name="_Toc416265394"/>
      <w:bookmarkStart w:id="26" w:name="_Toc401848620"/>
      <w:bookmarkStart w:id="27" w:name="_Toc402183505"/>
      <w:bookmarkStart w:id="28" w:name="_Toc411439309"/>
      <w:bookmarkStart w:id="29" w:name="_Toc412736419"/>
      <w:bookmarkStart w:id="30" w:name="_Toc413053052"/>
      <w:bookmarkStart w:id="31" w:name="_Toc413138180"/>
      <w:bookmarkStart w:id="32" w:name="_Toc413139244"/>
      <w:bookmarkStart w:id="33" w:name="_Toc413139465"/>
      <w:bookmarkStart w:id="34" w:name="_Toc413139770"/>
      <w:bookmarkStart w:id="35" w:name="_Toc414268568"/>
      <w:bookmarkStart w:id="36" w:name="_Toc414453419"/>
      <w:bookmarkStart w:id="37" w:name="_Toc414466890"/>
      <w:bookmarkStart w:id="38" w:name="_Toc415131686"/>
      <w:bookmarkStart w:id="39" w:name="_Toc415654196"/>
      <w:bookmarkStart w:id="40" w:name="_Toc416265131"/>
      <w:bookmarkStart w:id="41" w:name="_Toc416265400"/>
      <w:bookmarkStart w:id="42" w:name="_Toc425860962"/>
      <w:bookmarkStart w:id="43" w:name="_Toc425861062"/>
      <w:bookmarkStart w:id="44" w:name="_Toc425861132"/>
      <w:bookmarkStart w:id="45" w:name="_Toc425869907"/>
      <w:bookmarkStart w:id="46" w:name="_Toc425860966"/>
      <w:bookmarkStart w:id="47" w:name="_Toc425861066"/>
      <w:bookmarkStart w:id="48" w:name="_Toc425861136"/>
      <w:bookmarkStart w:id="49" w:name="_Toc425869911"/>
      <w:bookmarkStart w:id="50" w:name="_Toc365634732"/>
      <w:bookmarkStart w:id="51" w:name="_Toc365637929"/>
      <w:bookmarkStart w:id="52" w:name="_Toc365638021"/>
      <w:bookmarkStart w:id="53" w:name="_Toc365638124"/>
      <w:bookmarkStart w:id="54" w:name="_Toc365638215"/>
      <w:bookmarkStart w:id="55" w:name="_Toc365638306"/>
      <w:bookmarkStart w:id="56" w:name="_Toc365634733"/>
      <w:bookmarkStart w:id="57" w:name="_Toc365637930"/>
      <w:bookmarkStart w:id="58" w:name="_Toc365638022"/>
      <w:bookmarkStart w:id="59" w:name="_Toc365638125"/>
      <w:bookmarkStart w:id="60" w:name="_Toc365638216"/>
      <w:bookmarkStart w:id="61" w:name="_Toc365638307"/>
      <w:bookmarkStart w:id="62" w:name="_Toc365634734"/>
      <w:bookmarkStart w:id="63" w:name="_Toc365637931"/>
      <w:bookmarkStart w:id="64" w:name="_Toc365638023"/>
      <w:bookmarkStart w:id="65" w:name="_Toc365638126"/>
      <w:bookmarkStart w:id="66" w:name="_Toc365638217"/>
      <w:bookmarkStart w:id="67" w:name="_Toc365638308"/>
      <w:bookmarkStart w:id="68" w:name="_Toc365634738"/>
      <w:bookmarkStart w:id="69" w:name="_Toc365637935"/>
      <w:bookmarkStart w:id="70" w:name="_Toc365638027"/>
      <w:bookmarkStart w:id="71" w:name="_Toc365638130"/>
      <w:bookmarkStart w:id="72" w:name="_Toc365638221"/>
      <w:bookmarkStart w:id="73" w:name="_Toc365638312"/>
      <w:bookmarkStart w:id="74" w:name="_Toc365634740"/>
      <w:bookmarkStart w:id="75" w:name="_Toc365637937"/>
      <w:bookmarkStart w:id="76" w:name="_Toc365638029"/>
      <w:bookmarkStart w:id="77" w:name="_Toc365638132"/>
      <w:bookmarkStart w:id="78" w:name="_Toc365638223"/>
      <w:bookmarkStart w:id="79" w:name="_Toc365638314"/>
      <w:bookmarkStart w:id="80" w:name="_Toc365634741"/>
      <w:bookmarkStart w:id="81" w:name="_Toc365637938"/>
      <w:bookmarkStart w:id="82" w:name="_Toc365638030"/>
      <w:bookmarkStart w:id="83" w:name="_Toc365638133"/>
      <w:bookmarkStart w:id="84" w:name="_Toc365638224"/>
      <w:bookmarkStart w:id="85" w:name="_Toc365638315"/>
      <w:bookmarkStart w:id="86" w:name="_Toc365634742"/>
      <w:bookmarkStart w:id="87" w:name="_Toc365637939"/>
      <w:bookmarkStart w:id="88" w:name="_Toc365638031"/>
      <w:bookmarkStart w:id="89" w:name="_Toc365638134"/>
      <w:bookmarkStart w:id="90" w:name="_Toc365638225"/>
      <w:bookmarkStart w:id="91" w:name="_Toc365638316"/>
      <w:bookmarkStart w:id="92" w:name="_Toc365634748"/>
      <w:bookmarkStart w:id="93" w:name="_Toc365637945"/>
      <w:bookmarkStart w:id="94" w:name="_Toc365638037"/>
      <w:bookmarkStart w:id="95" w:name="_Toc365638140"/>
      <w:bookmarkStart w:id="96" w:name="_Toc365638231"/>
      <w:bookmarkStart w:id="97" w:name="_Toc365638322"/>
      <w:bookmarkStart w:id="98" w:name="_Toc365634749"/>
      <w:bookmarkStart w:id="99" w:name="_Toc365637946"/>
      <w:bookmarkStart w:id="100" w:name="_Toc365638038"/>
      <w:bookmarkStart w:id="101" w:name="_Toc365638141"/>
      <w:bookmarkStart w:id="102" w:name="_Toc365638232"/>
      <w:bookmarkStart w:id="103" w:name="_Toc365638323"/>
      <w:bookmarkStart w:id="104" w:name="_Toc365634754"/>
      <w:bookmarkStart w:id="105" w:name="_Toc365637951"/>
      <w:bookmarkStart w:id="106" w:name="_Toc365638043"/>
      <w:bookmarkStart w:id="107" w:name="_Toc365638146"/>
      <w:bookmarkStart w:id="108" w:name="_Toc365638237"/>
      <w:bookmarkStart w:id="109" w:name="_Toc365638328"/>
      <w:bookmarkStart w:id="110" w:name="_Toc365634757"/>
      <w:bookmarkStart w:id="111" w:name="_Toc365637954"/>
      <w:bookmarkStart w:id="112" w:name="_Toc365638046"/>
      <w:bookmarkStart w:id="113" w:name="_Toc365638149"/>
      <w:bookmarkStart w:id="114" w:name="_Toc365638240"/>
      <w:bookmarkStart w:id="115" w:name="_Toc365638331"/>
      <w:bookmarkStart w:id="116" w:name="_Toc365629685"/>
      <w:bookmarkStart w:id="117" w:name="_Toc365634758"/>
      <w:bookmarkStart w:id="118" w:name="_Toc365637955"/>
      <w:bookmarkStart w:id="119" w:name="_Toc365638047"/>
      <w:bookmarkStart w:id="120" w:name="_Toc365638150"/>
      <w:bookmarkStart w:id="121" w:name="_Toc365638241"/>
      <w:bookmarkStart w:id="122" w:name="_Toc365638332"/>
      <w:bookmarkStart w:id="123" w:name="_Toc365629688"/>
      <w:bookmarkStart w:id="124" w:name="_Toc365634761"/>
      <w:bookmarkStart w:id="125" w:name="_Toc365637958"/>
      <w:bookmarkStart w:id="126" w:name="_Toc365638050"/>
      <w:bookmarkStart w:id="127" w:name="_Toc365638153"/>
      <w:bookmarkStart w:id="128" w:name="_Toc365638244"/>
      <w:bookmarkStart w:id="129" w:name="_Toc365638335"/>
      <w:bookmarkStart w:id="130" w:name="_Toc365629689"/>
      <w:bookmarkStart w:id="131" w:name="_Toc365634762"/>
      <w:bookmarkStart w:id="132" w:name="_Toc365637959"/>
      <w:bookmarkStart w:id="133" w:name="_Toc365638051"/>
      <w:bookmarkStart w:id="134" w:name="_Toc365638154"/>
      <w:bookmarkStart w:id="135" w:name="_Toc365638245"/>
      <w:bookmarkStart w:id="136" w:name="_Toc365638336"/>
      <w:bookmarkStart w:id="137" w:name="_Toc365629690"/>
      <w:bookmarkStart w:id="138" w:name="_Toc365634763"/>
      <w:bookmarkStart w:id="139" w:name="_Toc365637960"/>
      <w:bookmarkStart w:id="140" w:name="_Toc365638052"/>
      <w:bookmarkStart w:id="141" w:name="_Toc365638155"/>
      <w:bookmarkStart w:id="142" w:name="_Toc365638246"/>
      <w:bookmarkStart w:id="143" w:name="_Toc365638337"/>
      <w:bookmarkStart w:id="144" w:name="_Toc365629691"/>
      <w:bookmarkStart w:id="145" w:name="_Toc365634764"/>
      <w:bookmarkStart w:id="146" w:name="_Toc365637961"/>
      <w:bookmarkStart w:id="147" w:name="_Toc365638053"/>
      <w:bookmarkStart w:id="148" w:name="_Toc365638156"/>
      <w:bookmarkStart w:id="149" w:name="_Toc365638247"/>
      <w:bookmarkStart w:id="150" w:name="_Toc365638338"/>
      <w:bookmarkStart w:id="151" w:name="_Toc365629692"/>
      <w:bookmarkStart w:id="152" w:name="_Toc365634765"/>
      <w:bookmarkStart w:id="153" w:name="_Toc365637962"/>
      <w:bookmarkStart w:id="154" w:name="_Toc365638054"/>
      <w:bookmarkStart w:id="155" w:name="_Toc365638157"/>
      <w:bookmarkStart w:id="156" w:name="_Toc365638248"/>
      <w:bookmarkStart w:id="157" w:name="_Toc365638339"/>
      <w:bookmarkStart w:id="158" w:name="_Toc365629698"/>
      <w:bookmarkStart w:id="159" w:name="_Toc365634771"/>
      <w:bookmarkStart w:id="160" w:name="_Toc365637968"/>
      <w:bookmarkStart w:id="161" w:name="_Toc365638060"/>
      <w:bookmarkStart w:id="162" w:name="_Toc365638163"/>
      <w:bookmarkStart w:id="163" w:name="_Toc365638254"/>
      <w:bookmarkStart w:id="164" w:name="_Toc365638345"/>
      <w:bookmarkStart w:id="165" w:name="_Toc365629699"/>
      <w:bookmarkStart w:id="166" w:name="_Toc365634772"/>
      <w:bookmarkStart w:id="167" w:name="_Toc365637969"/>
      <w:bookmarkStart w:id="168" w:name="_Toc365638061"/>
      <w:bookmarkStart w:id="169" w:name="_Toc365638164"/>
      <w:bookmarkStart w:id="170" w:name="_Toc365638255"/>
      <w:bookmarkStart w:id="171" w:name="_Toc365638346"/>
      <w:bookmarkStart w:id="172" w:name="_Toc365629709"/>
      <w:bookmarkStart w:id="173" w:name="_Toc365634782"/>
      <w:bookmarkStart w:id="174" w:name="_Toc365637979"/>
      <w:bookmarkStart w:id="175" w:name="_Toc365638071"/>
      <w:bookmarkStart w:id="176" w:name="_Toc365638174"/>
      <w:bookmarkStart w:id="177" w:name="_Toc365638265"/>
      <w:bookmarkStart w:id="178" w:name="_Toc365638356"/>
      <w:bookmarkStart w:id="179" w:name="_Toc393878190"/>
      <w:bookmarkStart w:id="180" w:name="_Toc396322098"/>
      <w:bookmarkStart w:id="181" w:name="_Toc396322309"/>
      <w:bookmarkStart w:id="182" w:name="_Toc396409130"/>
      <w:bookmarkStart w:id="183" w:name="_Toc396409355"/>
      <w:bookmarkStart w:id="184" w:name="_Toc396484040"/>
      <w:bookmarkStart w:id="185" w:name="_Toc400121137"/>
      <w:bookmarkStart w:id="186" w:name="_Toc401848630"/>
      <w:bookmarkStart w:id="187" w:name="_Toc402183516"/>
      <w:bookmarkStart w:id="188" w:name="_Toc411439316"/>
      <w:bookmarkStart w:id="189" w:name="_Toc412736426"/>
      <w:bookmarkStart w:id="190" w:name="_Toc413053059"/>
      <w:bookmarkStart w:id="191" w:name="_Toc413138187"/>
      <w:bookmarkStart w:id="192" w:name="_Toc413139251"/>
      <w:bookmarkStart w:id="193" w:name="_Toc413139472"/>
      <w:bookmarkStart w:id="194" w:name="_Toc413139777"/>
      <w:bookmarkStart w:id="195" w:name="_Toc414268575"/>
      <w:bookmarkStart w:id="196" w:name="_Toc414453426"/>
      <w:bookmarkStart w:id="197" w:name="_Toc414466897"/>
      <w:bookmarkStart w:id="198" w:name="_Toc415131693"/>
      <w:bookmarkStart w:id="199" w:name="_Toc415654203"/>
      <w:bookmarkStart w:id="200" w:name="_Toc416265138"/>
      <w:bookmarkStart w:id="201" w:name="_Toc416265407"/>
      <w:bookmarkStart w:id="202" w:name="_Toc393878202"/>
      <w:bookmarkStart w:id="203" w:name="_Toc396322109"/>
      <w:bookmarkStart w:id="204" w:name="_Toc396322320"/>
      <w:bookmarkStart w:id="205" w:name="_Toc396409141"/>
      <w:bookmarkStart w:id="206" w:name="_Toc396409366"/>
      <w:bookmarkStart w:id="207" w:name="_Toc396484051"/>
      <w:bookmarkStart w:id="208" w:name="_Toc400121148"/>
      <w:bookmarkStart w:id="209" w:name="_Toc401848641"/>
      <w:bookmarkStart w:id="210" w:name="_Toc402183527"/>
      <w:bookmarkStart w:id="211" w:name="_Toc411439326"/>
      <w:bookmarkStart w:id="212" w:name="_Toc412736436"/>
      <w:bookmarkStart w:id="213" w:name="_Toc413053069"/>
      <w:bookmarkStart w:id="214" w:name="_Toc413138197"/>
      <w:bookmarkStart w:id="215" w:name="_Toc413139261"/>
      <w:bookmarkStart w:id="216" w:name="_Toc413139482"/>
      <w:bookmarkStart w:id="217" w:name="_Toc413139787"/>
      <w:bookmarkStart w:id="218" w:name="_Toc414268589"/>
      <w:bookmarkStart w:id="219" w:name="_Toc414453440"/>
      <w:bookmarkStart w:id="220" w:name="_Toc414466911"/>
      <w:bookmarkStart w:id="221" w:name="_Toc415131707"/>
      <w:bookmarkStart w:id="222" w:name="_Toc415654217"/>
      <w:bookmarkStart w:id="223" w:name="_Toc416265152"/>
      <w:bookmarkStart w:id="224" w:name="_Toc416265421"/>
      <w:bookmarkStart w:id="225" w:name="_Toc425860981"/>
      <w:bookmarkStart w:id="226" w:name="_Toc425861081"/>
      <w:bookmarkStart w:id="227" w:name="_Toc425861151"/>
      <w:bookmarkStart w:id="228" w:name="_Toc425869926"/>
      <w:bookmarkStart w:id="229" w:name="_Toc425860984"/>
      <w:bookmarkStart w:id="230" w:name="_Toc425861084"/>
      <w:bookmarkStart w:id="231" w:name="_Toc425861154"/>
      <w:bookmarkStart w:id="232" w:name="_Toc42586992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auto"/>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06744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tabs>
          <w:tab w:val="clear" w:pos="284"/>
          <w:tab w:val="left" w:pos="142"/>
        </w:tabs>
        <w:ind w:left="142" w:right="-738" w:hanging="142"/>
        <w:contextualSpacing/>
        <w:rPr>
          <w:rFonts w:ascii="Arial" w:hAnsi="Arial" w:cs="Arial"/>
          <w:color w:val="000000"/>
          <w:sz w:val="18"/>
          <w:szCs w:val="18"/>
          <w:lang w:eastAsia="en-GB"/>
        </w:rPr>
      </w:pPr>
      <w:r>
        <w:rPr>
          <w:rStyle w:val="FootnoteReference"/>
        </w:rPr>
        <w:footnoteRef/>
      </w:r>
      <w:r>
        <w:t xml:space="preserve"> </w:t>
      </w:r>
      <w:r>
        <w:rPr>
          <w:rFonts w:ascii="Arial" w:hAnsi="Arial" w:cs="Arial"/>
          <w:sz w:val="18"/>
          <w:szCs w:val="18"/>
        </w:rPr>
        <w:t>See e.g.</w:t>
      </w:r>
      <w:r>
        <w:rPr>
          <w:rFonts w:ascii="Arial" w:hAnsi="Arial" w:cs="Arial"/>
          <w:color w:val="000000"/>
          <w:sz w:val="18"/>
          <w:szCs w:val="18"/>
          <w:lang w:eastAsia="en-GB"/>
        </w:rPr>
        <w:t xml:space="preserve"> the letter of the Chairman of the Financial Stability Board to G20 Finance Ministers and Central Bank Governors: “Financial Reforms – Finishing the Post-Crisis Agenda and Moving Forward” (February 2015).</w:t>
      </w:r>
    </w:p>
    <w:p>
      <w:pPr>
        <w:pStyle w:val="FootnoteText"/>
        <w:tabs>
          <w:tab w:val="clear" w:pos="284"/>
          <w:tab w:val="left" w:pos="142"/>
        </w:tabs>
        <w:ind w:left="142" w:right="-1447" w:firstLine="0"/>
        <w:contextualSpacing/>
        <w:rPr>
          <w:rFonts w:ascii="Arial" w:hAnsi="Arial" w:cs="Arial"/>
          <w:sz w:val="18"/>
          <w:szCs w:val="18"/>
        </w:rPr>
      </w:pPr>
      <w:r>
        <w:rPr>
          <w:rFonts w:ascii="Arial" w:hAnsi="Arial" w:cs="Arial"/>
          <w:color w:val="000000"/>
          <w:sz w:val="18"/>
          <w:szCs w:val="18"/>
          <w:lang w:eastAsia="en-GB"/>
        </w:rPr>
        <w:t xml:space="preserve"> </w:t>
      </w:r>
      <w:hyperlink r:id="rId1" w:history="1">
        <w:r>
          <w:rPr>
            <w:rStyle w:val="Hyperlink"/>
            <w:rFonts w:ascii="Arial" w:hAnsi="Arial" w:cs="Arial"/>
            <w:sz w:val="18"/>
            <w:szCs w:val="18"/>
          </w:rPr>
          <w:t>http://www.financialstabilityboard.org/wp-content/uploads/FSB-Chair-letter-to-G20-February-2015.pdf</w:t>
        </w:r>
      </w:hyperlink>
      <w:r>
        <w:rPr>
          <w:rFonts w:ascii="Arial" w:hAnsi="Arial" w:cs="Arial"/>
          <w:sz w:val="18"/>
          <w:szCs w:val="18"/>
        </w:rPr>
        <w:t xml:space="preserve"> </w:t>
      </w:r>
    </w:p>
  </w:footnote>
  <w:footnote w:id="3">
    <w:p>
      <w:pPr>
        <w:pStyle w:val="FootnoteText"/>
        <w:tabs>
          <w:tab w:val="clear" w:pos="284"/>
          <w:tab w:val="left" w:pos="142"/>
        </w:tabs>
        <w:ind w:left="142" w:right="-1447" w:hanging="142"/>
        <w:contextualSpacing/>
      </w:pPr>
      <w:r>
        <w:rPr>
          <w:rStyle w:val="FootnoteReference"/>
          <w:rFonts w:ascii="Arial" w:hAnsi="Arial" w:cs="Arial"/>
        </w:rPr>
        <w:footnoteRef/>
      </w:r>
      <w:r>
        <w:rPr>
          <w:rFonts w:ascii="Arial" w:hAnsi="Arial" w:cs="Arial"/>
        </w:rPr>
        <w:t xml:space="preserve"> </w:t>
      </w:r>
      <w:r>
        <w:rPr>
          <w:rFonts w:ascii="Arial" w:hAnsi="Arial" w:cs="Arial"/>
          <w:color w:val="000000"/>
          <w:sz w:val="18"/>
          <w:szCs w:val="18"/>
          <w:lang w:eastAsia="en-GB"/>
        </w:rPr>
        <w:t>Regulation</w:t>
      </w:r>
      <w:r>
        <w:rPr>
          <w:rFonts w:ascii="Arial" w:hAnsi="Arial" w:cs="Arial"/>
          <w:sz w:val="18"/>
          <w:szCs w:val="18"/>
        </w:rPr>
        <w:t xml:space="preserve"> (EU) No 648/2012 on OTC derivatives, central counterparties and trade repositories (“EMIR”).</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2D72132"/>
    <w:multiLevelType w:val="hybridMultilevel"/>
    <w:tmpl w:val="FD0417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449094C"/>
    <w:multiLevelType w:val="hybridMultilevel"/>
    <w:tmpl w:val="C7A69FBA"/>
    <w:lvl w:ilvl="0" w:tplc="BE2E7CB2">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1648C0"/>
    <w:multiLevelType w:val="hybridMultilevel"/>
    <w:tmpl w:val="727A40EE"/>
    <w:lvl w:ilvl="0" w:tplc="492A33A0">
      <w:start w:val="1"/>
      <w:numFmt w:val="decimal"/>
      <w:lvlText w:val="%1."/>
      <w:lvlJc w:val="left"/>
      <w:pPr>
        <w:ind w:left="360" w:hanging="360"/>
      </w:pPr>
    </w:lvl>
    <w:lvl w:ilvl="1" w:tplc="38FA3DF4">
      <w:start w:val="1"/>
      <w:numFmt w:val="decimal"/>
      <w:lvlText w:val="%2)"/>
      <w:lvlJc w:val="left"/>
      <w:pPr>
        <w:ind w:left="1080" w:hanging="360"/>
      </w:pPr>
      <w:rPr>
        <w:rFonts w:hint="default"/>
      </w:rPr>
    </w:lvl>
    <w:lvl w:ilvl="2" w:tplc="078A8612">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55841EF"/>
    <w:multiLevelType w:val="hybridMultilevel"/>
    <w:tmpl w:val="57F0039E"/>
    <w:lvl w:ilvl="0" w:tplc="7D4099A8">
      <w:start w:val="1"/>
      <w:numFmt w:val="lowerRoman"/>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nsid w:val="05900B49"/>
    <w:multiLevelType w:val="hybridMultilevel"/>
    <w:tmpl w:val="540A6EAA"/>
    <w:lvl w:ilvl="0" w:tplc="BE2E7CB2">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67C7126"/>
    <w:multiLevelType w:val="hybridMultilevel"/>
    <w:tmpl w:val="24145E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BA01F5C"/>
    <w:multiLevelType w:val="hybridMultilevel"/>
    <w:tmpl w:val="9042D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D580DF7"/>
    <w:multiLevelType w:val="hybridMultilevel"/>
    <w:tmpl w:val="BD4CC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0B10491"/>
    <w:multiLevelType w:val="multilevel"/>
    <w:tmpl w:val="0809001F"/>
    <w:name w:val="0,109167"/>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29041EA"/>
    <w:multiLevelType w:val="hybridMultilevel"/>
    <w:tmpl w:val="2656171A"/>
    <w:lvl w:ilvl="0" w:tplc="AEF68F90">
      <w:start w:val="1"/>
      <w:numFmt w:val="bullet"/>
      <w:pStyle w:val="Bullet"/>
      <w:lvlText w:val=""/>
      <w:lvlJc w:val="left"/>
      <w:pPr>
        <w:tabs>
          <w:tab w:val="num" w:pos="1134"/>
        </w:tabs>
        <w:ind w:left="1134" w:hanging="283"/>
      </w:pPr>
      <w:rPr>
        <w:rFonts w:ascii="Symbol" w:hAnsi="Symbol" w:hint="default"/>
        <w:sz w:val="22"/>
      </w:rPr>
    </w:lvl>
    <w:lvl w:ilvl="1" w:tplc="04090003">
      <w:start w:val="1"/>
      <w:numFmt w:val="bullet"/>
      <w:pStyle w:val="IndentedHeading2"/>
      <w:lvlText w:val="o"/>
      <w:lvlJc w:val="left"/>
      <w:pPr>
        <w:tabs>
          <w:tab w:val="num" w:pos="2007"/>
        </w:tabs>
        <w:ind w:left="2007" w:hanging="360"/>
      </w:pPr>
      <w:rPr>
        <w:rFonts w:ascii="Courier New" w:hAnsi="Courier New" w:cs="Times New Roman" w:hint="default"/>
      </w:rPr>
    </w:lvl>
    <w:lvl w:ilvl="2" w:tplc="04090005">
      <w:start w:val="1"/>
      <w:numFmt w:val="bullet"/>
      <w:pStyle w:val="IndentedHeading3"/>
      <w:lvlText w:val=""/>
      <w:lvlJc w:val="left"/>
      <w:pPr>
        <w:tabs>
          <w:tab w:val="num" w:pos="2727"/>
        </w:tabs>
        <w:ind w:left="2727" w:hanging="360"/>
      </w:pPr>
      <w:rPr>
        <w:rFonts w:ascii="Wingdings" w:hAnsi="Wingdings" w:hint="default"/>
      </w:rPr>
    </w:lvl>
    <w:lvl w:ilvl="3" w:tplc="04090001">
      <w:start w:val="1"/>
      <w:numFmt w:val="bullet"/>
      <w:pStyle w:val="IndentedHeading4"/>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2">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C547533"/>
    <w:multiLevelType w:val="hybridMultilevel"/>
    <w:tmpl w:val="F052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F3197E"/>
    <w:multiLevelType w:val="hybridMultilevel"/>
    <w:tmpl w:val="6B5870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F734306"/>
    <w:multiLevelType w:val="multilevel"/>
    <w:tmpl w:val="20D27972"/>
    <w:lvl w:ilvl="0">
      <w:start w:val="1"/>
      <w:numFmt w:val="decimal"/>
      <w:pStyle w:val="Heading1"/>
      <w:lvlText w:val="%1."/>
      <w:lvlJc w:val="left"/>
      <w:pPr>
        <w:tabs>
          <w:tab w:val="num" w:pos="480"/>
        </w:tabs>
        <w:ind w:left="480" w:hanging="480"/>
      </w:pPr>
      <w:rPr>
        <w:rFonts w:ascii="Times New Roman Bold" w:hAnsi="Times New Roman Bold" w:hint="default"/>
        <w:b/>
        <w:i w:val="0"/>
        <w:sz w:val="24"/>
      </w:rPr>
    </w:lvl>
    <w:lvl w:ilvl="1">
      <w:start w:val="1"/>
      <w:numFmt w:val="decimal"/>
      <w:pStyle w:val="Heading2"/>
      <w:lvlText w:val="%1.%2."/>
      <w:lvlJc w:val="left"/>
      <w:pPr>
        <w:tabs>
          <w:tab w:val="num" w:pos="1200"/>
        </w:tabs>
        <w:ind w:left="120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numFmt w:val="none"/>
      <w:pStyle w:val="Heading3"/>
      <w:lvlText w:val=""/>
      <w:lvlJc w:val="left"/>
      <w:pPr>
        <w:tabs>
          <w:tab w:val="num" w:pos="360"/>
        </w:tabs>
        <w:ind w:left="0" w:firstLine="0"/>
      </w:pPr>
      <w:rPr>
        <w:rFonts w:hint="default"/>
      </w:rPr>
    </w:lvl>
    <w:lvl w:ilvl="3">
      <w:numFmt w:val="none"/>
      <w:pStyle w:val="Heading4"/>
      <w:lvlText w:val="%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1FC46615"/>
    <w:multiLevelType w:val="hybridMultilevel"/>
    <w:tmpl w:val="47865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0A50438"/>
    <w:multiLevelType w:val="multilevel"/>
    <w:tmpl w:val="601C6DB4"/>
    <w:lvl w:ilvl="0">
      <w:numFmt w:val="decimal"/>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0F50111"/>
    <w:multiLevelType w:val="hybridMultilevel"/>
    <w:tmpl w:val="7A06CBF2"/>
    <w:lvl w:ilvl="0" w:tplc="0809000F">
      <w:start w:val="1"/>
      <w:numFmt w:val="decimal"/>
      <w:lvlText w:val="%1."/>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9">
    <w:nsid w:val="21FA2835"/>
    <w:multiLevelType w:val="hybridMultilevel"/>
    <w:tmpl w:val="6CEAAE8C"/>
    <w:lvl w:ilvl="0" w:tplc="0809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0">
    <w:nsid w:val="22DD3599"/>
    <w:multiLevelType w:val="multilevel"/>
    <w:tmpl w:val="4EAA5BA6"/>
    <w:lvl w:ilvl="0">
      <w:numFmt w:val="decimal"/>
      <w:pStyle w:val="ListNumber"/>
      <w:lvlText w:val=""/>
      <w:lvlJc w:val="left"/>
    </w:lvl>
    <w:lvl w:ilvl="1">
      <w:numFmt w:val="decimal"/>
      <w:pStyle w:val="ListNumberLevel2"/>
      <w:lvlText w:val=""/>
      <w:lvlJc w:val="left"/>
    </w:lvl>
    <w:lvl w:ilvl="2">
      <w:numFmt w:val="decimal"/>
      <w:pStyle w:val="ListNumberLevel3"/>
      <w:lvlText w:val=""/>
      <w:lvlJc w:val="left"/>
    </w:lvl>
    <w:lvl w:ilvl="3">
      <w:numFmt w:val="decimal"/>
      <w:pStyle w:val="ListNumberLevel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70D6688"/>
    <w:multiLevelType w:val="hybridMultilevel"/>
    <w:tmpl w:val="5F3E5A70"/>
    <w:lvl w:ilvl="0" w:tplc="0809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2">
    <w:nsid w:val="2AF76E7A"/>
    <w:multiLevelType w:val="singleLevel"/>
    <w:tmpl w:val="C74C5A32"/>
    <w:lvl w:ilvl="0">
      <w:numFmt w:val="decimal"/>
      <w:pStyle w:val="Bullet1"/>
      <w:lvlText w:val=""/>
      <w:lvlJc w:val="left"/>
    </w:lvl>
  </w:abstractNum>
  <w:abstractNum w:abstractNumId="23">
    <w:nsid w:val="2B75631B"/>
    <w:multiLevelType w:val="singleLevel"/>
    <w:tmpl w:val="A4DC141A"/>
    <w:lvl w:ilvl="0">
      <w:numFmt w:val="decimal"/>
      <w:pStyle w:val="ListBullet1"/>
      <w:lvlText w:val=""/>
      <w:lvlJc w:val="left"/>
    </w:lvl>
  </w:abstractNum>
  <w:abstractNum w:abstractNumId="24">
    <w:nsid w:val="2CAB4527"/>
    <w:multiLevelType w:val="multilevel"/>
    <w:tmpl w:val="26C24C12"/>
    <w:lvl w:ilvl="0">
      <w:numFmt w:val="decimal"/>
      <w:pStyle w:val="ListNumber3"/>
      <w:lvlText w:val=""/>
      <w:lvlJc w:val="left"/>
    </w:lvl>
    <w:lvl w:ilvl="1">
      <w:numFmt w:val="decimal"/>
      <w:pStyle w:val="ListNumber3Level2"/>
      <w:lvlText w:val=""/>
      <w:lvlJc w:val="left"/>
    </w:lvl>
    <w:lvl w:ilvl="2">
      <w:numFmt w:val="decimal"/>
      <w:pStyle w:val="ListNumber3Level3"/>
      <w:lvlText w:val=""/>
      <w:lvlJc w:val="left"/>
    </w:lvl>
    <w:lvl w:ilvl="3">
      <w:numFmt w:val="decimal"/>
      <w:pStyle w:val="ListNumber3Level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D293CE3"/>
    <w:multiLevelType w:val="multilevel"/>
    <w:tmpl w:val="8D7C4D2A"/>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3"/>
        </w:tabs>
        <w:ind w:left="953" w:hanging="477"/>
      </w:pPr>
      <w:rPr>
        <w:rFonts w:hint="default"/>
      </w:rPr>
    </w:lvl>
    <w:lvl w:ilvl="2">
      <w:start w:val="1"/>
      <w:numFmt w:val="lowerRoman"/>
      <w:pStyle w:val="LegalNumPar3"/>
      <w:lvlText w:val="%3."/>
      <w:lvlJc w:val="left"/>
      <w:pPr>
        <w:tabs>
          <w:tab w:val="num" w:pos="1429"/>
        </w:tabs>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ED84BD9"/>
    <w:multiLevelType w:val="hybridMultilevel"/>
    <w:tmpl w:val="0C9C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F7567BD"/>
    <w:multiLevelType w:val="hybridMultilevel"/>
    <w:tmpl w:val="F236C958"/>
    <w:lvl w:ilvl="0" w:tplc="BE2E7CB2">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09F7BBE"/>
    <w:multiLevelType w:val="hybridMultilevel"/>
    <w:tmpl w:val="027A660A"/>
    <w:lvl w:ilvl="0" w:tplc="217E480C">
      <w:start w:val="1"/>
      <w:numFmt w:val="bullet"/>
      <w:lvlText w:val="•"/>
      <w:lvlJc w:val="left"/>
      <w:pPr>
        <w:tabs>
          <w:tab w:val="num" w:pos="720"/>
        </w:tabs>
        <w:ind w:left="720" w:hanging="360"/>
      </w:pPr>
      <w:rPr>
        <w:rFonts w:ascii="Times New Roman" w:hAnsi="Times New Roman" w:hint="default"/>
      </w:rPr>
    </w:lvl>
    <w:lvl w:ilvl="1" w:tplc="61124670" w:tentative="1">
      <w:start w:val="1"/>
      <w:numFmt w:val="bullet"/>
      <w:lvlText w:val="•"/>
      <w:lvlJc w:val="left"/>
      <w:pPr>
        <w:tabs>
          <w:tab w:val="num" w:pos="1440"/>
        </w:tabs>
        <w:ind w:left="1440" w:hanging="360"/>
      </w:pPr>
      <w:rPr>
        <w:rFonts w:ascii="Times New Roman" w:hAnsi="Times New Roman" w:hint="default"/>
      </w:rPr>
    </w:lvl>
    <w:lvl w:ilvl="2" w:tplc="AE66FFA4" w:tentative="1">
      <w:start w:val="1"/>
      <w:numFmt w:val="bullet"/>
      <w:lvlText w:val="•"/>
      <w:lvlJc w:val="left"/>
      <w:pPr>
        <w:tabs>
          <w:tab w:val="num" w:pos="2160"/>
        </w:tabs>
        <w:ind w:left="2160" w:hanging="360"/>
      </w:pPr>
      <w:rPr>
        <w:rFonts w:ascii="Times New Roman" w:hAnsi="Times New Roman" w:hint="default"/>
      </w:rPr>
    </w:lvl>
    <w:lvl w:ilvl="3" w:tplc="0382E67C" w:tentative="1">
      <w:start w:val="1"/>
      <w:numFmt w:val="bullet"/>
      <w:lvlText w:val="•"/>
      <w:lvlJc w:val="left"/>
      <w:pPr>
        <w:tabs>
          <w:tab w:val="num" w:pos="2880"/>
        </w:tabs>
        <w:ind w:left="2880" w:hanging="360"/>
      </w:pPr>
      <w:rPr>
        <w:rFonts w:ascii="Times New Roman" w:hAnsi="Times New Roman" w:hint="default"/>
      </w:rPr>
    </w:lvl>
    <w:lvl w:ilvl="4" w:tplc="CBBEDCD2" w:tentative="1">
      <w:start w:val="1"/>
      <w:numFmt w:val="bullet"/>
      <w:lvlText w:val="•"/>
      <w:lvlJc w:val="left"/>
      <w:pPr>
        <w:tabs>
          <w:tab w:val="num" w:pos="3600"/>
        </w:tabs>
        <w:ind w:left="3600" w:hanging="360"/>
      </w:pPr>
      <w:rPr>
        <w:rFonts w:ascii="Times New Roman" w:hAnsi="Times New Roman" w:hint="default"/>
      </w:rPr>
    </w:lvl>
    <w:lvl w:ilvl="5" w:tplc="1BE2FBEA" w:tentative="1">
      <w:start w:val="1"/>
      <w:numFmt w:val="bullet"/>
      <w:lvlText w:val="•"/>
      <w:lvlJc w:val="left"/>
      <w:pPr>
        <w:tabs>
          <w:tab w:val="num" w:pos="4320"/>
        </w:tabs>
        <w:ind w:left="4320" w:hanging="360"/>
      </w:pPr>
      <w:rPr>
        <w:rFonts w:ascii="Times New Roman" w:hAnsi="Times New Roman" w:hint="default"/>
      </w:rPr>
    </w:lvl>
    <w:lvl w:ilvl="6" w:tplc="EDBE42C0" w:tentative="1">
      <w:start w:val="1"/>
      <w:numFmt w:val="bullet"/>
      <w:lvlText w:val="•"/>
      <w:lvlJc w:val="left"/>
      <w:pPr>
        <w:tabs>
          <w:tab w:val="num" w:pos="5040"/>
        </w:tabs>
        <w:ind w:left="5040" w:hanging="360"/>
      </w:pPr>
      <w:rPr>
        <w:rFonts w:ascii="Times New Roman" w:hAnsi="Times New Roman" w:hint="default"/>
      </w:rPr>
    </w:lvl>
    <w:lvl w:ilvl="7" w:tplc="0DDE61CE" w:tentative="1">
      <w:start w:val="1"/>
      <w:numFmt w:val="bullet"/>
      <w:lvlText w:val="•"/>
      <w:lvlJc w:val="left"/>
      <w:pPr>
        <w:tabs>
          <w:tab w:val="num" w:pos="5760"/>
        </w:tabs>
        <w:ind w:left="5760" w:hanging="360"/>
      </w:pPr>
      <w:rPr>
        <w:rFonts w:ascii="Times New Roman" w:hAnsi="Times New Roman" w:hint="default"/>
      </w:rPr>
    </w:lvl>
    <w:lvl w:ilvl="8" w:tplc="A7A4B364" w:tentative="1">
      <w:start w:val="1"/>
      <w:numFmt w:val="bullet"/>
      <w:lvlText w:val="•"/>
      <w:lvlJc w:val="left"/>
      <w:pPr>
        <w:tabs>
          <w:tab w:val="num" w:pos="6480"/>
        </w:tabs>
        <w:ind w:left="6480" w:hanging="360"/>
      </w:pPr>
      <w:rPr>
        <w:rFonts w:ascii="Times New Roman" w:hAnsi="Times New Roman" w:hint="default"/>
      </w:rPr>
    </w:lvl>
  </w:abstractNum>
  <w:abstractNum w:abstractNumId="29">
    <w:nsid w:val="32897D54"/>
    <w:multiLevelType w:val="hybridMultilevel"/>
    <w:tmpl w:val="BB5C5C7E"/>
    <w:lvl w:ilvl="0" w:tplc="0809000F">
      <w:numFmt w:val="decimal"/>
      <w:lvlText w:val=""/>
      <w:lvlJc w:val="left"/>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4293F3F"/>
    <w:multiLevelType w:val="singleLevel"/>
    <w:tmpl w:val="B074E4EC"/>
    <w:lvl w:ilvl="0">
      <w:numFmt w:val="decimal"/>
      <w:pStyle w:val="ListDash"/>
      <w:lvlText w:val=""/>
      <w:lvlJc w:val="left"/>
    </w:lvl>
  </w:abstractNum>
  <w:abstractNum w:abstractNumId="31">
    <w:nsid w:val="343E59FC"/>
    <w:multiLevelType w:val="hybridMultilevel"/>
    <w:tmpl w:val="CFFC80F8"/>
    <w:lvl w:ilvl="0" w:tplc="BE44C856">
      <w:start w:val="1"/>
      <w:numFmt w:val="lowerRoman"/>
      <w:lvlText w:val="(%1)"/>
      <w:lvlJc w:val="left"/>
      <w:pPr>
        <w:ind w:left="1353" w:hanging="360"/>
      </w:pPr>
      <w:rPr>
        <w:rFonts w:cs="Times New Roman"/>
      </w:rPr>
    </w:lvl>
    <w:lvl w:ilvl="1" w:tplc="08090019">
      <w:start w:val="1"/>
      <w:numFmt w:val="lowerLetter"/>
      <w:lvlText w:val="%2."/>
      <w:lvlJc w:val="left"/>
      <w:pPr>
        <w:ind w:left="1931" w:hanging="360"/>
      </w:pPr>
      <w:rPr>
        <w:rFonts w:cs="Times New Roman"/>
      </w:rPr>
    </w:lvl>
    <w:lvl w:ilvl="2" w:tplc="0809001B">
      <w:start w:val="1"/>
      <w:numFmt w:val="lowerRoman"/>
      <w:lvlText w:val="%3."/>
      <w:lvlJc w:val="right"/>
      <w:pPr>
        <w:ind w:left="2651" w:hanging="180"/>
      </w:pPr>
      <w:rPr>
        <w:rFonts w:cs="Times New Roman"/>
      </w:rPr>
    </w:lvl>
    <w:lvl w:ilvl="3" w:tplc="0809000F">
      <w:start w:val="1"/>
      <w:numFmt w:val="decimal"/>
      <w:lvlText w:val="%4."/>
      <w:lvlJc w:val="left"/>
      <w:pPr>
        <w:ind w:left="3371" w:hanging="360"/>
      </w:pPr>
      <w:rPr>
        <w:rFonts w:cs="Times New Roman"/>
      </w:rPr>
    </w:lvl>
    <w:lvl w:ilvl="4" w:tplc="08090019">
      <w:start w:val="1"/>
      <w:numFmt w:val="lowerLetter"/>
      <w:lvlText w:val="%5."/>
      <w:lvlJc w:val="left"/>
      <w:pPr>
        <w:ind w:left="4091" w:hanging="360"/>
      </w:pPr>
      <w:rPr>
        <w:rFonts w:cs="Times New Roman"/>
      </w:rPr>
    </w:lvl>
    <w:lvl w:ilvl="5" w:tplc="0809001B">
      <w:start w:val="1"/>
      <w:numFmt w:val="lowerRoman"/>
      <w:lvlText w:val="%6."/>
      <w:lvlJc w:val="right"/>
      <w:pPr>
        <w:ind w:left="4811" w:hanging="180"/>
      </w:pPr>
      <w:rPr>
        <w:rFonts w:cs="Times New Roman"/>
      </w:rPr>
    </w:lvl>
    <w:lvl w:ilvl="6" w:tplc="0809000F">
      <w:start w:val="1"/>
      <w:numFmt w:val="decimal"/>
      <w:lvlText w:val="%7."/>
      <w:lvlJc w:val="left"/>
      <w:pPr>
        <w:ind w:left="5531" w:hanging="360"/>
      </w:pPr>
      <w:rPr>
        <w:rFonts w:cs="Times New Roman"/>
      </w:rPr>
    </w:lvl>
    <w:lvl w:ilvl="7" w:tplc="08090019">
      <w:start w:val="1"/>
      <w:numFmt w:val="lowerLetter"/>
      <w:lvlText w:val="%8."/>
      <w:lvlJc w:val="left"/>
      <w:pPr>
        <w:ind w:left="6251" w:hanging="360"/>
      </w:pPr>
      <w:rPr>
        <w:rFonts w:cs="Times New Roman"/>
      </w:rPr>
    </w:lvl>
    <w:lvl w:ilvl="8" w:tplc="0809001B">
      <w:start w:val="1"/>
      <w:numFmt w:val="lowerRoman"/>
      <w:lvlText w:val="%9."/>
      <w:lvlJc w:val="right"/>
      <w:pPr>
        <w:ind w:left="6971" w:hanging="180"/>
      </w:pPr>
      <w:rPr>
        <w:rFonts w:cs="Times New Roman"/>
      </w:rPr>
    </w:lvl>
  </w:abstractNum>
  <w:abstractNum w:abstractNumId="32">
    <w:nsid w:val="358B6119"/>
    <w:multiLevelType w:val="multilevel"/>
    <w:tmpl w:val="A8BA546C"/>
    <w:lvl w:ilvl="0">
      <w:numFmt w:val="decimal"/>
      <w:pStyle w:val="ListNumber1"/>
      <w:lvlText w:val=""/>
      <w:lvlJc w:val="left"/>
    </w:lvl>
    <w:lvl w:ilvl="1">
      <w:numFmt w:val="decimal"/>
      <w:pStyle w:val="ListNumber1Level2"/>
      <w:lvlText w:val=""/>
      <w:lvlJc w:val="left"/>
    </w:lvl>
    <w:lvl w:ilvl="2">
      <w:numFmt w:val="decimal"/>
      <w:pStyle w:val="ListNumber1Level3"/>
      <w:lvlText w:val=""/>
      <w:lvlJc w:val="left"/>
    </w:lvl>
    <w:lvl w:ilvl="3">
      <w:numFmt w:val="decimal"/>
      <w:pStyle w:val="ListNumber1Level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98C6F57"/>
    <w:multiLevelType w:val="multilevel"/>
    <w:tmpl w:val="9822F168"/>
    <w:lvl w:ilvl="0">
      <w:start w:val="1"/>
      <w:numFmt w:val="decimal"/>
      <w:lvlText w:val="%1."/>
      <w:lvlJc w:val="left"/>
      <w:pPr>
        <w:tabs>
          <w:tab w:val="num" w:pos="851"/>
        </w:tabs>
        <w:ind w:left="851" w:hanging="851"/>
      </w:pPr>
      <w:rPr>
        <w:rFonts w:ascii="Times New Roman Bold" w:hAnsi="Times New Roman Bold" w:cs="Courier" w:hint="default"/>
        <w:b/>
        <w:bCs w:val="0"/>
        <w:i w:val="0"/>
        <w:caps w:val="0"/>
        <w:strike w:val="0"/>
        <w:dstrike w:val="0"/>
        <w:vanish w:val="0"/>
        <w:webHidden w:val="0"/>
        <w:color w:val="000000"/>
        <w:spacing w:val="0"/>
        <w:kern w:val="0"/>
        <w:position w:val="0"/>
        <w:sz w:val="24"/>
        <w:szCs w:val="24"/>
        <w:u w:val="none"/>
        <w:effect w:val="none"/>
        <w:vertAlign w:val="baseline"/>
        <w:specVanish w:val="0"/>
      </w:rPr>
    </w:lvl>
    <w:lvl w:ilvl="1">
      <w:start w:val="1"/>
      <w:numFmt w:val="decimal"/>
      <w:lvlText w:val="%1.%2"/>
      <w:lvlJc w:val="left"/>
      <w:pPr>
        <w:tabs>
          <w:tab w:val="num" w:pos="851"/>
        </w:tabs>
        <w:ind w:left="851" w:hanging="851"/>
      </w:pPr>
      <w:rPr>
        <w:rFonts w:ascii="Times New Roman Bold" w:hAnsi="Times New Roman Bold" w:cs="Courier" w:hint="default"/>
        <w:b/>
        <w:i w:val="0"/>
        <w:color w:val="auto"/>
        <w:sz w:val="24"/>
      </w:rPr>
    </w:lvl>
    <w:lvl w:ilvl="2">
      <w:start w:val="1"/>
      <w:numFmt w:val="decimal"/>
      <w:lvlText w:val="%1.%2.%3"/>
      <w:lvlJc w:val="left"/>
      <w:pPr>
        <w:tabs>
          <w:tab w:val="num" w:pos="851"/>
        </w:tabs>
        <w:ind w:left="851" w:hanging="851"/>
      </w:pPr>
      <w:rPr>
        <w:rFonts w:ascii="Times New Roman Bold" w:hAnsi="Times New Roman Bold" w:cs="Courier" w:hint="default"/>
        <w:b/>
        <w:i/>
        <w:sz w:val="24"/>
      </w:rPr>
    </w:lvl>
    <w:lvl w:ilvl="3">
      <w:start w:val="1"/>
      <w:numFmt w:val="decimal"/>
      <w:lvlText w:val="%1.%2.%3.%4"/>
      <w:lvlJc w:val="left"/>
      <w:pPr>
        <w:tabs>
          <w:tab w:val="num" w:pos="851"/>
        </w:tabs>
        <w:ind w:left="851" w:hanging="851"/>
      </w:pPr>
      <w:rPr>
        <w:rFonts w:ascii="Courier" w:hAnsi="Courier" w:cs="Courier" w:hint="default"/>
        <w:b w:val="0"/>
        <w:i/>
        <w:sz w:val="24"/>
      </w:rPr>
    </w:lvl>
    <w:lvl w:ilvl="4">
      <w:start w:val="1"/>
      <w:numFmt w:val="decimal"/>
      <w:lvlText w:val="%1.%2.%3.%4.%5"/>
      <w:lvlJc w:val="left"/>
      <w:pPr>
        <w:tabs>
          <w:tab w:val="num" w:pos="1008"/>
        </w:tabs>
        <w:ind w:left="1008" w:hanging="1008"/>
      </w:pPr>
      <w:rPr>
        <w:rFonts w:cs="Courier"/>
      </w:rPr>
    </w:lvl>
    <w:lvl w:ilvl="5">
      <w:start w:val="1"/>
      <w:numFmt w:val="decimal"/>
      <w:lvlText w:val="%1.%2.%3.%4.%5.%6"/>
      <w:lvlJc w:val="left"/>
      <w:pPr>
        <w:tabs>
          <w:tab w:val="num" w:pos="1152"/>
        </w:tabs>
        <w:ind w:left="1152" w:hanging="1152"/>
      </w:pPr>
      <w:rPr>
        <w:rFonts w:cs="Courier"/>
      </w:rPr>
    </w:lvl>
    <w:lvl w:ilvl="6">
      <w:start w:val="1"/>
      <w:numFmt w:val="decimal"/>
      <w:lvlText w:val="%1.%2.%3.%4.%5.%6.%7"/>
      <w:lvlJc w:val="left"/>
      <w:pPr>
        <w:tabs>
          <w:tab w:val="num" w:pos="1296"/>
        </w:tabs>
        <w:ind w:left="1296" w:hanging="1296"/>
      </w:pPr>
      <w:rPr>
        <w:rFonts w:cs="Courier"/>
      </w:rPr>
    </w:lvl>
    <w:lvl w:ilvl="7">
      <w:start w:val="1"/>
      <w:numFmt w:val="decimal"/>
      <w:lvlText w:val="%1.%2.%3.%4.%5.%6.%7.%8"/>
      <w:lvlJc w:val="left"/>
      <w:pPr>
        <w:tabs>
          <w:tab w:val="num" w:pos="1440"/>
        </w:tabs>
        <w:ind w:left="1440" w:hanging="1440"/>
      </w:pPr>
      <w:rPr>
        <w:rFonts w:cs="Courier"/>
      </w:rPr>
    </w:lvl>
    <w:lvl w:ilvl="8">
      <w:start w:val="1"/>
      <w:numFmt w:val="decimal"/>
      <w:lvlText w:val="%1.%2.%3.%4.%5.%6.%7.%8.%9"/>
      <w:lvlJc w:val="left"/>
      <w:pPr>
        <w:tabs>
          <w:tab w:val="num" w:pos="1584"/>
        </w:tabs>
        <w:ind w:left="1584" w:hanging="1584"/>
      </w:pPr>
      <w:rPr>
        <w:rFonts w:cs="Courier"/>
      </w:rPr>
    </w:lvl>
  </w:abstractNum>
  <w:abstractNum w:abstractNumId="34">
    <w:nsid w:val="3AFB6DC8"/>
    <w:multiLevelType w:val="singleLevel"/>
    <w:tmpl w:val="D97CFDF8"/>
    <w:lvl w:ilvl="0">
      <w:numFmt w:val="decimal"/>
      <w:pStyle w:val="ListBullet2"/>
      <w:lvlText w:val=""/>
      <w:lvlJc w:val="left"/>
    </w:lvl>
  </w:abstractNum>
  <w:abstractNum w:abstractNumId="35">
    <w:nsid w:val="3B4F780D"/>
    <w:multiLevelType w:val="multilevel"/>
    <w:tmpl w:val="B10E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CF00E18"/>
    <w:multiLevelType w:val="singleLevel"/>
    <w:tmpl w:val="4E1A982C"/>
    <w:lvl w:ilvl="0">
      <w:numFmt w:val="decimal"/>
      <w:pStyle w:val="ListBullet"/>
      <w:lvlText w:val=""/>
      <w:lvlJc w:val="left"/>
    </w:lvl>
  </w:abstractNum>
  <w:abstractNum w:abstractNumId="37">
    <w:nsid w:val="46113D4F"/>
    <w:multiLevelType w:val="singleLevel"/>
    <w:tmpl w:val="A3323CB8"/>
    <w:lvl w:ilvl="0">
      <w:numFmt w:val="decimal"/>
      <w:pStyle w:val="ListDash3"/>
      <w:lvlText w:val=""/>
      <w:lvlJc w:val="left"/>
    </w:lvl>
  </w:abstractNum>
  <w:abstractNum w:abstractNumId="38">
    <w:nsid w:val="46CC47E1"/>
    <w:multiLevelType w:val="hybridMultilevel"/>
    <w:tmpl w:val="A01C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96207CF"/>
    <w:multiLevelType w:val="multilevel"/>
    <w:tmpl w:val="601C6DB4"/>
    <w:lvl w:ilvl="0">
      <w:numFmt w:val="decimal"/>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ABD76B2"/>
    <w:multiLevelType w:val="multilevel"/>
    <w:tmpl w:val="601C6DB4"/>
    <w:lvl w:ilvl="0">
      <w:numFmt w:val="decimal"/>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4593082"/>
    <w:multiLevelType w:val="singleLevel"/>
    <w:tmpl w:val="EDE069AC"/>
    <w:name w:val="Bullet 1"/>
    <w:lvl w:ilvl="0">
      <w:numFmt w:val="decimal"/>
      <w:pStyle w:val="Bullet0"/>
      <w:lvlText w:val=""/>
      <w:lvlJc w:val="left"/>
    </w:lvl>
  </w:abstractNum>
  <w:abstractNum w:abstractNumId="42">
    <w:nsid w:val="54D10AB0"/>
    <w:multiLevelType w:val="singleLevel"/>
    <w:tmpl w:val="5B50620E"/>
    <w:lvl w:ilvl="0">
      <w:numFmt w:val="decimal"/>
      <w:pStyle w:val="ListDash4"/>
      <w:lvlText w:val=""/>
      <w:lvlJc w:val="left"/>
    </w:lvl>
  </w:abstractNum>
  <w:abstractNum w:abstractNumId="43">
    <w:nsid w:val="55BF3D2E"/>
    <w:multiLevelType w:val="hybridMultilevel"/>
    <w:tmpl w:val="8A66D5C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576B6C27"/>
    <w:multiLevelType w:val="hybridMultilevel"/>
    <w:tmpl w:val="D68EA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594B6127"/>
    <w:multiLevelType w:val="hybridMultilevel"/>
    <w:tmpl w:val="DD442056"/>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46">
    <w:nsid w:val="5B2C6F90"/>
    <w:multiLevelType w:val="hybridMultilevel"/>
    <w:tmpl w:val="591ACF9E"/>
    <w:lvl w:ilvl="0" w:tplc="BE2E7CB2">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E0D6286"/>
    <w:multiLevelType w:val="singleLevel"/>
    <w:tmpl w:val="B0567122"/>
    <w:lvl w:ilvl="0">
      <w:numFmt w:val="decimal"/>
      <w:pStyle w:val="ListDash2"/>
      <w:lvlText w:val=""/>
      <w:lvlJc w:val="left"/>
    </w:lvl>
  </w:abstractNum>
  <w:abstractNum w:abstractNumId="48">
    <w:nsid w:val="6057433F"/>
    <w:multiLevelType w:val="singleLevel"/>
    <w:tmpl w:val="3D5ECD48"/>
    <w:lvl w:ilvl="0">
      <w:numFmt w:val="decimal"/>
      <w:pStyle w:val="ListDash1"/>
      <w:lvlText w:val=""/>
      <w:lvlJc w:val="left"/>
    </w:lvl>
  </w:abstractNum>
  <w:abstractNum w:abstractNumId="49">
    <w:nsid w:val="620F2440"/>
    <w:multiLevelType w:val="singleLevel"/>
    <w:tmpl w:val="6860A420"/>
    <w:lvl w:ilvl="0">
      <w:numFmt w:val="decimal"/>
      <w:pStyle w:val="ListBullet3"/>
      <w:lvlText w:val=""/>
      <w:lvlJc w:val="left"/>
    </w:lvl>
  </w:abstractNum>
  <w:abstractNum w:abstractNumId="50">
    <w:nsid w:val="64987A49"/>
    <w:multiLevelType w:val="hybridMultilevel"/>
    <w:tmpl w:val="1E28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DF118C0"/>
    <w:multiLevelType w:val="singleLevel"/>
    <w:tmpl w:val="B90C8B88"/>
    <w:lvl w:ilvl="0">
      <w:numFmt w:val="decimal"/>
      <w:pStyle w:val="ListBullet4"/>
      <w:lvlText w:val=""/>
      <w:lvlJc w:val="left"/>
    </w:lvl>
  </w:abstractNum>
  <w:abstractNum w:abstractNumId="52">
    <w:nsid w:val="706B072C"/>
    <w:multiLevelType w:val="hybridMultilevel"/>
    <w:tmpl w:val="B7BC1D9E"/>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53">
    <w:nsid w:val="712144E3"/>
    <w:multiLevelType w:val="hybridMultilevel"/>
    <w:tmpl w:val="0FDE0F4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4">
    <w:nsid w:val="722304D7"/>
    <w:multiLevelType w:val="multilevel"/>
    <w:tmpl w:val="9DE2758E"/>
    <w:lvl w:ilvl="0">
      <w:numFmt w:val="decimal"/>
      <w:pStyle w:val="ListNumber4"/>
      <w:lvlText w:val=""/>
      <w:lvlJc w:val="left"/>
    </w:lvl>
    <w:lvl w:ilvl="1">
      <w:numFmt w:val="decimal"/>
      <w:pStyle w:val="ListNumber4Level2"/>
      <w:lvlText w:val=""/>
      <w:lvlJc w:val="left"/>
    </w:lvl>
    <w:lvl w:ilvl="2">
      <w:numFmt w:val="decimal"/>
      <w:pStyle w:val="ListNumber4Level3"/>
      <w:lvlText w:val=""/>
      <w:lvlJc w:val="left"/>
    </w:lvl>
    <w:lvl w:ilvl="3">
      <w:numFmt w:val="decimal"/>
      <w:pStyle w:val="ListNumber4Level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3362880"/>
    <w:multiLevelType w:val="hybridMultilevel"/>
    <w:tmpl w:val="D0D07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76783A2A"/>
    <w:multiLevelType w:val="hybridMultilevel"/>
    <w:tmpl w:val="3B44074E"/>
    <w:lvl w:ilvl="0" w:tplc="08090019">
      <w:start w:val="1"/>
      <w:numFmt w:val="lowerLetter"/>
      <w:lvlText w:val="%1."/>
      <w:lvlJc w:val="left"/>
      <w:pPr>
        <w:ind w:left="786" w:hanging="360"/>
      </w:p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57">
    <w:nsid w:val="76C40A01"/>
    <w:multiLevelType w:val="hybridMultilevel"/>
    <w:tmpl w:val="0CAC6F2C"/>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8">
    <w:nsid w:val="7CB20CD3"/>
    <w:multiLevelType w:val="hybridMultilevel"/>
    <w:tmpl w:val="85187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5"/>
  </w:num>
  <w:num w:numId="4">
    <w:abstractNumId w:val="36"/>
  </w:num>
  <w:num w:numId="5">
    <w:abstractNumId w:val="23"/>
  </w:num>
  <w:num w:numId="6">
    <w:abstractNumId w:val="34"/>
  </w:num>
  <w:num w:numId="7">
    <w:abstractNumId w:val="49"/>
  </w:num>
  <w:num w:numId="8">
    <w:abstractNumId w:val="51"/>
  </w:num>
  <w:num w:numId="9">
    <w:abstractNumId w:val="30"/>
  </w:num>
  <w:num w:numId="10">
    <w:abstractNumId w:val="48"/>
  </w:num>
  <w:num w:numId="11">
    <w:abstractNumId w:val="47"/>
  </w:num>
  <w:num w:numId="12">
    <w:abstractNumId w:val="37"/>
  </w:num>
  <w:num w:numId="13">
    <w:abstractNumId w:val="42"/>
  </w:num>
  <w:num w:numId="14">
    <w:abstractNumId w:val="20"/>
  </w:num>
  <w:num w:numId="15">
    <w:abstractNumId w:val="32"/>
  </w:num>
  <w:num w:numId="16">
    <w:abstractNumId w:val="12"/>
  </w:num>
  <w:num w:numId="17">
    <w:abstractNumId w:val="24"/>
  </w:num>
  <w:num w:numId="18">
    <w:abstractNumId w:val="54"/>
  </w:num>
  <w:num w:numId="19">
    <w:abstractNumId w:val="22"/>
  </w:num>
  <w:num w:numId="20">
    <w:abstractNumId w:val="10"/>
  </w:num>
  <w:num w:numId="21">
    <w:abstractNumId w:val="41"/>
  </w:num>
  <w:num w:numId="22">
    <w:abstractNumId w:val="57"/>
  </w:num>
  <w:num w:numId="23">
    <w:abstractNumId w:val="17"/>
  </w:num>
  <w:num w:numId="24">
    <w:abstractNumId w:val="17"/>
  </w:num>
  <w:num w:numId="25">
    <w:abstractNumId w:val="40"/>
  </w:num>
  <w:num w:numId="26">
    <w:abstractNumId w:val="15"/>
  </w:num>
  <w:num w:numId="27">
    <w:abstractNumId w:val="52"/>
  </w:num>
  <w:num w:numId="28">
    <w:abstractNumId w:val="18"/>
  </w:num>
  <w:num w:numId="29">
    <w:abstractNumId w:val="4"/>
  </w:num>
  <w:num w:numId="30">
    <w:abstractNumId w:val="39"/>
  </w:num>
  <w:num w:numId="31">
    <w:abstractNumId w:val="2"/>
  </w:num>
  <w:num w:numId="32">
    <w:abstractNumId w:val="9"/>
  </w:num>
  <w:num w:numId="33">
    <w:abstractNumId w:val="21"/>
  </w:num>
  <w:num w:numId="34">
    <w:abstractNumId w:val="19"/>
  </w:num>
  <w:num w:numId="35">
    <w:abstractNumId w:val="58"/>
  </w:num>
  <w:num w:numId="36">
    <w:abstractNumId w:val="28"/>
  </w:num>
  <w:num w:numId="37">
    <w:abstractNumId w:val="15"/>
  </w:num>
  <w:num w:numId="38">
    <w:abstractNumId w:val="8"/>
  </w:num>
  <w:num w:numId="39">
    <w:abstractNumId w:val="26"/>
  </w:num>
  <w:num w:numId="40">
    <w:abstractNumId w:val="13"/>
  </w:num>
  <w:num w:numId="41">
    <w:abstractNumId w:val="7"/>
  </w:num>
  <w:num w:numId="42">
    <w:abstractNumId w:val="11"/>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29"/>
  </w:num>
  <w:num w:numId="48">
    <w:abstractNumId w:val="15"/>
  </w:num>
  <w:num w:numId="49">
    <w:abstractNumId w:val="27"/>
  </w:num>
  <w:num w:numId="50">
    <w:abstractNumId w:val="46"/>
  </w:num>
  <w:num w:numId="51">
    <w:abstractNumId w:val="3"/>
  </w:num>
  <w:num w:numId="52">
    <w:abstractNumId w:val="45"/>
  </w:num>
  <w:num w:numId="53">
    <w:abstractNumId w:val="53"/>
  </w:num>
  <w:num w:numId="54">
    <w:abstractNumId w:val="6"/>
  </w:num>
  <w:num w:numId="55">
    <w:abstractNumId w:val="15"/>
  </w:num>
  <w:num w:numId="56">
    <w:abstractNumId w:val="16"/>
  </w:num>
  <w:num w:numId="57">
    <w:abstractNumId w:val="11"/>
  </w:num>
  <w:num w:numId="58">
    <w:abstractNumId w:val="50"/>
  </w:num>
  <w:num w:numId="59">
    <w:abstractNumId w:val="56"/>
  </w:num>
  <w:num w:numId="60">
    <w:abstractNumId w:val="55"/>
  </w:num>
  <w:num w:numId="61">
    <w:abstractNumId w:val="35"/>
  </w:num>
  <w:num w:numId="62">
    <w:abstractNumId w:val="43"/>
  </w:num>
  <w:num w:numId="63">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64">
    <w:abstractNumId w:val="15"/>
  </w:num>
  <w:num w:numId="65">
    <w:abstractNumId w:val="15"/>
    <w:lvlOverride w:ilvl="0">
      <w:startOverride w:val="8"/>
    </w:lvlOverride>
    <w:lvlOverride w:ilvl="1">
      <w:startOverride w:val="1"/>
    </w:lvlOverride>
    <w:lvlOverride w:ilvl="2"/>
    <w:lvlOverride w:ilvl="3"/>
    <w:lvlOverride w:ilvl="4"/>
    <w:lvlOverride w:ilvl="5"/>
    <w:lvlOverride w:ilvl="6"/>
    <w:lvlOverride w:ilvl="7"/>
    <w:lvlOverride w:ilvl="8"/>
  </w:num>
  <w:num w:numId="66">
    <w:abstractNumId w:val="15"/>
  </w:num>
  <w:num w:numId="67">
    <w:abstractNumId w:val="4"/>
  </w:num>
  <w:num w:numId="68">
    <w:abstractNumId w:val="4"/>
  </w:num>
  <w:num w:numId="69">
    <w:abstractNumId w:val="4"/>
  </w:num>
  <w:num w:numId="70">
    <w:abstractNumId w:val="15"/>
  </w:num>
  <w:num w:numId="71">
    <w:abstractNumId w:val="4"/>
  </w:num>
  <w:num w:numId="72">
    <w:abstractNumId w:val="15"/>
  </w:num>
  <w:num w:numId="73">
    <w:abstractNumId w:val="15"/>
  </w:num>
  <w:num w:numId="74">
    <w:abstractNumId w:val="15"/>
  </w:num>
  <w:num w:numId="75">
    <w:abstractNumId w:val="15"/>
  </w:num>
  <w:num w:numId="76">
    <w:abstractNumId w:val="15"/>
  </w:num>
  <w:num w:numId="77">
    <w:abstractNumId w:val="15"/>
  </w:num>
  <w:num w:numId="78">
    <w:abstractNumId w:val="15"/>
  </w:num>
  <w:num w:numId="79">
    <w:abstractNumId w:val="15"/>
  </w:num>
  <w:num w:numId="80">
    <w:abstractNumId w:val="15"/>
  </w:num>
  <w:num w:numId="81">
    <w:abstractNumId w:val="4"/>
  </w:num>
  <w:num w:numId="82">
    <w:abstractNumId w:val="15"/>
  </w:num>
  <w:num w:numId="83">
    <w:abstractNumId w:val="25"/>
  </w:num>
  <w:num w:numId="84">
    <w:abstractNumId w:val="25"/>
  </w:num>
  <w:num w:numId="85">
    <w:abstractNumId w:val="25"/>
  </w:num>
  <w:num w:numId="86">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87">
    <w:abstractNumId w:val="20"/>
  </w:num>
  <w:num w:numId="88">
    <w:abstractNumId w:val="20"/>
  </w:num>
  <w:num w:numId="89">
    <w:abstractNumId w:val="14"/>
  </w:num>
  <w:num w:numId="90">
    <w:abstractNumId w:val="3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ACCOMPAGNANT.CP" w:val="Accompanying the document"/>
    <w:docVar w:name="LW_CONFIDENCE" w:val=" "/>
    <w:docVar w:name="LW_CONST_RESTREINT_UE" w:val="RESTREINT UE"/>
    <w:docVar w:name="LW_CORRIGENDUM" w:val="&lt;UNUSED&gt;"/>
    <w:docVar w:name="LW_COVERPAGE_GUID" w:val="1B8D28752739457EA6BBB85F8F31D008"/>
    <w:docVar w:name="LW_CROSSREFERENCE" w:val="{COM(2016) 856 final}_x000b_{SWD(2016) 368 final}"/>
    <w:docVar w:name="LW_DocType" w:val="REP"/>
    <w:docVar w:name="LW_EMISSION" w:val="28.11.2016"/>
    <w:docVar w:name="LW_EMISSION_ISODATE" w:val="2016-11-28"/>
    <w:docVar w:name="LW_EMISSION_LOCATION" w:val="BRX"/>
    <w:docVar w:name="LW_EMISSION_PREFIX" w:val="Brussels, "/>
    <w:docVar w:name="LW_EMISSION_SUFFIX" w:val=" "/>
    <w:docVar w:name="LW_ID_DOCTYPE_NONLW" w:val="CP-027"/>
    <w:docVar w:name="LW_LANGUE" w:val="EN"/>
    <w:docVar w:name="LW_MARKING" w:val="&lt;UNUSED&gt;"/>
    <w:docVar w:name="LW_NOM.INST" w:val="EUROPEAN COMMISSION"/>
    <w:docVar w:name="LW_NOM.INST_JOINTDOC" w:val="&lt;EMPTY&gt;"/>
    <w:docVar w:name="LW_OBJETACTEPRINCIPAL.CP" w:val="on a framework for the recovery and resolution of central counterparties and amending Regulations (EU) No 1095/2010, (EU) No 648/2012, and (EU) 2015/2365   _x000b_"/>
    <w:docVar w:name="LW_PART_NBR" w:val="1"/>
    <w:docVar w:name="LW_PART_NBR_TOTAL" w:val="1"/>
    <w:docVar w:name="LW_REF.INST.NEW" w:val="SWD"/>
    <w:docVar w:name="LW_REF.INST.NEW_ADOPTED" w:val="final"/>
    <w:docVar w:name="LW_REF.INST.NEW_TEXT" w:val="(2016) 369"/>
    <w:docVar w:name="LW_REF.INTERNE" w:val="&lt;UNUSED&gt;"/>
    <w:docVar w:name="LW_SUPERTITRE" w:val="&lt;UNUSED&gt;"/>
    <w:docVar w:name="LW_TITRE.OBJ.CP" w:val="&lt;UNUSED&gt;"/>
    <w:docVar w:name="LW_TYPE.DOC.CP" w:val="COMMISSION STAFF WORKING DOCUMENT_x000b__x000b_EXECUTIVE SUMMARY OF THE IMPACT ASSESSMENT_x000b_"/>
    <w:docVar w:name="LW_TYPEACTEPRINCIPAL.CP" w:val="Proposal for a 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semiHidden="0" w:unhideWhenUsed="0"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64"/>
      </w:numPr>
      <w:spacing w:before="240"/>
      <w:outlineLvl w:val="0"/>
    </w:pPr>
    <w:rPr>
      <w:b/>
      <w:smallCaps/>
      <w:lang w:val="x-none" w:eastAsia="en-GB"/>
    </w:rPr>
  </w:style>
  <w:style w:type="paragraph" w:styleId="Heading2">
    <w:name w:val="heading 2"/>
    <w:basedOn w:val="Normal"/>
    <w:next w:val="Text2"/>
    <w:link w:val="Heading2Char"/>
    <w:qFormat/>
    <w:pPr>
      <w:keepNext/>
      <w:numPr>
        <w:ilvl w:val="1"/>
        <w:numId w:val="64"/>
      </w:numPr>
      <w:spacing w:line="276" w:lineRule="auto"/>
      <w:outlineLvl w:val="1"/>
    </w:pPr>
    <w:rPr>
      <w:b/>
      <w:bCs/>
      <w:lang w:val="x-none"/>
    </w:rPr>
  </w:style>
  <w:style w:type="paragraph" w:styleId="Heading3">
    <w:name w:val="heading 3"/>
    <w:basedOn w:val="Normal"/>
    <w:next w:val="Text3"/>
    <w:qFormat/>
    <w:pPr>
      <w:keepNext/>
      <w:numPr>
        <w:ilvl w:val="2"/>
        <w:numId w:val="64"/>
      </w:numPr>
      <w:outlineLvl w:val="2"/>
    </w:pPr>
    <w:rPr>
      <w:i/>
    </w:rPr>
  </w:style>
  <w:style w:type="paragraph" w:styleId="Heading4">
    <w:name w:val="heading 4"/>
    <w:basedOn w:val="Normal"/>
    <w:next w:val="Text4"/>
    <w:qFormat/>
    <w:pPr>
      <w:keepNext/>
      <w:numPr>
        <w:ilvl w:val="3"/>
        <w:numId w:val="64"/>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rPr>
      <w:sz w:val="20"/>
      <w:lang w:val="x-none"/>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val="x-none"/>
    </w:rPr>
  </w:style>
  <w:style w:type="paragraph" w:styleId="FootnoteText">
    <w:name w:val="footnote text"/>
    <w:aliases w:val="Footnote Text Char Char,Footnote,Fußnote,FSR footnote,lábléc,fn,Texto nota pie Car,notefranz,Footnote Text Char Char Char Char Char Char Char Char Char Char Char Char Char Char Char Char Char,Footnote Text Char1,Char"/>
    <w:basedOn w:val="Normal"/>
    <w:link w:val="FootnoteTextChar"/>
    <w:uiPriority w:val="99"/>
    <w:qFormat/>
    <w:pPr>
      <w:tabs>
        <w:tab w:val="left" w:pos="284"/>
      </w:tabs>
      <w:spacing w:after="0"/>
      <w:ind w:left="284" w:hanging="284"/>
    </w:pPr>
    <w:rPr>
      <w:sz w:val="20"/>
    </w:rPr>
  </w:style>
  <w:style w:type="paragraph" w:styleId="Header">
    <w:name w:val="header"/>
    <w:basedOn w:val="Normal"/>
    <w:link w:val="HeaderChar"/>
    <w:pPr>
      <w:tabs>
        <w:tab w:val="center" w:pos="4153"/>
        <w:tab w:val="right" w:pos="8306"/>
      </w:tabs>
    </w:pPr>
    <w:rPr>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rPr>
      <w:sz w:val="24"/>
      <w:lang w:eastAsia="en-US"/>
    </w:rPr>
  </w:style>
  <w:style w:type="paragraph" w:customStyle="1" w:styleId="Bullet1">
    <w:name w:val="Bullet 1"/>
    <w:basedOn w:val="Normal"/>
    <w:pPr>
      <w:numPr>
        <w:numId w:val="19"/>
      </w:numPr>
      <w:spacing w:before="120" w:after="120"/>
    </w:pPr>
    <w:rPr>
      <w:szCs w:val="24"/>
    </w:rPr>
  </w:style>
  <w:style w:type="paragraph" w:customStyle="1" w:styleId="Confidentialit">
    <w:name w:val="Confidentialité"/>
    <w:basedOn w:val="Normal"/>
    <w:next w:val="TypedudocumentPagedecouverture"/>
    <w:pPr>
      <w:spacing w:before="240"/>
      <w:ind w:left="5103"/>
    </w:pPr>
    <w:rPr>
      <w:i/>
      <w:sz w:val="32"/>
      <w:szCs w:val="24"/>
    </w:rPr>
  </w:style>
  <w:style w:type="paragraph" w:customStyle="1" w:styleId="Emission">
    <w:name w:val="Emission"/>
    <w:basedOn w:val="Normal"/>
    <w:next w:val="Normal"/>
    <w:pPr>
      <w:spacing w:after="0"/>
      <w:ind w:left="5103"/>
      <w:jc w:val="left"/>
    </w:pPr>
    <w:rPr>
      <w:szCs w:val="24"/>
    </w:rPr>
  </w:style>
  <w:style w:type="paragraph" w:customStyle="1" w:styleId="Nomdelinstitution">
    <w:name w:val="Nom de l'institution"/>
    <w:basedOn w:val="Normal"/>
    <w:next w:val="Emission"/>
    <w:pPr>
      <w:spacing w:after="0"/>
      <w:jc w:val="left"/>
    </w:pPr>
    <w:rPr>
      <w:rFonts w:ascii="Arial" w:hAnsi="Arial" w:cs="Arial"/>
      <w:szCs w:val="24"/>
    </w:rPr>
  </w:style>
  <w:style w:type="paragraph" w:customStyle="1" w:styleId="Pagedecouverture">
    <w:name w:val="Page de couverture"/>
    <w:basedOn w:val="Normal"/>
    <w:next w:val="Normal"/>
    <w:pPr>
      <w:spacing w:before="120" w:after="120"/>
    </w:pPr>
    <w:rPr>
      <w:szCs w:val="24"/>
    </w:rPr>
  </w:style>
  <w:style w:type="paragraph" w:customStyle="1" w:styleId="TypedudocumentPagedecouverture">
    <w:name w:val="Type du document (Page de couverture)"/>
    <w:basedOn w:val="Normal"/>
    <w:next w:val="Normal"/>
    <w:pPr>
      <w:spacing w:before="360" w:after="0"/>
      <w:jc w:val="center"/>
    </w:pPr>
    <w:rPr>
      <w:b/>
      <w:szCs w:val="24"/>
    </w:rPr>
  </w:style>
  <w:style w:type="paragraph" w:customStyle="1" w:styleId="Prliminairetype">
    <w:name w:val="Préliminaire type"/>
    <w:basedOn w:val="Normal"/>
    <w:next w:val="Normal"/>
    <w:pPr>
      <w:spacing w:before="360" w:after="0"/>
      <w:jc w:val="center"/>
    </w:pPr>
    <w:rPr>
      <w:b/>
      <w:szCs w:val="24"/>
      <w:lang w:eastAsia="de-DE"/>
    </w:rPr>
  </w:style>
  <w:style w:type="paragraph" w:customStyle="1" w:styleId="Rfrenceinstitutionelle">
    <w:name w:val="Référence institutionelle"/>
    <w:basedOn w:val="Normal"/>
    <w:next w:val="Normal"/>
    <w:pPr>
      <w:ind w:left="5103"/>
      <w:jc w:val="left"/>
    </w:pPr>
    <w:rPr>
      <w:szCs w:val="24"/>
      <w:lang w:eastAsia="de-DE"/>
    </w:rPr>
  </w:style>
  <w:style w:type="character" w:styleId="Hyperlink">
    <w:name w:val="Hyperlink"/>
    <w:uiPriority w:val="99"/>
    <w:rPr>
      <w:rFonts w:cs="Times New Roman"/>
      <w:color w:val="0000FF"/>
      <w:u w:val="single"/>
      <w:shd w:val="clear" w:color="auto" w:fill="auto"/>
    </w:rPr>
  </w:style>
  <w:style w:type="numbering" w:styleId="111111">
    <w:name w:val="Outline List 2"/>
    <w:basedOn w:val="NoList"/>
    <w:pPr>
      <w:numPr>
        <w:numId w:val="20"/>
      </w:numPr>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Marker">
    <w:name w:val="Marker"/>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Pr>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link w:val="HeaderCoverPage"/>
    <w:rPr>
      <w:sz w:val="24"/>
      <w:lang w:eastAsia="en-US"/>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rPr>
      <w:vertAlign w:val="superscript"/>
    </w:rPr>
  </w:style>
  <w:style w:type="paragraph" w:customStyle="1" w:styleId="Bullet0">
    <w:name w:val="Bullet 0"/>
    <w:basedOn w:val="Normal"/>
    <w:pPr>
      <w:numPr>
        <w:numId w:val="21"/>
      </w:numPr>
      <w:spacing w:before="120" w:after="120"/>
    </w:pPr>
    <w:rPr>
      <w:szCs w:val="24"/>
    </w:rPr>
  </w:style>
  <w:style w:type="character" w:customStyle="1" w:styleId="FootnoteTextChar">
    <w:name w:val="Footnote Text Char"/>
    <w:aliases w:val="Footnote Text Char Char Char,Footnote Char,Fußnote Char,FSR footnote Char,lábléc Char,fn Char,Texto nota pie Car Char,notefranz Char,Footnote Text Char1 Char,Char Char1"/>
    <w:link w:val="FootnoteText"/>
    <w:uiPriority w:val="99"/>
    <w:rPr>
      <w:lang w:eastAsia="en-US"/>
    </w:rPr>
  </w:style>
  <w:style w:type="character" w:styleId="FollowedHyperlink">
    <w:name w:val="FollowedHyperlink"/>
    <w:uiPriority w:val="99"/>
    <w:semiHidden/>
    <w:unhideWhenUsed/>
    <w:rPr>
      <w:color w:val="800080"/>
      <w:u w:val="single"/>
    </w:rPr>
  </w:style>
  <w:style w:type="character" w:styleId="CommentReference">
    <w:name w:val="annotation reference"/>
    <w:uiPriority w:val="99"/>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uiPriority w:val="99"/>
    <w:rPr>
      <w:lang w:eastAsia="en-US"/>
    </w:rPr>
  </w:style>
  <w:style w:type="character" w:customStyle="1" w:styleId="CommentSubjectChar">
    <w:name w:val="Comment Subject Char"/>
    <w:link w:val="CommentSubject"/>
    <w:uiPriority w:val="99"/>
    <w:semiHidden/>
    <w:rPr>
      <w:b/>
      <w:bCs/>
      <w:lang w:eastAsia="en-US"/>
    </w:rPr>
  </w:style>
  <w:style w:type="paragraph" w:customStyle="1" w:styleId="CM1">
    <w:name w:val="CM1"/>
    <w:basedOn w:val="Normal"/>
    <w:next w:val="Normal"/>
    <w:uiPriority w:val="99"/>
    <w:pPr>
      <w:autoSpaceDE w:val="0"/>
      <w:autoSpaceDN w:val="0"/>
      <w:adjustRightInd w:val="0"/>
      <w:spacing w:after="0"/>
      <w:jc w:val="left"/>
    </w:pPr>
    <w:rPr>
      <w:rFonts w:ascii="EUAlbertina" w:hAnsi="EUAlbertina"/>
      <w:szCs w:val="24"/>
      <w:lang w:val="fr-FR" w:eastAsia="fr-FR"/>
    </w:rPr>
  </w:style>
  <w:style w:type="paragraph" w:customStyle="1" w:styleId="CM3">
    <w:name w:val="CM3"/>
    <w:basedOn w:val="Normal"/>
    <w:next w:val="Normal"/>
    <w:uiPriority w:val="99"/>
    <w:pPr>
      <w:autoSpaceDE w:val="0"/>
      <w:autoSpaceDN w:val="0"/>
      <w:adjustRightInd w:val="0"/>
      <w:spacing w:after="0"/>
      <w:jc w:val="left"/>
    </w:pPr>
    <w:rPr>
      <w:rFonts w:ascii="EUAlbertina" w:hAnsi="EUAlbertina"/>
      <w:szCs w:val="24"/>
      <w:lang w:val="fr-FR" w:eastAsia="fr-FR"/>
    </w:rPr>
  </w:style>
  <w:style w:type="character" w:customStyle="1" w:styleId="Heading1Char">
    <w:name w:val="Heading 1 Char"/>
    <w:link w:val="Heading1"/>
    <w:rPr>
      <w:b/>
      <w:smallCaps/>
      <w:sz w:val="24"/>
      <w:lang w:val="x-none"/>
    </w:rPr>
  </w:style>
  <w:style w:type="paragraph" w:customStyle="1" w:styleId="ColorfulList-Accent11">
    <w:name w:val="Colorful List - Accent 11"/>
    <w:basedOn w:val="CommentText"/>
    <w:qFormat/>
    <w:pPr>
      <w:spacing w:before="120" w:after="120"/>
    </w:pPr>
    <w:rPr>
      <w:sz w:val="24"/>
      <w:szCs w:val="24"/>
      <w:lang w:val="en-GB"/>
    </w:rPr>
  </w:style>
  <w:style w:type="character" w:customStyle="1" w:styleId="Heading2Char">
    <w:name w:val="Heading 2 Char"/>
    <w:link w:val="Heading2"/>
    <w:rPr>
      <w:b/>
      <w:bCs/>
      <w:sz w:val="24"/>
      <w:lang w:val="x-none" w:eastAsia="en-US"/>
    </w:rPr>
  </w:style>
  <w:style w:type="character" w:customStyle="1" w:styleId="BookTitle1">
    <w:name w:val="Book Title1"/>
    <w:uiPriority w:val="33"/>
    <w:qFormat/>
    <w:rPr>
      <w:b/>
      <w:bCs/>
      <w:smallCaps/>
      <w:spacing w:val="5"/>
    </w:rPr>
  </w:style>
  <w:style w:type="character" w:styleId="EndnoteReference">
    <w:name w:val="endnote reference"/>
    <w:uiPriority w:val="99"/>
    <w:semiHidden/>
    <w:unhideWhenUsed/>
    <w:rPr>
      <w:vertAlign w:val="superscript"/>
    </w:rPr>
  </w:style>
  <w:style w:type="paragraph" w:customStyle="1" w:styleId="Default">
    <w:name w:val="Default"/>
    <w:pPr>
      <w:autoSpaceDE w:val="0"/>
      <w:autoSpaceDN w:val="0"/>
      <w:adjustRightInd w:val="0"/>
    </w:pPr>
    <w:rPr>
      <w:color w:val="000000"/>
      <w:sz w:val="24"/>
      <w:szCs w:val="24"/>
    </w:rPr>
  </w:style>
  <w:style w:type="paragraph" w:styleId="NormalWeb">
    <w:name w:val="Normal (Web)"/>
    <w:basedOn w:val="Normal"/>
    <w:uiPriority w:val="99"/>
    <w:semiHidden/>
    <w:unhideWhenUsed/>
    <w:rPr>
      <w:szCs w:val="24"/>
    </w:rPr>
  </w:style>
  <w:style w:type="paragraph" w:styleId="ListParagraph">
    <w:name w:val="List Paragraph"/>
    <w:basedOn w:val="Normal"/>
    <w:uiPriority w:val="34"/>
    <w:qFormat/>
    <w:pPr>
      <w:ind w:left="720"/>
    </w:pPr>
  </w:style>
  <w:style w:type="character" w:styleId="Strong">
    <w:name w:val="Strong"/>
    <w:uiPriority w:val="22"/>
    <w:qFormat/>
    <w:rPr>
      <w:b/>
      <w:bCs/>
    </w:rPr>
  </w:style>
  <w:style w:type="character" w:styleId="Emphasis">
    <w:name w:val="Emphasis"/>
    <w:uiPriority w:val="20"/>
    <w:qFormat/>
    <w:rPr>
      <w:rFonts w:ascii="Times New Roman" w:hAnsi="Times New Roman" w:cs="Times New Roman" w:hint="default"/>
      <w:i w:val="0"/>
      <w:iCs w:val="0"/>
    </w:rPr>
  </w:style>
  <w:style w:type="character" w:customStyle="1" w:styleId="FootnoteTextChar2">
    <w:name w:val="Footnote Text Char2"/>
    <w:aliases w:val="Footnote Text Char Char Char1,Footnote Char1,Fußnote Char1,FSR footnote Char1,lábléc Char1,fn Char1,Texto nota pie Car Char1,notefranz Char1,Footnote Text Char1 Char1,Char Char"/>
    <w:uiPriority w:val="99"/>
    <w:semiHidden/>
    <w:locked/>
    <w:rPr>
      <w:sz w:val="18"/>
    </w:rPr>
  </w:style>
  <w:style w:type="paragraph" w:customStyle="1" w:styleId="IndentedHeading4">
    <w:name w:val="Indented Heading 4"/>
    <w:basedOn w:val="Heading4"/>
    <w:next w:val="Normal"/>
    <w:pPr>
      <w:numPr>
        <w:numId w:val="42"/>
      </w:numPr>
      <w:tabs>
        <w:tab w:val="clear" w:pos="3447"/>
        <w:tab w:val="num" w:pos="360"/>
        <w:tab w:val="num" w:pos="851"/>
      </w:tabs>
      <w:spacing w:before="120" w:after="120" w:line="300" w:lineRule="exact"/>
      <w:ind w:left="851" w:hanging="851"/>
    </w:pPr>
    <w:rPr>
      <w:rFonts w:eastAsia="MS Mincho" w:cs="Arial"/>
      <w:i/>
      <w:iCs/>
      <w:szCs w:val="16"/>
    </w:rPr>
  </w:style>
  <w:style w:type="paragraph" w:customStyle="1" w:styleId="IndentedHeading2">
    <w:name w:val="Indented Heading 2"/>
    <w:basedOn w:val="Heading2"/>
    <w:next w:val="Normal"/>
    <w:pPr>
      <w:numPr>
        <w:numId w:val="42"/>
      </w:numPr>
      <w:tabs>
        <w:tab w:val="clear" w:pos="2007"/>
        <w:tab w:val="num" w:pos="360"/>
        <w:tab w:val="num" w:pos="851"/>
      </w:tabs>
      <w:spacing w:before="360" w:after="120" w:line="300" w:lineRule="exact"/>
      <w:ind w:left="851" w:hanging="851"/>
    </w:pPr>
    <w:rPr>
      <w:rFonts w:eastAsia="MS Mincho" w:cs="Arial"/>
      <w:iCs/>
      <w:szCs w:val="28"/>
      <w:lang w:val="en-GB"/>
    </w:rPr>
  </w:style>
  <w:style w:type="paragraph" w:customStyle="1" w:styleId="IndentedHeading3">
    <w:name w:val="Indented Heading 3"/>
    <w:basedOn w:val="Heading3"/>
    <w:next w:val="Normal"/>
    <w:pPr>
      <w:numPr>
        <w:numId w:val="42"/>
      </w:numPr>
      <w:tabs>
        <w:tab w:val="clear" w:pos="2727"/>
        <w:tab w:val="num" w:pos="360"/>
        <w:tab w:val="num" w:pos="851"/>
      </w:tabs>
      <w:spacing w:before="240" w:after="120" w:line="300" w:lineRule="exact"/>
      <w:ind w:left="851" w:hanging="851"/>
    </w:pPr>
    <w:rPr>
      <w:rFonts w:eastAsia="MS Mincho" w:cs="Arial"/>
      <w:b/>
      <w:bCs/>
      <w:iCs/>
      <w:szCs w:val="26"/>
    </w:rPr>
  </w:style>
  <w:style w:type="character" w:customStyle="1" w:styleId="BulletChar">
    <w:name w:val="Bullet Char"/>
    <w:link w:val="Bullet"/>
    <w:locked/>
    <w:rPr>
      <w:sz w:val="24"/>
    </w:rPr>
  </w:style>
  <w:style w:type="paragraph" w:customStyle="1" w:styleId="Bullet">
    <w:name w:val="Bullet"/>
    <w:basedOn w:val="Normal"/>
    <w:link w:val="BulletChar"/>
    <w:pPr>
      <w:numPr>
        <w:numId w:val="42"/>
      </w:numPr>
      <w:spacing w:after="120" w:line="300" w:lineRule="exact"/>
    </w:pPr>
    <w:rPr>
      <w:lang w:eastAsia="en-GB"/>
    </w:rPr>
  </w:style>
  <w:style w:type="paragraph" w:styleId="Revision">
    <w:name w:val="Revision"/>
    <w:hidden/>
    <w:uiPriority w:val="99"/>
    <w:semiHidden/>
    <w:rPr>
      <w:sz w:val="24"/>
      <w:lang w:eastAsia="en-US"/>
    </w:rPr>
  </w:style>
  <w:style w:type="character" w:customStyle="1" w:styleId="FootnoteCharacters">
    <w:name w:val="Footnote Characters"/>
    <w:rPr>
      <w:vertAlign w:val="superscript"/>
    </w:rPr>
  </w:style>
  <w:style w:type="paragraph" w:customStyle="1" w:styleId="TOCHeading10">
    <w:name w:val="TOC Heading1"/>
    <w:basedOn w:val="Normal"/>
    <w:next w:val="Normal"/>
    <w:qFormat/>
    <w:pPr>
      <w:keepNext/>
      <w:spacing w:before="240"/>
      <w:jc w:val="center"/>
    </w:pPr>
    <w:rPr>
      <w:b/>
    </w:rPr>
  </w:style>
  <w:style w:type="character" w:customStyle="1" w:styleId="BookTitle10">
    <w:name w:val="Book Title1"/>
    <w:uiPriority w:val="33"/>
    <w:qFormat/>
    <w:rPr>
      <w:b/>
      <w:bCs/>
      <w:smallCaps/>
      <w:spacing w:val="5"/>
    </w:rPr>
  </w:style>
  <w:style w:type="character" w:customStyle="1" w:styleId="affairetitle">
    <w:name w:val="affaire_title"/>
    <w:basedOn w:val="DefaultParagraphFont"/>
  </w:style>
  <w:style w:type="paragraph" w:customStyle="1" w:styleId="LegalNumPar">
    <w:name w:val="LegalNumPar"/>
    <w:basedOn w:val="Normal"/>
    <w:pPr>
      <w:numPr>
        <w:numId w:val="85"/>
      </w:numPr>
    </w:pPr>
  </w:style>
  <w:style w:type="paragraph" w:customStyle="1" w:styleId="LegalNumPar2">
    <w:name w:val="LegalNumPar2"/>
    <w:basedOn w:val="Normal"/>
    <w:pPr>
      <w:numPr>
        <w:ilvl w:val="1"/>
        <w:numId w:val="85"/>
      </w:numPr>
    </w:pPr>
  </w:style>
  <w:style w:type="paragraph" w:customStyle="1" w:styleId="LegalNumPar3">
    <w:name w:val="LegalNumPar3"/>
    <w:basedOn w:val="Normal"/>
    <w:pPr>
      <w:numPr>
        <w:ilvl w:val="2"/>
        <w:numId w:val="85"/>
      </w:numPr>
    </w:pPr>
  </w:style>
  <w:style w:type="character" w:styleId="LineNumber">
    <w:name w:val="line number"/>
    <w:basedOn w:val="DefaultParagraphFon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semiHidden="0" w:unhideWhenUsed="0"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64"/>
      </w:numPr>
      <w:spacing w:before="240"/>
      <w:outlineLvl w:val="0"/>
    </w:pPr>
    <w:rPr>
      <w:b/>
      <w:smallCaps/>
      <w:lang w:val="x-none" w:eastAsia="en-GB"/>
    </w:rPr>
  </w:style>
  <w:style w:type="paragraph" w:styleId="Heading2">
    <w:name w:val="heading 2"/>
    <w:basedOn w:val="Normal"/>
    <w:next w:val="Text2"/>
    <w:link w:val="Heading2Char"/>
    <w:qFormat/>
    <w:pPr>
      <w:keepNext/>
      <w:numPr>
        <w:ilvl w:val="1"/>
        <w:numId w:val="64"/>
      </w:numPr>
      <w:spacing w:line="276" w:lineRule="auto"/>
      <w:outlineLvl w:val="1"/>
    </w:pPr>
    <w:rPr>
      <w:b/>
      <w:bCs/>
      <w:lang w:val="x-none"/>
    </w:rPr>
  </w:style>
  <w:style w:type="paragraph" w:styleId="Heading3">
    <w:name w:val="heading 3"/>
    <w:basedOn w:val="Normal"/>
    <w:next w:val="Text3"/>
    <w:qFormat/>
    <w:pPr>
      <w:keepNext/>
      <w:numPr>
        <w:ilvl w:val="2"/>
        <w:numId w:val="64"/>
      </w:numPr>
      <w:outlineLvl w:val="2"/>
    </w:pPr>
    <w:rPr>
      <w:i/>
    </w:rPr>
  </w:style>
  <w:style w:type="paragraph" w:styleId="Heading4">
    <w:name w:val="heading 4"/>
    <w:basedOn w:val="Normal"/>
    <w:next w:val="Text4"/>
    <w:qFormat/>
    <w:pPr>
      <w:keepNext/>
      <w:numPr>
        <w:ilvl w:val="3"/>
        <w:numId w:val="64"/>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rPr>
      <w:sz w:val="20"/>
      <w:lang w:val="x-none"/>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val="x-none"/>
    </w:rPr>
  </w:style>
  <w:style w:type="paragraph" w:styleId="FootnoteText">
    <w:name w:val="footnote text"/>
    <w:aliases w:val="Footnote Text Char Char,Footnote,Fußnote,FSR footnote,lábléc,fn,Texto nota pie Car,notefranz,Footnote Text Char Char Char Char Char Char Char Char Char Char Char Char Char Char Char Char Char,Footnote Text Char1,Char"/>
    <w:basedOn w:val="Normal"/>
    <w:link w:val="FootnoteTextChar"/>
    <w:uiPriority w:val="99"/>
    <w:qFormat/>
    <w:pPr>
      <w:tabs>
        <w:tab w:val="left" w:pos="284"/>
      </w:tabs>
      <w:spacing w:after="0"/>
      <w:ind w:left="284" w:hanging="284"/>
    </w:pPr>
    <w:rPr>
      <w:sz w:val="20"/>
    </w:rPr>
  </w:style>
  <w:style w:type="paragraph" w:styleId="Header">
    <w:name w:val="header"/>
    <w:basedOn w:val="Normal"/>
    <w:link w:val="HeaderChar"/>
    <w:pPr>
      <w:tabs>
        <w:tab w:val="center" w:pos="4153"/>
        <w:tab w:val="right" w:pos="8306"/>
      </w:tabs>
    </w:pPr>
    <w:rPr>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rPr>
      <w:sz w:val="24"/>
      <w:lang w:eastAsia="en-US"/>
    </w:rPr>
  </w:style>
  <w:style w:type="paragraph" w:customStyle="1" w:styleId="Bullet1">
    <w:name w:val="Bullet 1"/>
    <w:basedOn w:val="Normal"/>
    <w:pPr>
      <w:numPr>
        <w:numId w:val="19"/>
      </w:numPr>
      <w:spacing w:before="120" w:after="120"/>
    </w:pPr>
    <w:rPr>
      <w:szCs w:val="24"/>
    </w:rPr>
  </w:style>
  <w:style w:type="paragraph" w:customStyle="1" w:styleId="Confidentialit">
    <w:name w:val="Confidentialité"/>
    <w:basedOn w:val="Normal"/>
    <w:next w:val="TypedudocumentPagedecouverture"/>
    <w:pPr>
      <w:spacing w:before="240"/>
      <w:ind w:left="5103"/>
    </w:pPr>
    <w:rPr>
      <w:i/>
      <w:sz w:val="32"/>
      <w:szCs w:val="24"/>
    </w:rPr>
  </w:style>
  <w:style w:type="paragraph" w:customStyle="1" w:styleId="Emission">
    <w:name w:val="Emission"/>
    <w:basedOn w:val="Normal"/>
    <w:next w:val="Normal"/>
    <w:pPr>
      <w:spacing w:after="0"/>
      <w:ind w:left="5103"/>
      <w:jc w:val="left"/>
    </w:pPr>
    <w:rPr>
      <w:szCs w:val="24"/>
    </w:rPr>
  </w:style>
  <w:style w:type="paragraph" w:customStyle="1" w:styleId="Nomdelinstitution">
    <w:name w:val="Nom de l'institution"/>
    <w:basedOn w:val="Normal"/>
    <w:next w:val="Emission"/>
    <w:pPr>
      <w:spacing w:after="0"/>
      <w:jc w:val="left"/>
    </w:pPr>
    <w:rPr>
      <w:rFonts w:ascii="Arial" w:hAnsi="Arial" w:cs="Arial"/>
      <w:szCs w:val="24"/>
    </w:rPr>
  </w:style>
  <w:style w:type="paragraph" w:customStyle="1" w:styleId="Pagedecouverture">
    <w:name w:val="Page de couverture"/>
    <w:basedOn w:val="Normal"/>
    <w:next w:val="Normal"/>
    <w:pPr>
      <w:spacing w:before="120" w:after="120"/>
    </w:pPr>
    <w:rPr>
      <w:szCs w:val="24"/>
    </w:rPr>
  </w:style>
  <w:style w:type="paragraph" w:customStyle="1" w:styleId="TypedudocumentPagedecouverture">
    <w:name w:val="Type du document (Page de couverture)"/>
    <w:basedOn w:val="Normal"/>
    <w:next w:val="Normal"/>
    <w:pPr>
      <w:spacing w:before="360" w:after="0"/>
      <w:jc w:val="center"/>
    </w:pPr>
    <w:rPr>
      <w:b/>
      <w:szCs w:val="24"/>
    </w:rPr>
  </w:style>
  <w:style w:type="paragraph" w:customStyle="1" w:styleId="Prliminairetype">
    <w:name w:val="Préliminaire type"/>
    <w:basedOn w:val="Normal"/>
    <w:next w:val="Normal"/>
    <w:pPr>
      <w:spacing w:before="360" w:after="0"/>
      <w:jc w:val="center"/>
    </w:pPr>
    <w:rPr>
      <w:b/>
      <w:szCs w:val="24"/>
      <w:lang w:eastAsia="de-DE"/>
    </w:rPr>
  </w:style>
  <w:style w:type="paragraph" w:customStyle="1" w:styleId="Rfrenceinstitutionelle">
    <w:name w:val="Référence institutionelle"/>
    <w:basedOn w:val="Normal"/>
    <w:next w:val="Normal"/>
    <w:pPr>
      <w:ind w:left="5103"/>
      <w:jc w:val="left"/>
    </w:pPr>
    <w:rPr>
      <w:szCs w:val="24"/>
      <w:lang w:eastAsia="de-DE"/>
    </w:rPr>
  </w:style>
  <w:style w:type="character" w:styleId="Hyperlink">
    <w:name w:val="Hyperlink"/>
    <w:uiPriority w:val="99"/>
    <w:rPr>
      <w:rFonts w:cs="Times New Roman"/>
      <w:color w:val="0000FF"/>
      <w:u w:val="single"/>
      <w:shd w:val="clear" w:color="auto" w:fill="auto"/>
    </w:rPr>
  </w:style>
  <w:style w:type="numbering" w:styleId="111111">
    <w:name w:val="Outline List 2"/>
    <w:basedOn w:val="NoList"/>
    <w:pPr>
      <w:numPr>
        <w:numId w:val="20"/>
      </w:numPr>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Marker">
    <w:name w:val="Marker"/>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Pr>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link w:val="HeaderCoverPage"/>
    <w:rPr>
      <w:sz w:val="24"/>
      <w:lang w:eastAsia="en-US"/>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rPr>
      <w:vertAlign w:val="superscript"/>
    </w:rPr>
  </w:style>
  <w:style w:type="paragraph" w:customStyle="1" w:styleId="Bullet0">
    <w:name w:val="Bullet 0"/>
    <w:basedOn w:val="Normal"/>
    <w:pPr>
      <w:numPr>
        <w:numId w:val="21"/>
      </w:numPr>
      <w:spacing w:before="120" w:after="120"/>
    </w:pPr>
    <w:rPr>
      <w:szCs w:val="24"/>
    </w:rPr>
  </w:style>
  <w:style w:type="character" w:customStyle="1" w:styleId="FootnoteTextChar">
    <w:name w:val="Footnote Text Char"/>
    <w:aliases w:val="Footnote Text Char Char Char,Footnote Char,Fußnote Char,FSR footnote Char,lábléc Char,fn Char,Texto nota pie Car Char,notefranz Char,Footnote Text Char1 Char,Char Char1"/>
    <w:link w:val="FootnoteText"/>
    <w:uiPriority w:val="99"/>
    <w:rPr>
      <w:lang w:eastAsia="en-US"/>
    </w:rPr>
  </w:style>
  <w:style w:type="character" w:styleId="FollowedHyperlink">
    <w:name w:val="FollowedHyperlink"/>
    <w:uiPriority w:val="99"/>
    <w:semiHidden/>
    <w:unhideWhenUsed/>
    <w:rPr>
      <w:color w:val="800080"/>
      <w:u w:val="single"/>
    </w:rPr>
  </w:style>
  <w:style w:type="character" w:styleId="CommentReference">
    <w:name w:val="annotation reference"/>
    <w:uiPriority w:val="99"/>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uiPriority w:val="99"/>
    <w:rPr>
      <w:lang w:eastAsia="en-US"/>
    </w:rPr>
  </w:style>
  <w:style w:type="character" w:customStyle="1" w:styleId="CommentSubjectChar">
    <w:name w:val="Comment Subject Char"/>
    <w:link w:val="CommentSubject"/>
    <w:uiPriority w:val="99"/>
    <w:semiHidden/>
    <w:rPr>
      <w:b/>
      <w:bCs/>
      <w:lang w:eastAsia="en-US"/>
    </w:rPr>
  </w:style>
  <w:style w:type="paragraph" w:customStyle="1" w:styleId="CM1">
    <w:name w:val="CM1"/>
    <w:basedOn w:val="Normal"/>
    <w:next w:val="Normal"/>
    <w:uiPriority w:val="99"/>
    <w:pPr>
      <w:autoSpaceDE w:val="0"/>
      <w:autoSpaceDN w:val="0"/>
      <w:adjustRightInd w:val="0"/>
      <w:spacing w:after="0"/>
      <w:jc w:val="left"/>
    </w:pPr>
    <w:rPr>
      <w:rFonts w:ascii="EUAlbertina" w:hAnsi="EUAlbertina"/>
      <w:szCs w:val="24"/>
      <w:lang w:val="fr-FR" w:eastAsia="fr-FR"/>
    </w:rPr>
  </w:style>
  <w:style w:type="paragraph" w:customStyle="1" w:styleId="CM3">
    <w:name w:val="CM3"/>
    <w:basedOn w:val="Normal"/>
    <w:next w:val="Normal"/>
    <w:uiPriority w:val="99"/>
    <w:pPr>
      <w:autoSpaceDE w:val="0"/>
      <w:autoSpaceDN w:val="0"/>
      <w:adjustRightInd w:val="0"/>
      <w:spacing w:after="0"/>
      <w:jc w:val="left"/>
    </w:pPr>
    <w:rPr>
      <w:rFonts w:ascii="EUAlbertina" w:hAnsi="EUAlbertina"/>
      <w:szCs w:val="24"/>
      <w:lang w:val="fr-FR" w:eastAsia="fr-FR"/>
    </w:rPr>
  </w:style>
  <w:style w:type="character" w:customStyle="1" w:styleId="Heading1Char">
    <w:name w:val="Heading 1 Char"/>
    <w:link w:val="Heading1"/>
    <w:rPr>
      <w:b/>
      <w:smallCaps/>
      <w:sz w:val="24"/>
      <w:lang w:val="x-none"/>
    </w:rPr>
  </w:style>
  <w:style w:type="paragraph" w:customStyle="1" w:styleId="ColorfulList-Accent11">
    <w:name w:val="Colorful List - Accent 11"/>
    <w:basedOn w:val="CommentText"/>
    <w:qFormat/>
    <w:pPr>
      <w:spacing w:before="120" w:after="120"/>
    </w:pPr>
    <w:rPr>
      <w:sz w:val="24"/>
      <w:szCs w:val="24"/>
      <w:lang w:val="en-GB"/>
    </w:rPr>
  </w:style>
  <w:style w:type="character" w:customStyle="1" w:styleId="Heading2Char">
    <w:name w:val="Heading 2 Char"/>
    <w:link w:val="Heading2"/>
    <w:rPr>
      <w:b/>
      <w:bCs/>
      <w:sz w:val="24"/>
      <w:lang w:val="x-none" w:eastAsia="en-US"/>
    </w:rPr>
  </w:style>
  <w:style w:type="character" w:customStyle="1" w:styleId="BookTitle1">
    <w:name w:val="Book Title1"/>
    <w:uiPriority w:val="33"/>
    <w:qFormat/>
    <w:rPr>
      <w:b/>
      <w:bCs/>
      <w:smallCaps/>
      <w:spacing w:val="5"/>
    </w:rPr>
  </w:style>
  <w:style w:type="character" w:styleId="EndnoteReference">
    <w:name w:val="endnote reference"/>
    <w:uiPriority w:val="99"/>
    <w:semiHidden/>
    <w:unhideWhenUsed/>
    <w:rPr>
      <w:vertAlign w:val="superscript"/>
    </w:rPr>
  </w:style>
  <w:style w:type="paragraph" w:customStyle="1" w:styleId="Default">
    <w:name w:val="Default"/>
    <w:pPr>
      <w:autoSpaceDE w:val="0"/>
      <w:autoSpaceDN w:val="0"/>
      <w:adjustRightInd w:val="0"/>
    </w:pPr>
    <w:rPr>
      <w:color w:val="000000"/>
      <w:sz w:val="24"/>
      <w:szCs w:val="24"/>
    </w:rPr>
  </w:style>
  <w:style w:type="paragraph" w:styleId="NormalWeb">
    <w:name w:val="Normal (Web)"/>
    <w:basedOn w:val="Normal"/>
    <w:uiPriority w:val="99"/>
    <w:semiHidden/>
    <w:unhideWhenUsed/>
    <w:rPr>
      <w:szCs w:val="24"/>
    </w:rPr>
  </w:style>
  <w:style w:type="paragraph" w:styleId="ListParagraph">
    <w:name w:val="List Paragraph"/>
    <w:basedOn w:val="Normal"/>
    <w:uiPriority w:val="34"/>
    <w:qFormat/>
    <w:pPr>
      <w:ind w:left="720"/>
    </w:pPr>
  </w:style>
  <w:style w:type="character" w:styleId="Strong">
    <w:name w:val="Strong"/>
    <w:uiPriority w:val="22"/>
    <w:qFormat/>
    <w:rPr>
      <w:b/>
      <w:bCs/>
    </w:rPr>
  </w:style>
  <w:style w:type="character" w:styleId="Emphasis">
    <w:name w:val="Emphasis"/>
    <w:uiPriority w:val="20"/>
    <w:qFormat/>
    <w:rPr>
      <w:rFonts w:ascii="Times New Roman" w:hAnsi="Times New Roman" w:cs="Times New Roman" w:hint="default"/>
      <w:i w:val="0"/>
      <w:iCs w:val="0"/>
    </w:rPr>
  </w:style>
  <w:style w:type="character" w:customStyle="1" w:styleId="FootnoteTextChar2">
    <w:name w:val="Footnote Text Char2"/>
    <w:aliases w:val="Footnote Text Char Char Char1,Footnote Char1,Fußnote Char1,FSR footnote Char1,lábléc Char1,fn Char1,Texto nota pie Car Char1,notefranz Char1,Footnote Text Char1 Char1,Char Char"/>
    <w:uiPriority w:val="99"/>
    <w:semiHidden/>
    <w:locked/>
    <w:rPr>
      <w:sz w:val="18"/>
    </w:rPr>
  </w:style>
  <w:style w:type="paragraph" w:customStyle="1" w:styleId="IndentedHeading4">
    <w:name w:val="Indented Heading 4"/>
    <w:basedOn w:val="Heading4"/>
    <w:next w:val="Normal"/>
    <w:pPr>
      <w:numPr>
        <w:numId w:val="42"/>
      </w:numPr>
      <w:tabs>
        <w:tab w:val="clear" w:pos="3447"/>
        <w:tab w:val="num" w:pos="360"/>
        <w:tab w:val="num" w:pos="851"/>
      </w:tabs>
      <w:spacing w:before="120" w:after="120" w:line="300" w:lineRule="exact"/>
      <w:ind w:left="851" w:hanging="851"/>
    </w:pPr>
    <w:rPr>
      <w:rFonts w:eastAsia="MS Mincho" w:cs="Arial"/>
      <w:i/>
      <w:iCs/>
      <w:szCs w:val="16"/>
    </w:rPr>
  </w:style>
  <w:style w:type="paragraph" w:customStyle="1" w:styleId="IndentedHeading2">
    <w:name w:val="Indented Heading 2"/>
    <w:basedOn w:val="Heading2"/>
    <w:next w:val="Normal"/>
    <w:pPr>
      <w:numPr>
        <w:numId w:val="42"/>
      </w:numPr>
      <w:tabs>
        <w:tab w:val="clear" w:pos="2007"/>
        <w:tab w:val="num" w:pos="360"/>
        <w:tab w:val="num" w:pos="851"/>
      </w:tabs>
      <w:spacing w:before="360" w:after="120" w:line="300" w:lineRule="exact"/>
      <w:ind w:left="851" w:hanging="851"/>
    </w:pPr>
    <w:rPr>
      <w:rFonts w:eastAsia="MS Mincho" w:cs="Arial"/>
      <w:iCs/>
      <w:szCs w:val="28"/>
      <w:lang w:val="en-GB"/>
    </w:rPr>
  </w:style>
  <w:style w:type="paragraph" w:customStyle="1" w:styleId="IndentedHeading3">
    <w:name w:val="Indented Heading 3"/>
    <w:basedOn w:val="Heading3"/>
    <w:next w:val="Normal"/>
    <w:pPr>
      <w:numPr>
        <w:numId w:val="42"/>
      </w:numPr>
      <w:tabs>
        <w:tab w:val="clear" w:pos="2727"/>
        <w:tab w:val="num" w:pos="360"/>
        <w:tab w:val="num" w:pos="851"/>
      </w:tabs>
      <w:spacing w:before="240" w:after="120" w:line="300" w:lineRule="exact"/>
      <w:ind w:left="851" w:hanging="851"/>
    </w:pPr>
    <w:rPr>
      <w:rFonts w:eastAsia="MS Mincho" w:cs="Arial"/>
      <w:b/>
      <w:bCs/>
      <w:iCs/>
      <w:szCs w:val="26"/>
    </w:rPr>
  </w:style>
  <w:style w:type="character" w:customStyle="1" w:styleId="BulletChar">
    <w:name w:val="Bullet Char"/>
    <w:link w:val="Bullet"/>
    <w:locked/>
    <w:rPr>
      <w:sz w:val="24"/>
    </w:rPr>
  </w:style>
  <w:style w:type="paragraph" w:customStyle="1" w:styleId="Bullet">
    <w:name w:val="Bullet"/>
    <w:basedOn w:val="Normal"/>
    <w:link w:val="BulletChar"/>
    <w:pPr>
      <w:numPr>
        <w:numId w:val="42"/>
      </w:numPr>
      <w:spacing w:after="120" w:line="300" w:lineRule="exact"/>
    </w:pPr>
    <w:rPr>
      <w:lang w:eastAsia="en-GB"/>
    </w:rPr>
  </w:style>
  <w:style w:type="paragraph" w:styleId="Revision">
    <w:name w:val="Revision"/>
    <w:hidden/>
    <w:uiPriority w:val="99"/>
    <w:semiHidden/>
    <w:rPr>
      <w:sz w:val="24"/>
      <w:lang w:eastAsia="en-US"/>
    </w:rPr>
  </w:style>
  <w:style w:type="character" w:customStyle="1" w:styleId="FootnoteCharacters">
    <w:name w:val="Footnote Characters"/>
    <w:rPr>
      <w:vertAlign w:val="superscript"/>
    </w:rPr>
  </w:style>
  <w:style w:type="paragraph" w:customStyle="1" w:styleId="TOCHeading10">
    <w:name w:val="TOC Heading1"/>
    <w:basedOn w:val="Normal"/>
    <w:next w:val="Normal"/>
    <w:qFormat/>
    <w:pPr>
      <w:keepNext/>
      <w:spacing w:before="240"/>
      <w:jc w:val="center"/>
    </w:pPr>
    <w:rPr>
      <w:b/>
    </w:rPr>
  </w:style>
  <w:style w:type="character" w:customStyle="1" w:styleId="BookTitle10">
    <w:name w:val="Book Title1"/>
    <w:uiPriority w:val="33"/>
    <w:qFormat/>
    <w:rPr>
      <w:b/>
      <w:bCs/>
      <w:smallCaps/>
      <w:spacing w:val="5"/>
    </w:rPr>
  </w:style>
  <w:style w:type="character" w:customStyle="1" w:styleId="affairetitle">
    <w:name w:val="affaire_title"/>
    <w:basedOn w:val="DefaultParagraphFont"/>
  </w:style>
  <w:style w:type="paragraph" w:customStyle="1" w:styleId="LegalNumPar">
    <w:name w:val="LegalNumPar"/>
    <w:basedOn w:val="Normal"/>
    <w:pPr>
      <w:numPr>
        <w:numId w:val="85"/>
      </w:numPr>
    </w:pPr>
  </w:style>
  <w:style w:type="paragraph" w:customStyle="1" w:styleId="LegalNumPar2">
    <w:name w:val="LegalNumPar2"/>
    <w:basedOn w:val="Normal"/>
    <w:pPr>
      <w:numPr>
        <w:ilvl w:val="1"/>
        <w:numId w:val="85"/>
      </w:numPr>
    </w:pPr>
  </w:style>
  <w:style w:type="paragraph" w:customStyle="1" w:styleId="LegalNumPar3">
    <w:name w:val="LegalNumPar3"/>
    <w:basedOn w:val="Normal"/>
    <w:pPr>
      <w:numPr>
        <w:ilvl w:val="2"/>
        <w:numId w:val="85"/>
      </w:numPr>
    </w:p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210">
      <w:bodyDiv w:val="1"/>
      <w:marLeft w:val="0"/>
      <w:marRight w:val="0"/>
      <w:marTop w:val="0"/>
      <w:marBottom w:val="0"/>
      <w:divBdr>
        <w:top w:val="none" w:sz="0" w:space="0" w:color="auto"/>
        <w:left w:val="none" w:sz="0" w:space="0" w:color="auto"/>
        <w:bottom w:val="none" w:sz="0" w:space="0" w:color="auto"/>
        <w:right w:val="none" w:sz="0" w:space="0" w:color="auto"/>
      </w:divBdr>
    </w:div>
    <w:div w:id="92017296">
      <w:bodyDiv w:val="1"/>
      <w:marLeft w:val="0"/>
      <w:marRight w:val="0"/>
      <w:marTop w:val="0"/>
      <w:marBottom w:val="0"/>
      <w:divBdr>
        <w:top w:val="none" w:sz="0" w:space="0" w:color="auto"/>
        <w:left w:val="none" w:sz="0" w:space="0" w:color="auto"/>
        <w:bottom w:val="none" w:sz="0" w:space="0" w:color="auto"/>
        <w:right w:val="none" w:sz="0" w:space="0" w:color="auto"/>
      </w:divBdr>
    </w:div>
    <w:div w:id="443888823">
      <w:bodyDiv w:val="1"/>
      <w:marLeft w:val="0"/>
      <w:marRight w:val="0"/>
      <w:marTop w:val="0"/>
      <w:marBottom w:val="0"/>
      <w:divBdr>
        <w:top w:val="none" w:sz="0" w:space="0" w:color="auto"/>
        <w:left w:val="none" w:sz="0" w:space="0" w:color="auto"/>
        <w:bottom w:val="none" w:sz="0" w:space="0" w:color="auto"/>
        <w:right w:val="none" w:sz="0" w:space="0" w:color="auto"/>
      </w:divBdr>
    </w:div>
    <w:div w:id="637304363">
      <w:bodyDiv w:val="1"/>
      <w:marLeft w:val="0"/>
      <w:marRight w:val="0"/>
      <w:marTop w:val="0"/>
      <w:marBottom w:val="0"/>
      <w:divBdr>
        <w:top w:val="none" w:sz="0" w:space="0" w:color="auto"/>
        <w:left w:val="none" w:sz="0" w:space="0" w:color="auto"/>
        <w:bottom w:val="none" w:sz="0" w:space="0" w:color="auto"/>
        <w:right w:val="none" w:sz="0" w:space="0" w:color="auto"/>
      </w:divBdr>
    </w:div>
    <w:div w:id="654577874">
      <w:bodyDiv w:val="1"/>
      <w:marLeft w:val="0"/>
      <w:marRight w:val="0"/>
      <w:marTop w:val="0"/>
      <w:marBottom w:val="0"/>
      <w:divBdr>
        <w:top w:val="none" w:sz="0" w:space="0" w:color="auto"/>
        <w:left w:val="none" w:sz="0" w:space="0" w:color="auto"/>
        <w:bottom w:val="none" w:sz="0" w:space="0" w:color="auto"/>
        <w:right w:val="none" w:sz="0" w:space="0" w:color="auto"/>
      </w:divBdr>
    </w:div>
    <w:div w:id="655300944">
      <w:bodyDiv w:val="1"/>
      <w:marLeft w:val="0"/>
      <w:marRight w:val="0"/>
      <w:marTop w:val="0"/>
      <w:marBottom w:val="0"/>
      <w:divBdr>
        <w:top w:val="none" w:sz="0" w:space="0" w:color="auto"/>
        <w:left w:val="none" w:sz="0" w:space="0" w:color="auto"/>
        <w:bottom w:val="none" w:sz="0" w:space="0" w:color="auto"/>
        <w:right w:val="none" w:sz="0" w:space="0" w:color="auto"/>
      </w:divBdr>
    </w:div>
    <w:div w:id="677191716">
      <w:bodyDiv w:val="1"/>
      <w:marLeft w:val="1134"/>
      <w:marRight w:val="1134"/>
      <w:marTop w:val="0"/>
      <w:marBottom w:val="0"/>
      <w:divBdr>
        <w:top w:val="none" w:sz="0" w:space="0" w:color="auto"/>
        <w:left w:val="none" w:sz="0" w:space="0" w:color="auto"/>
        <w:bottom w:val="none" w:sz="0" w:space="0" w:color="auto"/>
        <w:right w:val="none" w:sz="0" w:space="0" w:color="auto"/>
      </w:divBdr>
      <w:divsChild>
        <w:div w:id="1068573432">
          <w:marLeft w:val="0"/>
          <w:marRight w:val="0"/>
          <w:marTop w:val="0"/>
          <w:marBottom w:val="0"/>
          <w:divBdr>
            <w:top w:val="none" w:sz="0" w:space="0" w:color="auto"/>
            <w:left w:val="none" w:sz="0" w:space="0" w:color="auto"/>
            <w:bottom w:val="none" w:sz="0" w:space="0" w:color="auto"/>
            <w:right w:val="none" w:sz="0" w:space="0" w:color="auto"/>
          </w:divBdr>
          <w:divsChild>
            <w:div w:id="1836610406">
              <w:marLeft w:val="2700"/>
              <w:marRight w:val="2250"/>
              <w:marTop w:val="600"/>
              <w:marBottom w:val="0"/>
              <w:divBdr>
                <w:top w:val="none" w:sz="0" w:space="0" w:color="auto"/>
                <w:left w:val="none" w:sz="0" w:space="0" w:color="auto"/>
                <w:bottom w:val="none" w:sz="0" w:space="0" w:color="auto"/>
                <w:right w:val="none" w:sz="0" w:space="0" w:color="auto"/>
              </w:divBdr>
              <w:divsChild>
                <w:div w:id="13066227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18041160">
      <w:bodyDiv w:val="1"/>
      <w:marLeft w:val="0"/>
      <w:marRight w:val="0"/>
      <w:marTop w:val="0"/>
      <w:marBottom w:val="0"/>
      <w:divBdr>
        <w:top w:val="none" w:sz="0" w:space="0" w:color="auto"/>
        <w:left w:val="none" w:sz="0" w:space="0" w:color="auto"/>
        <w:bottom w:val="none" w:sz="0" w:space="0" w:color="auto"/>
        <w:right w:val="none" w:sz="0" w:space="0" w:color="auto"/>
      </w:divBdr>
      <w:divsChild>
        <w:div w:id="1256597685">
          <w:marLeft w:val="547"/>
          <w:marRight w:val="0"/>
          <w:marTop w:val="86"/>
          <w:marBottom w:val="0"/>
          <w:divBdr>
            <w:top w:val="none" w:sz="0" w:space="0" w:color="auto"/>
            <w:left w:val="none" w:sz="0" w:space="0" w:color="auto"/>
            <w:bottom w:val="none" w:sz="0" w:space="0" w:color="auto"/>
            <w:right w:val="none" w:sz="0" w:space="0" w:color="auto"/>
          </w:divBdr>
        </w:div>
        <w:div w:id="2089227261">
          <w:marLeft w:val="547"/>
          <w:marRight w:val="0"/>
          <w:marTop w:val="86"/>
          <w:marBottom w:val="0"/>
          <w:divBdr>
            <w:top w:val="none" w:sz="0" w:space="0" w:color="auto"/>
            <w:left w:val="none" w:sz="0" w:space="0" w:color="auto"/>
            <w:bottom w:val="none" w:sz="0" w:space="0" w:color="auto"/>
            <w:right w:val="none" w:sz="0" w:space="0" w:color="auto"/>
          </w:divBdr>
        </w:div>
      </w:divsChild>
    </w:div>
    <w:div w:id="1018773427">
      <w:bodyDiv w:val="1"/>
      <w:marLeft w:val="0"/>
      <w:marRight w:val="0"/>
      <w:marTop w:val="0"/>
      <w:marBottom w:val="0"/>
      <w:divBdr>
        <w:top w:val="none" w:sz="0" w:space="0" w:color="auto"/>
        <w:left w:val="none" w:sz="0" w:space="0" w:color="auto"/>
        <w:bottom w:val="none" w:sz="0" w:space="0" w:color="auto"/>
        <w:right w:val="none" w:sz="0" w:space="0" w:color="auto"/>
      </w:divBdr>
    </w:div>
    <w:div w:id="1031877622">
      <w:bodyDiv w:val="1"/>
      <w:marLeft w:val="0"/>
      <w:marRight w:val="0"/>
      <w:marTop w:val="0"/>
      <w:marBottom w:val="0"/>
      <w:divBdr>
        <w:top w:val="none" w:sz="0" w:space="0" w:color="auto"/>
        <w:left w:val="none" w:sz="0" w:space="0" w:color="auto"/>
        <w:bottom w:val="none" w:sz="0" w:space="0" w:color="auto"/>
        <w:right w:val="none" w:sz="0" w:space="0" w:color="auto"/>
      </w:divBdr>
    </w:div>
    <w:div w:id="1033119742">
      <w:bodyDiv w:val="1"/>
      <w:marLeft w:val="0"/>
      <w:marRight w:val="0"/>
      <w:marTop w:val="0"/>
      <w:marBottom w:val="0"/>
      <w:divBdr>
        <w:top w:val="none" w:sz="0" w:space="0" w:color="auto"/>
        <w:left w:val="none" w:sz="0" w:space="0" w:color="auto"/>
        <w:bottom w:val="none" w:sz="0" w:space="0" w:color="auto"/>
        <w:right w:val="none" w:sz="0" w:space="0" w:color="auto"/>
      </w:divBdr>
    </w:div>
    <w:div w:id="1064329025">
      <w:bodyDiv w:val="1"/>
      <w:marLeft w:val="0"/>
      <w:marRight w:val="0"/>
      <w:marTop w:val="0"/>
      <w:marBottom w:val="0"/>
      <w:divBdr>
        <w:top w:val="none" w:sz="0" w:space="0" w:color="auto"/>
        <w:left w:val="none" w:sz="0" w:space="0" w:color="auto"/>
        <w:bottom w:val="none" w:sz="0" w:space="0" w:color="auto"/>
        <w:right w:val="none" w:sz="0" w:space="0" w:color="auto"/>
      </w:divBdr>
    </w:div>
    <w:div w:id="1076123918">
      <w:bodyDiv w:val="1"/>
      <w:marLeft w:val="0"/>
      <w:marRight w:val="0"/>
      <w:marTop w:val="0"/>
      <w:marBottom w:val="0"/>
      <w:divBdr>
        <w:top w:val="none" w:sz="0" w:space="0" w:color="auto"/>
        <w:left w:val="none" w:sz="0" w:space="0" w:color="auto"/>
        <w:bottom w:val="none" w:sz="0" w:space="0" w:color="auto"/>
        <w:right w:val="none" w:sz="0" w:space="0" w:color="auto"/>
      </w:divBdr>
    </w:div>
    <w:div w:id="1113131218">
      <w:bodyDiv w:val="1"/>
      <w:marLeft w:val="1134"/>
      <w:marRight w:val="1134"/>
      <w:marTop w:val="0"/>
      <w:marBottom w:val="0"/>
      <w:divBdr>
        <w:top w:val="none" w:sz="0" w:space="0" w:color="auto"/>
        <w:left w:val="none" w:sz="0" w:space="0" w:color="auto"/>
        <w:bottom w:val="none" w:sz="0" w:space="0" w:color="auto"/>
        <w:right w:val="none" w:sz="0" w:space="0" w:color="auto"/>
      </w:divBdr>
      <w:divsChild>
        <w:div w:id="1920677383">
          <w:marLeft w:val="0"/>
          <w:marRight w:val="0"/>
          <w:marTop w:val="0"/>
          <w:marBottom w:val="0"/>
          <w:divBdr>
            <w:top w:val="none" w:sz="0" w:space="0" w:color="auto"/>
            <w:left w:val="none" w:sz="0" w:space="0" w:color="auto"/>
            <w:bottom w:val="none" w:sz="0" w:space="0" w:color="auto"/>
            <w:right w:val="none" w:sz="0" w:space="0" w:color="auto"/>
          </w:divBdr>
          <w:divsChild>
            <w:div w:id="540290721">
              <w:marLeft w:val="2700"/>
              <w:marRight w:val="2250"/>
              <w:marTop w:val="600"/>
              <w:marBottom w:val="0"/>
              <w:divBdr>
                <w:top w:val="none" w:sz="0" w:space="0" w:color="auto"/>
                <w:left w:val="none" w:sz="0" w:space="0" w:color="auto"/>
                <w:bottom w:val="none" w:sz="0" w:space="0" w:color="auto"/>
                <w:right w:val="none" w:sz="0" w:space="0" w:color="auto"/>
              </w:divBdr>
              <w:divsChild>
                <w:div w:id="426774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39616526">
      <w:bodyDiv w:val="1"/>
      <w:marLeft w:val="0"/>
      <w:marRight w:val="0"/>
      <w:marTop w:val="0"/>
      <w:marBottom w:val="0"/>
      <w:divBdr>
        <w:top w:val="none" w:sz="0" w:space="0" w:color="auto"/>
        <w:left w:val="none" w:sz="0" w:space="0" w:color="auto"/>
        <w:bottom w:val="none" w:sz="0" w:space="0" w:color="auto"/>
        <w:right w:val="none" w:sz="0" w:space="0" w:color="auto"/>
      </w:divBdr>
    </w:div>
    <w:div w:id="1164583892">
      <w:bodyDiv w:val="1"/>
      <w:marLeft w:val="0"/>
      <w:marRight w:val="0"/>
      <w:marTop w:val="0"/>
      <w:marBottom w:val="0"/>
      <w:divBdr>
        <w:top w:val="none" w:sz="0" w:space="0" w:color="auto"/>
        <w:left w:val="none" w:sz="0" w:space="0" w:color="auto"/>
        <w:bottom w:val="none" w:sz="0" w:space="0" w:color="auto"/>
        <w:right w:val="none" w:sz="0" w:space="0" w:color="auto"/>
      </w:divBdr>
    </w:div>
    <w:div w:id="1211460841">
      <w:bodyDiv w:val="1"/>
      <w:marLeft w:val="0"/>
      <w:marRight w:val="0"/>
      <w:marTop w:val="0"/>
      <w:marBottom w:val="0"/>
      <w:divBdr>
        <w:top w:val="none" w:sz="0" w:space="0" w:color="auto"/>
        <w:left w:val="none" w:sz="0" w:space="0" w:color="auto"/>
        <w:bottom w:val="none" w:sz="0" w:space="0" w:color="auto"/>
        <w:right w:val="none" w:sz="0" w:space="0" w:color="auto"/>
      </w:divBdr>
    </w:div>
    <w:div w:id="1246572626">
      <w:bodyDiv w:val="1"/>
      <w:marLeft w:val="0"/>
      <w:marRight w:val="0"/>
      <w:marTop w:val="0"/>
      <w:marBottom w:val="0"/>
      <w:divBdr>
        <w:top w:val="none" w:sz="0" w:space="0" w:color="auto"/>
        <w:left w:val="none" w:sz="0" w:space="0" w:color="auto"/>
        <w:bottom w:val="none" w:sz="0" w:space="0" w:color="auto"/>
        <w:right w:val="none" w:sz="0" w:space="0" w:color="auto"/>
      </w:divBdr>
    </w:div>
    <w:div w:id="1267814202">
      <w:bodyDiv w:val="1"/>
      <w:marLeft w:val="1134"/>
      <w:marRight w:val="1134"/>
      <w:marTop w:val="0"/>
      <w:marBottom w:val="0"/>
      <w:divBdr>
        <w:top w:val="none" w:sz="0" w:space="0" w:color="auto"/>
        <w:left w:val="none" w:sz="0" w:space="0" w:color="auto"/>
        <w:bottom w:val="none" w:sz="0" w:space="0" w:color="auto"/>
        <w:right w:val="none" w:sz="0" w:space="0" w:color="auto"/>
      </w:divBdr>
      <w:divsChild>
        <w:div w:id="1020820287">
          <w:marLeft w:val="0"/>
          <w:marRight w:val="0"/>
          <w:marTop w:val="0"/>
          <w:marBottom w:val="0"/>
          <w:divBdr>
            <w:top w:val="none" w:sz="0" w:space="0" w:color="auto"/>
            <w:left w:val="none" w:sz="0" w:space="0" w:color="auto"/>
            <w:bottom w:val="none" w:sz="0" w:space="0" w:color="auto"/>
            <w:right w:val="none" w:sz="0" w:space="0" w:color="auto"/>
          </w:divBdr>
          <w:divsChild>
            <w:div w:id="625355831">
              <w:marLeft w:val="2700"/>
              <w:marRight w:val="2250"/>
              <w:marTop w:val="600"/>
              <w:marBottom w:val="0"/>
              <w:divBdr>
                <w:top w:val="none" w:sz="0" w:space="0" w:color="auto"/>
                <w:left w:val="none" w:sz="0" w:space="0" w:color="auto"/>
                <w:bottom w:val="none" w:sz="0" w:space="0" w:color="auto"/>
                <w:right w:val="none" w:sz="0" w:space="0" w:color="auto"/>
              </w:divBdr>
              <w:divsChild>
                <w:div w:id="8786654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71282363">
      <w:bodyDiv w:val="1"/>
      <w:marLeft w:val="0"/>
      <w:marRight w:val="0"/>
      <w:marTop w:val="0"/>
      <w:marBottom w:val="0"/>
      <w:divBdr>
        <w:top w:val="none" w:sz="0" w:space="0" w:color="auto"/>
        <w:left w:val="none" w:sz="0" w:space="0" w:color="auto"/>
        <w:bottom w:val="none" w:sz="0" w:space="0" w:color="auto"/>
        <w:right w:val="none" w:sz="0" w:space="0" w:color="auto"/>
      </w:divBdr>
    </w:div>
    <w:div w:id="1296989924">
      <w:bodyDiv w:val="1"/>
      <w:marLeft w:val="0"/>
      <w:marRight w:val="0"/>
      <w:marTop w:val="0"/>
      <w:marBottom w:val="0"/>
      <w:divBdr>
        <w:top w:val="none" w:sz="0" w:space="0" w:color="auto"/>
        <w:left w:val="none" w:sz="0" w:space="0" w:color="auto"/>
        <w:bottom w:val="none" w:sz="0" w:space="0" w:color="auto"/>
        <w:right w:val="none" w:sz="0" w:space="0" w:color="auto"/>
      </w:divBdr>
    </w:div>
    <w:div w:id="1537155038">
      <w:bodyDiv w:val="1"/>
      <w:marLeft w:val="0"/>
      <w:marRight w:val="0"/>
      <w:marTop w:val="0"/>
      <w:marBottom w:val="0"/>
      <w:divBdr>
        <w:top w:val="none" w:sz="0" w:space="0" w:color="auto"/>
        <w:left w:val="none" w:sz="0" w:space="0" w:color="auto"/>
        <w:bottom w:val="none" w:sz="0" w:space="0" w:color="auto"/>
        <w:right w:val="none" w:sz="0" w:space="0" w:color="auto"/>
      </w:divBdr>
    </w:div>
    <w:div w:id="1686244330">
      <w:bodyDiv w:val="1"/>
      <w:marLeft w:val="0"/>
      <w:marRight w:val="0"/>
      <w:marTop w:val="0"/>
      <w:marBottom w:val="0"/>
      <w:divBdr>
        <w:top w:val="none" w:sz="0" w:space="0" w:color="auto"/>
        <w:left w:val="none" w:sz="0" w:space="0" w:color="auto"/>
        <w:bottom w:val="none" w:sz="0" w:space="0" w:color="auto"/>
        <w:right w:val="none" w:sz="0" w:space="0" w:color="auto"/>
      </w:divBdr>
    </w:div>
    <w:div w:id="1709528369">
      <w:bodyDiv w:val="1"/>
      <w:marLeft w:val="0"/>
      <w:marRight w:val="0"/>
      <w:marTop w:val="0"/>
      <w:marBottom w:val="0"/>
      <w:divBdr>
        <w:top w:val="none" w:sz="0" w:space="0" w:color="auto"/>
        <w:left w:val="none" w:sz="0" w:space="0" w:color="auto"/>
        <w:bottom w:val="none" w:sz="0" w:space="0" w:color="auto"/>
        <w:right w:val="none" w:sz="0" w:space="0" w:color="auto"/>
      </w:divBdr>
    </w:div>
    <w:div w:id="1767261610">
      <w:bodyDiv w:val="1"/>
      <w:marLeft w:val="0"/>
      <w:marRight w:val="0"/>
      <w:marTop w:val="0"/>
      <w:marBottom w:val="0"/>
      <w:divBdr>
        <w:top w:val="none" w:sz="0" w:space="0" w:color="auto"/>
        <w:left w:val="none" w:sz="0" w:space="0" w:color="auto"/>
        <w:bottom w:val="none" w:sz="0" w:space="0" w:color="auto"/>
        <w:right w:val="none" w:sz="0" w:space="0" w:color="auto"/>
      </w:divBdr>
    </w:div>
    <w:div w:id="1801410804">
      <w:bodyDiv w:val="1"/>
      <w:marLeft w:val="0"/>
      <w:marRight w:val="0"/>
      <w:marTop w:val="0"/>
      <w:marBottom w:val="0"/>
      <w:divBdr>
        <w:top w:val="none" w:sz="0" w:space="0" w:color="auto"/>
        <w:left w:val="none" w:sz="0" w:space="0" w:color="auto"/>
        <w:bottom w:val="none" w:sz="0" w:space="0" w:color="auto"/>
        <w:right w:val="none" w:sz="0" w:space="0" w:color="auto"/>
      </w:divBdr>
    </w:div>
    <w:div w:id="1856915198">
      <w:bodyDiv w:val="1"/>
      <w:marLeft w:val="0"/>
      <w:marRight w:val="0"/>
      <w:marTop w:val="0"/>
      <w:marBottom w:val="0"/>
      <w:divBdr>
        <w:top w:val="none" w:sz="0" w:space="0" w:color="auto"/>
        <w:left w:val="none" w:sz="0" w:space="0" w:color="auto"/>
        <w:bottom w:val="none" w:sz="0" w:space="0" w:color="auto"/>
        <w:right w:val="none" w:sz="0" w:space="0" w:color="auto"/>
      </w:divBdr>
    </w:div>
    <w:div w:id="1923754512">
      <w:bodyDiv w:val="1"/>
      <w:marLeft w:val="0"/>
      <w:marRight w:val="0"/>
      <w:marTop w:val="0"/>
      <w:marBottom w:val="0"/>
      <w:divBdr>
        <w:top w:val="none" w:sz="0" w:space="0" w:color="auto"/>
        <w:left w:val="none" w:sz="0" w:space="0" w:color="auto"/>
        <w:bottom w:val="none" w:sz="0" w:space="0" w:color="auto"/>
        <w:right w:val="none" w:sz="0" w:space="0" w:color="auto"/>
      </w:divBdr>
    </w:div>
    <w:div w:id="1971323417">
      <w:bodyDiv w:val="1"/>
      <w:marLeft w:val="0"/>
      <w:marRight w:val="0"/>
      <w:marTop w:val="0"/>
      <w:marBottom w:val="0"/>
      <w:divBdr>
        <w:top w:val="none" w:sz="0" w:space="0" w:color="auto"/>
        <w:left w:val="none" w:sz="0" w:space="0" w:color="auto"/>
        <w:bottom w:val="none" w:sz="0" w:space="0" w:color="auto"/>
        <w:right w:val="none" w:sz="0" w:space="0" w:color="auto"/>
      </w:divBdr>
    </w:div>
    <w:div w:id="1979067369">
      <w:bodyDiv w:val="1"/>
      <w:marLeft w:val="0"/>
      <w:marRight w:val="0"/>
      <w:marTop w:val="0"/>
      <w:marBottom w:val="0"/>
      <w:divBdr>
        <w:top w:val="none" w:sz="0" w:space="0" w:color="auto"/>
        <w:left w:val="none" w:sz="0" w:space="0" w:color="auto"/>
        <w:bottom w:val="none" w:sz="0" w:space="0" w:color="auto"/>
        <w:right w:val="none" w:sz="0" w:space="0" w:color="auto"/>
      </w:divBdr>
    </w:div>
    <w:div w:id="2087993385">
      <w:bodyDiv w:val="1"/>
      <w:marLeft w:val="0"/>
      <w:marRight w:val="0"/>
      <w:marTop w:val="0"/>
      <w:marBottom w:val="0"/>
      <w:divBdr>
        <w:top w:val="none" w:sz="0" w:space="0" w:color="auto"/>
        <w:left w:val="none" w:sz="0" w:space="0" w:color="auto"/>
        <w:bottom w:val="none" w:sz="0" w:space="0" w:color="auto"/>
        <w:right w:val="none" w:sz="0" w:space="0" w:color="auto"/>
      </w:divBdr>
      <w:divsChild>
        <w:div w:id="163131326">
          <w:marLeft w:val="547"/>
          <w:marRight w:val="0"/>
          <w:marTop w:val="86"/>
          <w:marBottom w:val="0"/>
          <w:divBdr>
            <w:top w:val="none" w:sz="0" w:space="0" w:color="auto"/>
            <w:left w:val="none" w:sz="0" w:space="0" w:color="auto"/>
            <w:bottom w:val="none" w:sz="0" w:space="0" w:color="auto"/>
            <w:right w:val="none" w:sz="0" w:space="0" w:color="auto"/>
          </w:divBdr>
        </w:div>
        <w:div w:id="2002855411">
          <w:marLeft w:val="547"/>
          <w:marRight w:val="0"/>
          <w:marTop w:val="86"/>
          <w:marBottom w:val="0"/>
          <w:divBdr>
            <w:top w:val="none" w:sz="0" w:space="0" w:color="auto"/>
            <w:left w:val="none" w:sz="0" w:space="0" w:color="auto"/>
            <w:bottom w:val="none" w:sz="0" w:space="0" w:color="auto"/>
            <w:right w:val="none" w:sz="0" w:space="0" w:color="auto"/>
          </w:divBdr>
        </w:div>
      </w:divsChild>
    </w:div>
    <w:div w:id="2104567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inancialstabilityboard.org/wp-content/uploads/FSB-Chair-letter-to-G20-February-201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7E4C3-7121-4581-9681-88811BD3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3</Pages>
  <Words>1584</Words>
  <Characters>8777</Characters>
  <Application>Microsoft Office Word</Application>
  <DocSecurity>0</DocSecurity>
  <PresentationFormat>Microsoft Word 14.0</PresentationFormat>
  <Lines>117</Lines>
  <Paragraphs>34</Paragraphs>
  <ScaleCrop>false</ScaleCrop>
  <HeadingPairs>
    <vt:vector size="2" baseType="variant">
      <vt:variant>
        <vt:lpstr>Title</vt:lpstr>
      </vt:variant>
      <vt:variant>
        <vt:i4>1</vt:i4>
      </vt:variant>
    </vt:vector>
  </HeadingPairs>
  <TitlesOfParts>
    <vt:vector size="1" baseType="lpstr">
      <vt:lpstr>28082015 Impact Assessment for CCP recovery and resolution proposal</vt:lpstr>
    </vt:vector>
  </TitlesOfParts>
  <Manager/>
  <Company/>
  <LinksUpToDate>false</LinksUpToDate>
  <CharactersWithSpaces>10327</CharactersWithSpaces>
  <SharedDoc>false</SharedDoc>
  <HLinks>
    <vt:vector size="606" baseType="variant">
      <vt:variant>
        <vt:i4>1900559</vt:i4>
      </vt:variant>
      <vt:variant>
        <vt:i4>264</vt:i4>
      </vt:variant>
      <vt:variant>
        <vt:i4>0</vt:i4>
      </vt:variant>
      <vt:variant>
        <vt:i4>5</vt:i4>
      </vt:variant>
      <vt:variant>
        <vt:lpwstr>http://www.bis.org/press/p140901.htm</vt:lpwstr>
      </vt:variant>
      <vt:variant>
        <vt:lpwstr/>
      </vt:variant>
      <vt:variant>
        <vt:i4>1179697</vt:i4>
      </vt:variant>
      <vt:variant>
        <vt:i4>248</vt:i4>
      </vt:variant>
      <vt:variant>
        <vt:i4>0</vt:i4>
      </vt:variant>
      <vt:variant>
        <vt:i4>5</vt:i4>
      </vt:variant>
      <vt:variant>
        <vt:lpwstr/>
      </vt:variant>
      <vt:variant>
        <vt:lpwstr>_Toc412736457</vt:lpwstr>
      </vt:variant>
      <vt:variant>
        <vt:i4>1179697</vt:i4>
      </vt:variant>
      <vt:variant>
        <vt:i4>242</vt:i4>
      </vt:variant>
      <vt:variant>
        <vt:i4>0</vt:i4>
      </vt:variant>
      <vt:variant>
        <vt:i4>5</vt:i4>
      </vt:variant>
      <vt:variant>
        <vt:lpwstr/>
      </vt:variant>
      <vt:variant>
        <vt:lpwstr>_Toc412736456</vt:lpwstr>
      </vt:variant>
      <vt:variant>
        <vt:i4>1179697</vt:i4>
      </vt:variant>
      <vt:variant>
        <vt:i4>236</vt:i4>
      </vt:variant>
      <vt:variant>
        <vt:i4>0</vt:i4>
      </vt:variant>
      <vt:variant>
        <vt:i4>5</vt:i4>
      </vt:variant>
      <vt:variant>
        <vt:lpwstr/>
      </vt:variant>
      <vt:variant>
        <vt:lpwstr>_Toc412736455</vt:lpwstr>
      </vt:variant>
      <vt:variant>
        <vt:i4>1179697</vt:i4>
      </vt:variant>
      <vt:variant>
        <vt:i4>230</vt:i4>
      </vt:variant>
      <vt:variant>
        <vt:i4>0</vt:i4>
      </vt:variant>
      <vt:variant>
        <vt:i4>5</vt:i4>
      </vt:variant>
      <vt:variant>
        <vt:lpwstr/>
      </vt:variant>
      <vt:variant>
        <vt:lpwstr>_Toc412736454</vt:lpwstr>
      </vt:variant>
      <vt:variant>
        <vt:i4>1179697</vt:i4>
      </vt:variant>
      <vt:variant>
        <vt:i4>224</vt:i4>
      </vt:variant>
      <vt:variant>
        <vt:i4>0</vt:i4>
      </vt:variant>
      <vt:variant>
        <vt:i4>5</vt:i4>
      </vt:variant>
      <vt:variant>
        <vt:lpwstr/>
      </vt:variant>
      <vt:variant>
        <vt:lpwstr>_Toc412736453</vt:lpwstr>
      </vt:variant>
      <vt:variant>
        <vt:i4>1179697</vt:i4>
      </vt:variant>
      <vt:variant>
        <vt:i4>218</vt:i4>
      </vt:variant>
      <vt:variant>
        <vt:i4>0</vt:i4>
      </vt:variant>
      <vt:variant>
        <vt:i4>5</vt:i4>
      </vt:variant>
      <vt:variant>
        <vt:lpwstr/>
      </vt:variant>
      <vt:variant>
        <vt:lpwstr>_Toc412736452</vt:lpwstr>
      </vt:variant>
      <vt:variant>
        <vt:i4>1179697</vt:i4>
      </vt:variant>
      <vt:variant>
        <vt:i4>212</vt:i4>
      </vt:variant>
      <vt:variant>
        <vt:i4>0</vt:i4>
      </vt:variant>
      <vt:variant>
        <vt:i4>5</vt:i4>
      </vt:variant>
      <vt:variant>
        <vt:lpwstr/>
      </vt:variant>
      <vt:variant>
        <vt:lpwstr>_Toc412736451</vt:lpwstr>
      </vt:variant>
      <vt:variant>
        <vt:i4>1179697</vt:i4>
      </vt:variant>
      <vt:variant>
        <vt:i4>206</vt:i4>
      </vt:variant>
      <vt:variant>
        <vt:i4>0</vt:i4>
      </vt:variant>
      <vt:variant>
        <vt:i4>5</vt:i4>
      </vt:variant>
      <vt:variant>
        <vt:lpwstr/>
      </vt:variant>
      <vt:variant>
        <vt:lpwstr>_Toc412736450</vt:lpwstr>
      </vt:variant>
      <vt:variant>
        <vt:i4>1245233</vt:i4>
      </vt:variant>
      <vt:variant>
        <vt:i4>200</vt:i4>
      </vt:variant>
      <vt:variant>
        <vt:i4>0</vt:i4>
      </vt:variant>
      <vt:variant>
        <vt:i4>5</vt:i4>
      </vt:variant>
      <vt:variant>
        <vt:lpwstr/>
      </vt:variant>
      <vt:variant>
        <vt:lpwstr>_Toc412736449</vt:lpwstr>
      </vt:variant>
      <vt:variant>
        <vt:i4>1245233</vt:i4>
      </vt:variant>
      <vt:variant>
        <vt:i4>194</vt:i4>
      </vt:variant>
      <vt:variant>
        <vt:i4>0</vt:i4>
      </vt:variant>
      <vt:variant>
        <vt:i4>5</vt:i4>
      </vt:variant>
      <vt:variant>
        <vt:lpwstr/>
      </vt:variant>
      <vt:variant>
        <vt:lpwstr>_Toc412736448</vt:lpwstr>
      </vt:variant>
      <vt:variant>
        <vt:i4>1245233</vt:i4>
      </vt:variant>
      <vt:variant>
        <vt:i4>188</vt:i4>
      </vt:variant>
      <vt:variant>
        <vt:i4>0</vt:i4>
      </vt:variant>
      <vt:variant>
        <vt:i4>5</vt:i4>
      </vt:variant>
      <vt:variant>
        <vt:lpwstr/>
      </vt:variant>
      <vt:variant>
        <vt:lpwstr>_Toc412736447</vt:lpwstr>
      </vt:variant>
      <vt:variant>
        <vt:i4>1245233</vt:i4>
      </vt:variant>
      <vt:variant>
        <vt:i4>182</vt:i4>
      </vt:variant>
      <vt:variant>
        <vt:i4>0</vt:i4>
      </vt:variant>
      <vt:variant>
        <vt:i4>5</vt:i4>
      </vt:variant>
      <vt:variant>
        <vt:lpwstr/>
      </vt:variant>
      <vt:variant>
        <vt:lpwstr>_Toc412736446</vt:lpwstr>
      </vt:variant>
      <vt:variant>
        <vt:i4>1245233</vt:i4>
      </vt:variant>
      <vt:variant>
        <vt:i4>176</vt:i4>
      </vt:variant>
      <vt:variant>
        <vt:i4>0</vt:i4>
      </vt:variant>
      <vt:variant>
        <vt:i4>5</vt:i4>
      </vt:variant>
      <vt:variant>
        <vt:lpwstr/>
      </vt:variant>
      <vt:variant>
        <vt:lpwstr>_Toc412736445</vt:lpwstr>
      </vt:variant>
      <vt:variant>
        <vt:i4>1245233</vt:i4>
      </vt:variant>
      <vt:variant>
        <vt:i4>170</vt:i4>
      </vt:variant>
      <vt:variant>
        <vt:i4>0</vt:i4>
      </vt:variant>
      <vt:variant>
        <vt:i4>5</vt:i4>
      </vt:variant>
      <vt:variant>
        <vt:lpwstr/>
      </vt:variant>
      <vt:variant>
        <vt:lpwstr>_Toc412736444</vt:lpwstr>
      </vt:variant>
      <vt:variant>
        <vt:i4>1245233</vt:i4>
      </vt:variant>
      <vt:variant>
        <vt:i4>164</vt:i4>
      </vt:variant>
      <vt:variant>
        <vt:i4>0</vt:i4>
      </vt:variant>
      <vt:variant>
        <vt:i4>5</vt:i4>
      </vt:variant>
      <vt:variant>
        <vt:lpwstr/>
      </vt:variant>
      <vt:variant>
        <vt:lpwstr>_Toc412736443</vt:lpwstr>
      </vt:variant>
      <vt:variant>
        <vt:i4>1245233</vt:i4>
      </vt:variant>
      <vt:variant>
        <vt:i4>158</vt:i4>
      </vt:variant>
      <vt:variant>
        <vt:i4>0</vt:i4>
      </vt:variant>
      <vt:variant>
        <vt:i4>5</vt:i4>
      </vt:variant>
      <vt:variant>
        <vt:lpwstr/>
      </vt:variant>
      <vt:variant>
        <vt:lpwstr>_Toc412736442</vt:lpwstr>
      </vt:variant>
      <vt:variant>
        <vt:i4>1245233</vt:i4>
      </vt:variant>
      <vt:variant>
        <vt:i4>152</vt:i4>
      </vt:variant>
      <vt:variant>
        <vt:i4>0</vt:i4>
      </vt:variant>
      <vt:variant>
        <vt:i4>5</vt:i4>
      </vt:variant>
      <vt:variant>
        <vt:lpwstr/>
      </vt:variant>
      <vt:variant>
        <vt:lpwstr>_Toc412736441</vt:lpwstr>
      </vt:variant>
      <vt:variant>
        <vt:i4>1245233</vt:i4>
      </vt:variant>
      <vt:variant>
        <vt:i4>146</vt:i4>
      </vt:variant>
      <vt:variant>
        <vt:i4>0</vt:i4>
      </vt:variant>
      <vt:variant>
        <vt:i4>5</vt:i4>
      </vt:variant>
      <vt:variant>
        <vt:lpwstr/>
      </vt:variant>
      <vt:variant>
        <vt:lpwstr>_Toc412736440</vt:lpwstr>
      </vt:variant>
      <vt:variant>
        <vt:i4>1310769</vt:i4>
      </vt:variant>
      <vt:variant>
        <vt:i4>140</vt:i4>
      </vt:variant>
      <vt:variant>
        <vt:i4>0</vt:i4>
      </vt:variant>
      <vt:variant>
        <vt:i4>5</vt:i4>
      </vt:variant>
      <vt:variant>
        <vt:lpwstr/>
      </vt:variant>
      <vt:variant>
        <vt:lpwstr>_Toc412736439</vt:lpwstr>
      </vt:variant>
      <vt:variant>
        <vt:i4>1310769</vt:i4>
      </vt:variant>
      <vt:variant>
        <vt:i4>134</vt:i4>
      </vt:variant>
      <vt:variant>
        <vt:i4>0</vt:i4>
      </vt:variant>
      <vt:variant>
        <vt:i4>5</vt:i4>
      </vt:variant>
      <vt:variant>
        <vt:lpwstr/>
      </vt:variant>
      <vt:variant>
        <vt:lpwstr>_Toc412736438</vt:lpwstr>
      </vt:variant>
      <vt:variant>
        <vt:i4>1310769</vt:i4>
      </vt:variant>
      <vt:variant>
        <vt:i4>128</vt:i4>
      </vt:variant>
      <vt:variant>
        <vt:i4>0</vt:i4>
      </vt:variant>
      <vt:variant>
        <vt:i4>5</vt:i4>
      </vt:variant>
      <vt:variant>
        <vt:lpwstr/>
      </vt:variant>
      <vt:variant>
        <vt:lpwstr>_Toc412736437</vt:lpwstr>
      </vt:variant>
      <vt:variant>
        <vt:i4>1310769</vt:i4>
      </vt:variant>
      <vt:variant>
        <vt:i4>122</vt:i4>
      </vt:variant>
      <vt:variant>
        <vt:i4>0</vt:i4>
      </vt:variant>
      <vt:variant>
        <vt:i4>5</vt:i4>
      </vt:variant>
      <vt:variant>
        <vt:lpwstr/>
      </vt:variant>
      <vt:variant>
        <vt:lpwstr>_Toc412736435</vt:lpwstr>
      </vt:variant>
      <vt:variant>
        <vt:i4>1310769</vt:i4>
      </vt:variant>
      <vt:variant>
        <vt:i4>116</vt:i4>
      </vt:variant>
      <vt:variant>
        <vt:i4>0</vt:i4>
      </vt:variant>
      <vt:variant>
        <vt:i4>5</vt:i4>
      </vt:variant>
      <vt:variant>
        <vt:lpwstr/>
      </vt:variant>
      <vt:variant>
        <vt:lpwstr>_Toc412736434</vt:lpwstr>
      </vt:variant>
      <vt:variant>
        <vt:i4>1310769</vt:i4>
      </vt:variant>
      <vt:variant>
        <vt:i4>110</vt:i4>
      </vt:variant>
      <vt:variant>
        <vt:i4>0</vt:i4>
      </vt:variant>
      <vt:variant>
        <vt:i4>5</vt:i4>
      </vt:variant>
      <vt:variant>
        <vt:lpwstr/>
      </vt:variant>
      <vt:variant>
        <vt:lpwstr>_Toc412736433</vt:lpwstr>
      </vt:variant>
      <vt:variant>
        <vt:i4>1310769</vt:i4>
      </vt:variant>
      <vt:variant>
        <vt:i4>104</vt:i4>
      </vt:variant>
      <vt:variant>
        <vt:i4>0</vt:i4>
      </vt:variant>
      <vt:variant>
        <vt:i4>5</vt:i4>
      </vt:variant>
      <vt:variant>
        <vt:lpwstr/>
      </vt:variant>
      <vt:variant>
        <vt:lpwstr>_Toc412736432</vt:lpwstr>
      </vt:variant>
      <vt:variant>
        <vt:i4>1310769</vt:i4>
      </vt:variant>
      <vt:variant>
        <vt:i4>98</vt:i4>
      </vt:variant>
      <vt:variant>
        <vt:i4>0</vt:i4>
      </vt:variant>
      <vt:variant>
        <vt:i4>5</vt:i4>
      </vt:variant>
      <vt:variant>
        <vt:lpwstr/>
      </vt:variant>
      <vt:variant>
        <vt:lpwstr>_Toc412736431</vt:lpwstr>
      </vt:variant>
      <vt:variant>
        <vt:i4>1310769</vt:i4>
      </vt:variant>
      <vt:variant>
        <vt:i4>92</vt:i4>
      </vt:variant>
      <vt:variant>
        <vt:i4>0</vt:i4>
      </vt:variant>
      <vt:variant>
        <vt:i4>5</vt:i4>
      </vt:variant>
      <vt:variant>
        <vt:lpwstr/>
      </vt:variant>
      <vt:variant>
        <vt:lpwstr>_Toc412736430</vt:lpwstr>
      </vt:variant>
      <vt:variant>
        <vt:i4>1376305</vt:i4>
      </vt:variant>
      <vt:variant>
        <vt:i4>86</vt:i4>
      </vt:variant>
      <vt:variant>
        <vt:i4>0</vt:i4>
      </vt:variant>
      <vt:variant>
        <vt:i4>5</vt:i4>
      </vt:variant>
      <vt:variant>
        <vt:lpwstr/>
      </vt:variant>
      <vt:variant>
        <vt:lpwstr>_Toc412736429</vt:lpwstr>
      </vt:variant>
      <vt:variant>
        <vt:i4>1376305</vt:i4>
      </vt:variant>
      <vt:variant>
        <vt:i4>80</vt:i4>
      </vt:variant>
      <vt:variant>
        <vt:i4>0</vt:i4>
      </vt:variant>
      <vt:variant>
        <vt:i4>5</vt:i4>
      </vt:variant>
      <vt:variant>
        <vt:lpwstr/>
      </vt:variant>
      <vt:variant>
        <vt:lpwstr>_Toc412736425</vt:lpwstr>
      </vt:variant>
      <vt:variant>
        <vt:i4>1376305</vt:i4>
      </vt:variant>
      <vt:variant>
        <vt:i4>74</vt:i4>
      </vt:variant>
      <vt:variant>
        <vt:i4>0</vt:i4>
      </vt:variant>
      <vt:variant>
        <vt:i4>5</vt:i4>
      </vt:variant>
      <vt:variant>
        <vt:lpwstr/>
      </vt:variant>
      <vt:variant>
        <vt:lpwstr>_Toc412736424</vt:lpwstr>
      </vt:variant>
      <vt:variant>
        <vt:i4>1376305</vt:i4>
      </vt:variant>
      <vt:variant>
        <vt:i4>68</vt:i4>
      </vt:variant>
      <vt:variant>
        <vt:i4>0</vt:i4>
      </vt:variant>
      <vt:variant>
        <vt:i4>5</vt:i4>
      </vt:variant>
      <vt:variant>
        <vt:lpwstr/>
      </vt:variant>
      <vt:variant>
        <vt:lpwstr>_Toc412736423</vt:lpwstr>
      </vt:variant>
      <vt:variant>
        <vt:i4>1376305</vt:i4>
      </vt:variant>
      <vt:variant>
        <vt:i4>62</vt:i4>
      </vt:variant>
      <vt:variant>
        <vt:i4>0</vt:i4>
      </vt:variant>
      <vt:variant>
        <vt:i4>5</vt:i4>
      </vt:variant>
      <vt:variant>
        <vt:lpwstr/>
      </vt:variant>
      <vt:variant>
        <vt:lpwstr>_Toc412736422</vt:lpwstr>
      </vt:variant>
      <vt:variant>
        <vt:i4>1376305</vt:i4>
      </vt:variant>
      <vt:variant>
        <vt:i4>56</vt:i4>
      </vt:variant>
      <vt:variant>
        <vt:i4>0</vt:i4>
      </vt:variant>
      <vt:variant>
        <vt:i4>5</vt:i4>
      </vt:variant>
      <vt:variant>
        <vt:lpwstr/>
      </vt:variant>
      <vt:variant>
        <vt:lpwstr>_Toc412736421</vt:lpwstr>
      </vt:variant>
      <vt:variant>
        <vt:i4>1376305</vt:i4>
      </vt:variant>
      <vt:variant>
        <vt:i4>50</vt:i4>
      </vt:variant>
      <vt:variant>
        <vt:i4>0</vt:i4>
      </vt:variant>
      <vt:variant>
        <vt:i4>5</vt:i4>
      </vt:variant>
      <vt:variant>
        <vt:lpwstr/>
      </vt:variant>
      <vt:variant>
        <vt:lpwstr>_Toc412736420</vt:lpwstr>
      </vt:variant>
      <vt:variant>
        <vt:i4>1441841</vt:i4>
      </vt:variant>
      <vt:variant>
        <vt:i4>44</vt:i4>
      </vt:variant>
      <vt:variant>
        <vt:i4>0</vt:i4>
      </vt:variant>
      <vt:variant>
        <vt:i4>5</vt:i4>
      </vt:variant>
      <vt:variant>
        <vt:lpwstr/>
      </vt:variant>
      <vt:variant>
        <vt:lpwstr>_Toc412736418</vt:lpwstr>
      </vt:variant>
      <vt:variant>
        <vt:i4>1441841</vt:i4>
      </vt:variant>
      <vt:variant>
        <vt:i4>38</vt:i4>
      </vt:variant>
      <vt:variant>
        <vt:i4>0</vt:i4>
      </vt:variant>
      <vt:variant>
        <vt:i4>5</vt:i4>
      </vt:variant>
      <vt:variant>
        <vt:lpwstr/>
      </vt:variant>
      <vt:variant>
        <vt:lpwstr>_Toc412736417</vt:lpwstr>
      </vt:variant>
      <vt:variant>
        <vt:i4>1441841</vt:i4>
      </vt:variant>
      <vt:variant>
        <vt:i4>32</vt:i4>
      </vt:variant>
      <vt:variant>
        <vt:i4>0</vt:i4>
      </vt:variant>
      <vt:variant>
        <vt:i4>5</vt:i4>
      </vt:variant>
      <vt:variant>
        <vt:lpwstr/>
      </vt:variant>
      <vt:variant>
        <vt:lpwstr>_Toc412736416</vt:lpwstr>
      </vt:variant>
      <vt:variant>
        <vt:i4>1441841</vt:i4>
      </vt:variant>
      <vt:variant>
        <vt:i4>26</vt:i4>
      </vt:variant>
      <vt:variant>
        <vt:i4>0</vt:i4>
      </vt:variant>
      <vt:variant>
        <vt:i4>5</vt:i4>
      </vt:variant>
      <vt:variant>
        <vt:lpwstr/>
      </vt:variant>
      <vt:variant>
        <vt:lpwstr>_Toc412736415</vt:lpwstr>
      </vt:variant>
      <vt:variant>
        <vt:i4>1441841</vt:i4>
      </vt:variant>
      <vt:variant>
        <vt:i4>20</vt:i4>
      </vt:variant>
      <vt:variant>
        <vt:i4>0</vt:i4>
      </vt:variant>
      <vt:variant>
        <vt:i4>5</vt:i4>
      </vt:variant>
      <vt:variant>
        <vt:lpwstr/>
      </vt:variant>
      <vt:variant>
        <vt:lpwstr>_Toc412736414</vt:lpwstr>
      </vt:variant>
      <vt:variant>
        <vt:i4>1441841</vt:i4>
      </vt:variant>
      <vt:variant>
        <vt:i4>14</vt:i4>
      </vt:variant>
      <vt:variant>
        <vt:i4>0</vt:i4>
      </vt:variant>
      <vt:variant>
        <vt:i4>5</vt:i4>
      </vt:variant>
      <vt:variant>
        <vt:lpwstr/>
      </vt:variant>
      <vt:variant>
        <vt:lpwstr>_Toc412736412</vt:lpwstr>
      </vt:variant>
      <vt:variant>
        <vt:i4>1441841</vt:i4>
      </vt:variant>
      <vt:variant>
        <vt:i4>8</vt:i4>
      </vt:variant>
      <vt:variant>
        <vt:i4>0</vt:i4>
      </vt:variant>
      <vt:variant>
        <vt:i4>5</vt:i4>
      </vt:variant>
      <vt:variant>
        <vt:lpwstr/>
      </vt:variant>
      <vt:variant>
        <vt:lpwstr>_Toc412736411</vt:lpwstr>
      </vt:variant>
      <vt:variant>
        <vt:i4>1441841</vt:i4>
      </vt:variant>
      <vt:variant>
        <vt:i4>2</vt:i4>
      </vt:variant>
      <vt:variant>
        <vt:i4>0</vt:i4>
      </vt:variant>
      <vt:variant>
        <vt:i4>5</vt:i4>
      </vt:variant>
      <vt:variant>
        <vt:lpwstr/>
      </vt:variant>
      <vt:variant>
        <vt:lpwstr>_Toc412736410</vt:lpwstr>
      </vt:variant>
      <vt:variant>
        <vt:i4>8061028</vt:i4>
      </vt:variant>
      <vt:variant>
        <vt:i4>195</vt:i4>
      </vt:variant>
      <vt:variant>
        <vt:i4>0</vt:i4>
      </vt:variant>
      <vt:variant>
        <vt:i4>5</vt:i4>
      </vt:variant>
      <vt:variant>
        <vt:lpwstr>http://www.chicagofed.org/digital_assets/others/events/2014/annual_over_the_counter_derivatives_symposium/tucker_clearinghouses_new_central_banks_tucker_2014.pdf</vt:lpwstr>
      </vt:variant>
      <vt:variant>
        <vt:lpwstr/>
      </vt:variant>
      <vt:variant>
        <vt:i4>524318</vt:i4>
      </vt:variant>
      <vt:variant>
        <vt:i4>192</vt:i4>
      </vt:variant>
      <vt:variant>
        <vt:i4>0</vt:i4>
      </vt:variant>
      <vt:variant>
        <vt:i4>5</vt:i4>
      </vt:variant>
      <vt:variant>
        <vt:lpwstr>http://ec.europa.eu/internal_market/consultations/2012/nonbanks_en.htm</vt:lpwstr>
      </vt:variant>
      <vt:variant>
        <vt:lpwstr/>
      </vt:variant>
      <vt:variant>
        <vt:i4>5111819</vt:i4>
      </vt:variant>
      <vt:variant>
        <vt:i4>189</vt:i4>
      </vt:variant>
      <vt:variant>
        <vt:i4>0</vt:i4>
      </vt:variant>
      <vt:variant>
        <vt:i4>5</vt:i4>
      </vt:variant>
      <vt:variant>
        <vt:lpwstr>http://www2.isda.org/attachment/NTc5Nw==/CCP_loss_allocation_waterfall_0807.pdf</vt:lpwstr>
      </vt:variant>
      <vt:variant>
        <vt:lpwstr/>
      </vt:variant>
      <vt:variant>
        <vt:i4>5111819</vt:i4>
      </vt:variant>
      <vt:variant>
        <vt:i4>186</vt:i4>
      </vt:variant>
      <vt:variant>
        <vt:i4>0</vt:i4>
      </vt:variant>
      <vt:variant>
        <vt:i4>5</vt:i4>
      </vt:variant>
      <vt:variant>
        <vt:lpwstr>http://www2.isda.org/attachment/NTc5Nw==/CCP_loss_allocation_waterfall_0807.pdf</vt:lpwstr>
      </vt:variant>
      <vt:variant>
        <vt:lpwstr/>
      </vt:variant>
      <vt:variant>
        <vt:i4>4587545</vt:i4>
      </vt:variant>
      <vt:variant>
        <vt:i4>183</vt:i4>
      </vt:variant>
      <vt:variant>
        <vt:i4>0</vt:i4>
      </vt:variant>
      <vt:variant>
        <vt:i4>5</vt:i4>
      </vt:variant>
      <vt:variant>
        <vt:lpwstr>http://www.financialstabilityboard.org/publications/c_131025_1.htm</vt:lpwstr>
      </vt:variant>
      <vt:variant>
        <vt:lpwstr/>
      </vt:variant>
      <vt:variant>
        <vt:i4>4653075</vt:i4>
      </vt:variant>
      <vt:variant>
        <vt:i4>180</vt:i4>
      </vt:variant>
      <vt:variant>
        <vt:i4>0</vt:i4>
      </vt:variant>
      <vt:variant>
        <vt:i4>5</vt:i4>
      </vt:variant>
      <vt:variant>
        <vt:lpwstr>http://www.imf.org/external/pubs/ft/gfsr/2010/01/</vt:lpwstr>
      </vt:variant>
      <vt:variant>
        <vt:lpwstr/>
      </vt:variant>
      <vt:variant>
        <vt:i4>327800</vt:i4>
      </vt:variant>
      <vt:variant>
        <vt:i4>177</vt:i4>
      </vt:variant>
      <vt:variant>
        <vt:i4>0</vt:i4>
      </vt:variant>
      <vt:variant>
        <vt:i4>5</vt:i4>
      </vt:variant>
      <vt:variant>
        <vt:lpwstr>http://www.bankofengland.co.uk/publications/Pages/fsr/fs_paper19.aspx</vt:lpwstr>
      </vt:variant>
      <vt:variant>
        <vt:lpwstr/>
      </vt:variant>
      <vt:variant>
        <vt:i4>1835009</vt:i4>
      </vt:variant>
      <vt:variant>
        <vt:i4>174</vt:i4>
      </vt:variant>
      <vt:variant>
        <vt:i4>0</vt:i4>
      </vt:variant>
      <vt:variant>
        <vt:i4>5</vt:i4>
      </vt:variant>
      <vt:variant>
        <vt:lpwstr>http://ec.europa.eu/internal_market/securities/isd/mifid2/index_en.htm</vt:lpwstr>
      </vt:variant>
      <vt:variant>
        <vt:lpwstr/>
      </vt:variant>
      <vt:variant>
        <vt:i4>3997759</vt:i4>
      </vt:variant>
      <vt:variant>
        <vt:i4>171</vt:i4>
      </vt:variant>
      <vt:variant>
        <vt:i4>0</vt:i4>
      </vt:variant>
      <vt:variant>
        <vt:i4>5</vt:i4>
      </vt:variant>
      <vt:variant>
        <vt:lpwstr>http://ec.europa.eu/internal_market/finances/docs/general/20140515-erfra-working-document_en.pdf</vt:lpwstr>
      </vt:variant>
      <vt:variant>
        <vt:lpwstr/>
      </vt:variant>
      <vt:variant>
        <vt:i4>7078014</vt:i4>
      </vt:variant>
      <vt:variant>
        <vt:i4>168</vt:i4>
      </vt:variant>
      <vt:variant>
        <vt:i4>0</vt:i4>
      </vt:variant>
      <vt:variant>
        <vt:i4>5</vt:i4>
      </vt:variant>
      <vt:variant>
        <vt:lpwstr>http://www.ecb.europa.eu/press/key/date/2014/html/sp140917.en.html</vt:lpwstr>
      </vt:variant>
      <vt:variant>
        <vt:lpwstr/>
      </vt:variant>
      <vt:variant>
        <vt:i4>4063268</vt:i4>
      </vt:variant>
      <vt:variant>
        <vt:i4>165</vt:i4>
      </vt:variant>
      <vt:variant>
        <vt:i4>0</vt:i4>
      </vt:variant>
      <vt:variant>
        <vt:i4>5</vt:i4>
      </vt:variant>
      <vt:variant>
        <vt:lpwstr>http://www.bankofengland.co.uk/publications/Documents/fsr/2013/fsrfull1306.pdf</vt:lpwstr>
      </vt:variant>
      <vt:variant>
        <vt:lpwstr/>
      </vt:variant>
      <vt:variant>
        <vt:i4>7995489</vt:i4>
      </vt:variant>
      <vt:variant>
        <vt:i4>162</vt:i4>
      </vt:variant>
      <vt:variant>
        <vt:i4>0</vt:i4>
      </vt:variant>
      <vt:variant>
        <vt:i4>5</vt:i4>
      </vt:variant>
      <vt:variant>
        <vt:lpwstr>http://www2.isda.org/functional-areas/research/studies/</vt:lpwstr>
      </vt:variant>
      <vt:variant>
        <vt:lpwstr/>
      </vt:variant>
      <vt:variant>
        <vt:i4>4587605</vt:i4>
      </vt:variant>
      <vt:variant>
        <vt:i4>159</vt:i4>
      </vt:variant>
      <vt:variant>
        <vt:i4>0</vt:i4>
      </vt:variant>
      <vt:variant>
        <vt:i4>5</vt:i4>
      </vt:variant>
      <vt:variant>
        <vt:lpwstr>http://www.bis.org/statistics/dt1920a.pdf</vt:lpwstr>
      </vt:variant>
      <vt:variant>
        <vt:lpwstr/>
      </vt:variant>
      <vt:variant>
        <vt:i4>3276901</vt:i4>
      </vt:variant>
      <vt:variant>
        <vt:i4>156</vt:i4>
      </vt:variant>
      <vt:variant>
        <vt:i4>0</vt:i4>
      </vt:variant>
      <vt:variant>
        <vt:i4>5</vt:i4>
      </vt:variant>
      <vt:variant>
        <vt:lpwstr>http://www.bis.org/</vt:lpwstr>
      </vt:variant>
      <vt:variant>
        <vt:lpwstr/>
      </vt:variant>
      <vt:variant>
        <vt:i4>7602285</vt:i4>
      </vt:variant>
      <vt:variant>
        <vt:i4>153</vt:i4>
      </vt:variant>
      <vt:variant>
        <vt:i4>0</vt:i4>
      </vt:variant>
      <vt:variant>
        <vt:i4>5</vt:i4>
      </vt:variant>
      <vt:variant>
        <vt:lpwstr>http://www.treasury.gov/initiatives/Documents/Finalruledisclaimer7-18-2011.pdf</vt:lpwstr>
      </vt:variant>
      <vt:variant>
        <vt:lpwstr/>
      </vt:variant>
      <vt:variant>
        <vt:i4>7995495</vt:i4>
      </vt:variant>
      <vt:variant>
        <vt:i4>150</vt:i4>
      </vt:variant>
      <vt:variant>
        <vt:i4>0</vt:i4>
      </vt:variant>
      <vt:variant>
        <vt:i4>5</vt:i4>
      </vt:variant>
      <vt:variant>
        <vt:lpwstr>http://www.federalreserve.gov/newsevents/press/bcreg/bcreg20130403a.pdf</vt:lpwstr>
      </vt:variant>
      <vt:variant>
        <vt:lpwstr/>
      </vt:variant>
      <vt:variant>
        <vt:i4>852062</vt:i4>
      </vt:variant>
      <vt:variant>
        <vt:i4>147</vt:i4>
      </vt:variant>
      <vt:variant>
        <vt:i4>0</vt:i4>
      </vt:variant>
      <vt:variant>
        <vt:i4>5</vt:i4>
      </vt:variant>
      <vt:variant>
        <vt:lpwstr>http://www.treasury.gov/initiatives/fsoc/Documents/Nonbank Designations - Final Rule and Guidance.pdf</vt:lpwstr>
      </vt:variant>
      <vt:variant>
        <vt:lpwstr/>
      </vt:variant>
      <vt:variant>
        <vt:i4>6619169</vt:i4>
      </vt:variant>
      <vt:variant>
        <vt:i4>123</vt:i4>
      </vt:variant>
      <vt:variant>
        <vt:i4>0</vt:i4>
      </vt:variant>
      <vt:variant>
        <vt:i4>5</vt:i4>
      </vt:variant>
      <vt:variant>
        <vt:lpwstr>http://www.bis.org/publ/bcbs200.pdf</vt:lpwstr>
      </vt:variant>
      <vt:variant>
        <vt:lpwstr/>
      </vt:variant>
      <vt:variant>
        <vt:i4>3670046</vt:i4>
      </vt:variant>
      <vt:variant>
        <vt:i4>120</vt:i4>
      </vt:variant>
      <vt:variant>
        <vt:i4>0</vt:i4>
      </vt:variant>
      <vt:variant>
        <vt:i4>5</vt:i4>
      </vt:variant>
      <vt:variant>
        <vt:lpwstr>http://www.financialstabilityboard.org/publications/r_130411a.pdf</vt:lpwstr>
      </vt:variant>
      <vt:variant>
        <vt:lpwstr/>
      </vt:variant>
      <vt:variant>
        <vt:i4>4915209</vt:i4>
      </vt:variant>
      <vt:variant>
        <vt:i4>117</vt:i4>
      </vt:variant>
      <vt:variant>
        <vt:i4>0</vt:i4>
      </vt:variant>
      <vt:variant>
        <vt:i4>5</vt:i4>
      </vt:variant>
      <vt:variant>
        <vt:lpwstr>http://www.bis.org/publ/cpss101a.pdf</vt:lpwstr>
      </vt:variant>
      <vt:variant>
        <vt:lpwstr/>
      </vt:variant>
      <vt:variant>
        <vt:i4>7078015</vt:i4>
      </vt:variant>
      <vt:variant>
        <vt:i4>114</vt:i4>
      </vt:variant>
      <vt:variant>
        <vt:i4>0</vt:i4>
      </vt:variant>
      <vt:variant>
        <vt:i4>5</vt:i4>
      </vt:variant>
      <vt:variant>
        <vt:lpwstr>http://www.financialstabilityboard.org/wp-content/uploads/FSB-Chair-letter-to-G20-February-2015.pdf</vt:lpwstr>
      </vt:variant>
      <vt:variant>
        <vt:lpwstr/>
      </vt:variant>
      <vt:variant>
        <vt:i4>1704015</vt:i4>
      </vt:variant>
      <vt:variant>
        <vt:i4>111</vt:i4>
      </vt:variant>
      <vt:variant>
        <vt:i4>0</vt:i4>
      </vt:variant>
      <vt:variant>
        <vt:i4>5</vt:i4>
      </vt:variant>
      <vt:variant>
        <vt:lpwstr>http://www.cmegroup.com/education/files/balancing-ccp-and-member-contributions-with-exposures.pdf</vt:lpwstr>
      </vt:variant>
      <vt:variant>
        <vt:lpwstr/>
      </vt:variant>
      <vt:variant>
        <vt:i4>2686999</vt:i4>
      </vt:variant>
      <vt:variant>
        <vt:i4>108</vt:i4>
      </vt:variant>
      <vt:variant>
        <vt:i4>0</vt:i4>
      </vt:variant>
      <vt:variant>
        <vt:i4>5</vt:i4>
      </vt:variant>
      <vt:variant>
        <vt:lpwstr>http://secure-area.lchclearnet.com/images/CCP_Risk_Management_Recovery_-_Resolution.pdf</vt:lpwstr>
      </vt:variant>
      <vt:variant>
        <vt:lpwstr/>
      </vt:variant>
      <vt:variant>
        <vt:i4>2359338</vt:i4>
      </vt:variant>
      <vt:variant>
        <vt:i4>105</vt:i4>
      </vt:variant>
      <vt:variant>
        <vt:i4>0</vt:i4>
      </vt:variant>
      <vt:variant>
        <vt:i4>5</vt:i4>
      </vt:variant>
      <vt:variant>
        <vt:lpwstr>http://www.financialstabilityboard.org/wp-content/uploads/TLAC-Condoc-6-Nov-2014-FINAL.pdf</vt:lpwstr>
      </vt:variant>
      <vt:variant>
        <vt:lpwstr/>
      </vt:variant>
      <vt:variant>
        <vt:i4>1441822</vt:i4>
      </vt:variant>
      <vt:variant>
        <vt:i4>102</vt:i4>
      </vt:variant>
      <vt:variant>
        <vt:i4>0</vt:i4>
      </vt:variant>
      <vt:variant>
        <vt:i4>5</vt:i4>
      </vt:variant>
      <vt:variant>
        <vt:lpwstr>http://www.bis.org/cpmi/publ/d121.pdf</vt:lpwstr>
      </vt:variant>
      <vt:variant>
        <vt:lpwstr/>
      </vt:variant>
      <vt:variant>
        <vt:i4>327729</vt:i4>
      </vt:variant>
      <vt:variant>
        <vt:i4>99</vt:i4>
      </vt:variant>
      <vt:variant>
        <vt:i4>0</vt:i4>
      </vt:variant>
      <vt:variant>
        <vt:i4>5</vt:i4>
      </vt:variant>
      <vt:variant>
        <vt:lpwstr>http://www.financialstabilityboard.org/wp-content/uploads/r_141015.pdf</vt:lpwstr>
      </vt:variant>
      <vt:variant>
        <vt:lpwstr/>
      </vt:variant>
      <vt:variant>
        <vt:i4>4915209</vt:i4>
      </vt:variant>
      <vt:variant>
        <vt:i4>96</vt:i4>
      </vt:variant>
      <vt:variant>
        <vt:i4>0</vt:i4>
      </vt:variant>
      <vt:variant>
        <vt:i4>5</vt:i4>
      </vt:variant>
      <vt:variant>
        <vt:lpwstr>http://www.bis.org/publ/cpss101a.pdf</vt:lpwstr>
      </vt:variant>
      <vt:variant>
        <vt:lpwstr/>
      </vt:variant>
      <vt:variant>
        <vt:i4>5111899</vt:i4>
      </vt:variant>
      <vt:variant>
        <vt:i4>93</vt:i4>
      </vt:variant>
      <vt:variant>
        <vt:i4>0</vt:i4>
      </vt:variant>
      <vt:variant>
        <vt:i4>5</vt:i4>
      </vt:variant>
      <vt:variant>
        <vt:lpwstr>https://www.eba.europa.eu/documents/10180/751477/EBA-CP-2014-16++%28CP+on+draft+RTS+on+Content+Res++Plans+and+Assessment+of+Resolvability%29.docx.pdf</vt:lpwstr>
      </vt:variant>
      <vt:variant>
        <vt:lpwstr/>
      </vt:variant>
      <vt:variant>
        <vt:i4>3997759</vt:i4>
      </vt:variant>
      <vt:variant>
        <vt:i4>90</vt:i4>
      </vt:variant>
      <vt:variant>
        <vt:i4>0</vt:i4>
      </vt:variant>
      <vt:variant>
        <vt:i4>5</vt:i4>
      </vt:variant>
      <vt:variant>
        <vt:lpwstr>http://ec.europa.eu/internal_market/finances/docs/general/20140515-erfra-working-document_en.pdf</vt:lpwstr>
      </vt:variant>
      <vt:variant>
        <vt:lpwstr/>
      </vt:variant>
      <vt:variant>
        <vt:i4>6225953</vt:i4>
      </vt:variant>
      <vt:variant>
        <vt:i4>84</vt:i4>
      </vt:variant>
      <vt:variant>
        <vt:i4>0</vt:i4>
      </vt:variant>
      <vt:variant>
        <vt:i4>5</vt:i4>
      </vt:variant>
      <vt:variant>
        <vt:lpwstr>http://www.ecb.europa.eu/press/key/date/2014/html/sp140519_1.en.html</vt:lpwstr>
      </vt:variant>
      <vt:variant>
        <vt:lpwstr/>
      </vt:variant>
      <vt:variant>
        <vt:i4>7995433</vt:i4>
      </vt:variant>
      <vt:variant>
        <vt:i4>81</vt:i4>
      </vt:variant>
      <vt:variant>
        <vt:i4>0</vt:i4>
      </vt:variant>
      <vt:variant>
        <vt:i4>5</vt:i4>
      </vt:variant>
      <vt:variant>
        <vt:lpwstr>http://www.bankofengland.co.uk/publications/Documents/fmi/fmiap1403.pdf</vt:lpwstr>
      </vt:variant>
      <vt:variant>
        <vt:lpwstr/>
      </vt:variant>
      <vt:variant>
        <vt:i4>2687085</vt:i4>
      </vt:variant>
      <vt:variant>
        <vt:i4>78</vt:i4>
      </vt:variant>
      <vt:variant>
        <vt:i4>0</vt:i4>
      </vt:variant>
      <vt:variant>
        <vt:i4>5</vt:i4>
      </vt:variant>
      <vt:variant>
        <vt:lpwstr>http://www.bankofengland.co.uk/financialstability/Documents/fmi/fmisupervision.pdf</vt:lpwstr>
      </vt:variant>
      <vt:variant>
        <vt:lpwstr/>
      </vt:variant>
      <vt:variant>
        <vt:i4>7471145</vt:i4>
      </vt:variant>
      <vt:variant>
        <vt:i4>75</vt:i4>
      </vt:variant>
      <vt:variant>
        <vt:i4>0</vt:i4>
      </vt:variant>
      <vt:variant>
        <vt:i4>5</vt:i4>
      </vt:variant>
      <vt:variant>
        <vt:lpwstr>http://ec.europa.eu/internal_market/bank/docs/crisis-management/2012_eu_framework/impact_assessment_final_en.pdf</vt:lpwstr>
      </vt:variant>
      <vt:variant>
        <vt:lpwstr/>
      </vt:variant>
      <vt:variant>
        <vt:i4>3997759</vt:i4>
      </vt:variant>
      <vt:variant>
        <vt:i4>72</vt:i4>
      </vt:variant>
      <vt:variant>
        <vt:i4>0</vt:i4>
      </vt:variant>
      <vt:variant>
        <vt:i4>5</vt:i4>
      </vt:variant>
      <vt:variant>
        <vt:lpwstr>http://ec.europa.eu/internal_market/finances/docs/general/20140515-erfra-working-document_en.pdf</vt:lpwstr>
      </vt:variant>
      <vt:variant>
        <vt:lpwstr/>
      </vt:variant>
      <vt:variant>
        <vt:i4>2883620</vt:i4>
      </vt:variant>
      <vt:variant>
        <vt:i4>69</vt:i4>
      </vt:variant>
      <vt:variant>
        <vt:i4>0</vt:i4>
      </vt:variant>
      <vt:variant>
        <vt:i4>5</vt:i4>
      </vt:variant>
      <vt:variant>
        <vt:lpwstr>http://www.jpmorganchase.com/corporate/About-JPMC/document/resolution-plan-ccps.pdf?M=22b2d037-ca48-42e1-a49e-53a5e0667db4</vt:lpwstr>
      </vt:variant>
      <vt:variant>
        <vt:lpwstr/>
      </vt:variant>
      <vt:variant>
        <vt:i4>3997759</vt:i4>
      </vt:variant>
      <vt:variant>
        <vt:i4>66</vt:i4>
      </vt:variant>
      <vt:variant>
        <vt:i4>0</vt:i4>
      </vt:variant>
      <vt:variant>
        <vt:i4>5</vt:i4>
      </vt:variant>
      <vt:variant>
        <vt:lpwstr>http://ec.europa.eu/internal_market/finances/docs/general/20140515-erfra-working-document_en.pdf</vt:lpwstr>
      </vt:variant>
      <vt:variant>
        <vt:lpwstr/>
      </vt:variant>
      <vt:variant>
        <vt:i4>8061028</vt:i4>
      </vt:variant>
      <vt:variant>
        <vt:i4>63</vt:i4>
      </vt:variant>
      <vt:variant>
        <vt:i4>0</vt:i4>
      </vt:variant>
      <vt:variant>
        <vt:i4>5</vt:i4>
      </vt:variant>
      <vt:variant>
        <vt:lpwstr>http://www.chicagofed.org/digital_assets/others/events/2014/annual_over_the_counter_derivatives_symposium/tucker_clearinghouses_new_central_banks_tucker_2014.pdf</vt:lpwstr>
      </vt:variant>
      <vt:variant>
        <vt:lpwstr/>
      </vt:variant>
      <vt:variant>
        <vt:i4>3997759</vt:i4>
      </vt:variant>
      <vt:variant>
        <vt:i4>60</vt:i4>
      </vt:variant>
      <vt:variant>
        <vt:i4>0</vt:i4>
      </vt:variant>
      <vt:variant>
        <vt:i4>5</vt:i4>
      </vt:variant>
      <vt:variant>
        <vt:lpwstr>http://ec.europa.eu/internal_market/finances/docs/general/20140515-erfra-working-document_en.pdf</vt:lpwstr>
      </vt:variant>
      <vt:variant>
        <vt:lpwstr/>
      </vt:variant>
      <vt:variant>
        <vt:i4>4915209</vt:i4>
      </vt:variant>
      <vt:variant>
        <vt:i4>57</vt:i4>
      </vt:variant>
      <vt:variant>
        <vt:i4>0</vt:i4>
      </vt:variant>
      <vt:variant>
        <vt:i4>5</vt:i4>
      </vt:variant>
      <vt:variant>
        <vt:lpwstr>http://www.bis.org/publ/cpss101a.pdf</vt:lpwstr>
      </vt:variant>
      <vt:variant>
        <vt:lpwstr/>
      </vt:variant>
      <vt:variant>
        <vt:i4>2949239</vt:i4>
      </vt:variant>
      <vt:variant>
        <vt:i4>54</vt:i4>
      </vt:variant>
      <vt:variant>
        <vt:i4>0</vt:i4>
      </vt:variant>
      <vt:variant>
        <vt:i4>5</vt:i4>
      </vt:variant>
      <vt:variant>
        <vt:lpwstr>http://www.bankofcanada.ca/wp-content/uploads/2012/11/wp2012-35.pdf</vt:lpwstr>
      </vt:variant>
      <vt:variant>
        <vt:lpwstr/>
      </vt:variant>
      <vt:variant>
        <vt:i4>2621488</vt:i4>
      </vt:variant>
      <vt:variant>
        <vt:i4>51</vt:i4>
      </vt:variant>
      <vt:variant>
        <vt:i4>0</vt:i4>
      </vt:variant>
      <vt:variant>
        <vt:i4>5</vt:i4>
      </vt:variant>
      <vt:variant>
        <vt:lpwstr>http://www.bis.org/publ/cpss92.pdf</vt:lpwstr>
      </vt:variant>
      <vt:variant>
        <vt:lpwstr/>
      </vt:variant>
      <vt:variant>
        <vt:i4>8257586</vt:i4>
      </vt:variant>
      <vt:variant>
        <vt:i4>48</vt:i4>
      </vt:variant>
      <vt:variant>
        <vt:i4>0</vt:i4>
      </vt:variant>
      <vt:variant>
        <vt:i4>5</vt:i4>
      </vt:variant>
      <vt:variant>
        <vt:lpwstr>http://sdw.ecb.europa.eu/reports.do?node=1000001583</vt:lpwstr>
      </vt:variant>
      <vt:variant>
        <vt:lpwstr/>
      </vt:variant>
      <vt:variant>
        <vt:i4>7143539</vt:i4>
      </vt:variant>
      <vt:variant>
        <vt:i4>45</vt:i4>
      </vt:variant>
      <vt:variant>
        <vt:i4>0</vt:i4>
      </vt:variant>
      <vt:variant>
        <vt:i4>5</vt:i4>
      </vt:variant>
      <vt:variant>
        <vt:lpwstr>http://mifiddatabase.esma.europa.eu/Index.aspx?sectionlinks_id=24&amp;language=0&amp;pageName=CENTRAL_COUNTERPARTIES_Display&amp;subsection_id=0</vt:lpwstr>
      </vt:variant>
      <vt:variant>
        <vt:lpwstr/>
      </vt:variant>
      <vt:variant>
        <vt:i4>68</vt:i4>
      </vt:variant>
      <vt:variant>
        <vt:i4>42</vt:i4>
      </vt:variant>
      <vt:variant>
        <vt:i4>0</vt:i4>
      </vt:variant>
      <vt:variant>
        <vt:i4>5</vt:i4>
      </vt:variant>
      <vt:variant>
        <vt:lpwstr>http://www.chicagofed.org/digital_assets/publications/economic_perspectives/2006/ep_4qtr2006_part2_bliss_steigerwald.pdf</vt:lpwstr>
      </vt:variant>
      <vt:variant>
        <vt:lpwstr/>
      </vt:variant>
      <vt:variant>
        <vt:i4>6160500</vt:i4>
      </vt:variant>
      <vt:variant>
        <vt:i4>39</vt:i4>
      </vt:variant>
      <vt:variant>
        <vt:i4>0</vt:i4>
      </vt:variant>
      <vt:variant>
        <vt:i4>5</vt:i4>
      </vt:variant>
      <vt:variant>
        <vt:lpwstr>https://www.financialstabilityboard.org/publications/c_131121.htm</vt:lpwstr>
      </vt:variant>
      <vt:variant>
        <vt:lpwstr/>
      </vt:variant>
      <vt:variant>
        <vt:i4>589838</vt:i4>
      </vt:variant>
      <vt:variant>
        <vt:i4>36</vt:i4>
      </vt:variant>
      <vt:variant>
        <vt:i4>0</vt:i4>
      </vt:variant>
      <vt:variant>
        <vt:i4>5</vt:i4>
      </vt:variant>
      <vt:variant>
        <vt:lpwstr>http://www.bis.org/publ/cpss109/comments.htm</vt:lpwstr>
      </vt:variant>
      <vt:variant>
        <vt:lpwstr/>
      </vt:variant>
      <vt:variant>
        <vt:i4>2490431</vt:i4>
      </vt:variant>
      <vt:variant>
        <vt:i4>33</vt:i4>
      </vt:variant>
      <vt:variant>
        <vt:i4>0</vt:i4>
      </vt:variant>
      <vt:variant>
        <vt:i4>5</vt:i4>
      </vt:variant>
      <vt:variant>
        <vt:lpwstr>http://ec.europa.eu/internal_market/consultations/2012/nonbanks/consultation-document_en.pdf</vt:lpwstr>
      </vt:variant>
      <vt:variant>
        <vt:lpwstr/>
      </vt:variant>
      <vt:variant>
        <vt:i4>917539</vt:i4>
      </vt:variant>
      <vt:variant>
        <vt:i4>30</vt:i4>
      </vt:variant>
      <vt:variant>
        <vt:i4>0</vt:i4>
      </vt:variant>
      <vt:variant>
        <vt:i4>5</vt:i4>
      </vt:variant>
      <vt:variant>
        <vt:lpwstr>http://ec.europa.eu/atwork/key-documents/index_en.htm</vt:lpwstr>
      </vt:variant>
      <vt:variant>
        <vt:lpwstr/>
      </vt:variant>
      <vt:variant>
        <vt:i4>5505088</vt:i4>
      </vt:variant>
      <vt:variant>
        <vt:i4>27</vt:i4>
      </vt:variant>
      <vt:variant>
        <vt:i4>0</vt:i4>
      </vt:variant>
      <vt:variant>
        <vt:i4>5</vt:i4>
      </vt:variant>
      <vt:variant>
        <vt:lpwstr>http://www.europarl.europa.eu/sides/getDoc.do?pubRef=-//EP//TEXT+TA+P7-TA-2013-0533+0+DOC+XML+V0//EN</vt:lpwstr>
      </vt:variant>
      <vt:variant>
        <vt:lpwstr/>
      </vt:variant>
      <vt:variant>
        <vt:i4>327729</vt:i4>
      </vt:variant>
      <vt:variant>
        <vt:i4>24</vt:i4>
      </vt:variant>
      <vt:variant>
        <vt:i4>0</vt:i4>
      </vt:variant>
      <vt:variant>
        <vt:i4>5</vt:i4>
      </vt:variant>
      <vt:variant>
        <vt:lpwstr>http://www.financialstabilityboard.org/wp-content/uploads/r_141015.pdf</vt:lpwstr>
      </vt:variant>
      <vt:variant>
        <vt:lpwstr/>
      </vt:variant>
      <vt:variant>
        <vt:i4>1441822</vt:i4>
      </vt:variant>
      <vt:variant>
        <vt:i4>21</vt:i4>
      </vt:variant>
      <vt:variant>
        <vt:i4>0</vt:i4>
      </vt:variant>
      <vt:variant>
        <vt:i4>5</vt:i4>
      </vt:variant>
      <vt:variant>
        <vt:lpwstr>http://www.bis.org/cpmi/publ/d121.pdf</vt:lpwstr>
      </vt:variant>
      <vt:variant>
        <vt:lpwstr/>
      </vt:variant>
      <vt:variant>
        <vt:i4>327729</vt:i4>
      </vt:variant>
      <vt:variant>
        <vt:i4>18</vt:i4>
      </vt:variant>
      <vt:variant>
        <vt:i4>0</vt:i4>
      </vt:variant>
      <vt:variant>
        <vt:i4>5</vt:i4>
      </vt:variant>
      <vt:variant>
        <vt:lpwstr>http://www.financialstabilityboard.org/wp-content/uploads/r_141015.pdf</vt:lpwstr>
      </vt:variant>
      <vt:variant>
        <vt:lpwstr/>
      </vt:variant>
      <vt:variant>
        <vt:i4>327718</vt:i4>
      </vt:variant>
      <vt:variant>
        <vt:i4>15</vt:i4>
      </vt:variant>
      <vt:variant>
        <vt:i4>0</vt:i4>
      </vt:variant>
      <vt:variant>
        <vt:i4>5</vt:i4>
      </vt:variant>
      <vt:variant>
        <vt:lpwstr>http://www.financialstabilityboard.org/publications/r_111104cc.pdf</vt:lpwstr>
      </vt:variant>
      <vt:variant>
        <vt:lpwstr/>
      </vt:variant>
      <vt:variant>
        <vt:i4>3080288</vt:i4>
      </vt:variant>
      <vt:variant>
        <vt:i4>12</vt:i4>
      </vt:variant>
      <vt:variant>
        <vt:i4>0</vt:i4>
      </vt:variant>
      <vt:variant>
        <vt:i4>5</vt:i4>
      </vt:variant>
      <vt:variant>
        <vt:lpwstr>http://ec.europa.eu/internal_market/finances/banking-union/index_en.htm</vt:lpwstr>
      </vt:variant>
      <vt:variant>
        <vt:lpwstr/>
      </vt:variant>
      <vt:variant>
        <vt:i4>327730</vt:i4>
      </vt:variant>
      <vt:variant>
        <vt:i4>9</vt:i4>
      </vt:variant>
      <vt:variant>
        <vt:i4>0</vt:i4>
      </vt:variant>
      <vt:variant>
        <vt:i4>5</vt:i4>
      </vt:variant>
      <vt:variant>
        <vt:lpwstr>http://ec.europa.eu/internal_market/bank/crisis_management/index_en.htm</vt:lpwstr>
      </vt:variant>
      <vt:variant>
        <vt:lpwstr/>
      </vt:variant>
      <vt:variant>
        <vt:i4>2490431</vt:i4>
      </vt:variant>
      <vt:variant>
        <vt:i4>6</vt:i4>
      </vt:variant>
      <vt:variant>
        <vt:i4>0</vt:i4>
      </vt:variant>
      <vt:variant>
        <vt:i4>5</vt:i4>
      </vt:variant>
      <vt:variant>
        <vt:lpwstr>http://ec.europa.eu/internal_market/consultations/2012/nonbanks/consultation-document_en.pdf</vt:lpwstr>
      </vt:variant>
      <vt:variant>
        <vt:lpwstr/>
      </vt:variant>
      <vt:variant>
        <vt:i4>2621494</vt:i4>
      </vt:variant>
      <vt:variant>
        <vt:i4>3</vt:i4>
      </vt:variant>
      <vt:variant>
        <vt:i4>0</vt:i4>
      </vt:variant>
      <vt:variant>
        <vt:i4>5</vt:i4>
      </vt:variant>
      <vt:variant>
        <vt:lpwstr>http://eur-lex.europa.eu/legal-content/EN/TXT/;ELX_SESSIONID=2hCkTyTNGyHG1hNnQmvLry3rTZt5TTSkrM1LLv12RFZ9hNy9lbl7!-1897320616?uri=uriserv:OJ.L_.2014.173.01.0190.01.ENG</vt:lpwstr>
      </vt:variant>
      <vt:variant>
        <vt:lpwstr/>
      </vt:variant>
      <vt:variant>
        <vt:i4>7078015</vt:i4>
      </vt:variant>
      <vt:variant>
        <vt:i4>0</vt:i4>
      </vt:variant>
      <vt:variant>
        <vt:i4>0</vt:i4>
      </vt:variant>
      <vt:variant>
        <vt:i4>5</vt:i4>
      </vt:variant>
      <vt:variant>
        <vt:lpwstr>http://www.financialstabilityboard.org/wp-content/uploads/FSB-Chair-letter-to-G20-February-2015.pdf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28082015 Impact Assessment for CCP recovery and resolution proposal</dc:title>
  <dc:creator/>
  <cp:keywords>EL4</cp:keywords>
  <cp:lastModifiedBy>DIGIT/A3</cp:lastModifiedBy>
  <cp:revision>17</cp:revision>
  <cp:lastPrinted>2016-11-15T17:46:00Z</cp:lastPrinted>
  <dcterms:created xsi:type="dcterms:W3CDTF">2016-11-15T17:46:00Z</dcterms:created>
  <dcterms:modified xsi:type="dcterms:W3CDTF">2016-11-22T14:18:00Z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4.5.0.2</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GG</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Classification">
    <vt:lpwstr> </vt:lpwstr>
  </property>
  <property fmtid="{D5CDD505-2E9C-101B-9397-08002B2CF9AE}" pid="14" name="Part">
    <vt:lpwstr>1</vt:lpwstr>
  </property>
  <property fmtid="{D5CDD505-2E9C-101B-9397-08002B2CF9AE}" pid="15" name="Total parts">
    <vt:lpwstr>1</vt:lpwstr>
  </property>
  <property fmtid="{D5CDD505-2E9C-101B-9397-08002B2CF9AE}" pid="16" name="DocStatus">
    <vt:lpwstr>Green</vt:lpwstr>
  </property>
</Properties>
</file>