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6870CCE9D7844EA9BED28FCEA58B822" style="width:450.75pt;height:351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заключенията си относно биологичното земеделие в рамките на 3237-ото заседание на Съвета по селско стопанство и рибарство Съветът на Европейския съюз насърчи Комисията да подобри съществуващите механизми за улесняване на международната търговия с биологични продукти и да изисква реципрочност и прозрачност при всички търговски споразумения.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16 юни 2014 г. Съветът упълномощи Комисията да преговаря за сключването на споразумения между ЕС и трети държави относно търговията с биологични продукти.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Въз основа на дадените от Съвета указания за водене на преговори Комисията договори с Чили споразумение за взаимно признаване на равностойността на съответните правила за биологично производство и системи за контрол по отношение на някои продукти.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Целта на Споразумението между ЕС и Чили относно търговията с биологични продукти е да се насърчи търговията с такива продукти между двете страни, да се постигне висока степен на спазване на принципите на правилата за биологично производство и да се гарантира взаимната защита на логотипите за биологични продукти.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Със споразумението за равностойност ще се даде възможност на продуктите, произведени и контролирани съгласно правилата на ЕС, да бъдат директно пуснати на пазара на Чили и обратно. Наред с това в него се предвижда система за сътрудничество, обмен на информация и разрешаване на спорове във връзка с търговията с биологични продукти.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Чили ще признава като равностойни всички биологични продукти от Съюза, включени в обхвата на Регламент (ЕО) № 834/2007, а именно: непреработени растителни продукти, живи животни или непреработени животински продукти (включително мед), продукти от аквакултури и водорасли, преработени селскостопански продукти, предназначени за храна (включително вино), преработени селскостопански продукти, предназначени за фураж, посадъчен и посевен материал.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Съюзът, от своя страна, ще признава като равностойни следните продукти от Чили: непреработени растителни продукти, мед, преработени селскостопански продукти, предназначени за храна (включително вино), посадъчен и посевен материал.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Прилаганите в Чили правила за производство на животински продукти, различни от продукти на пчеларството, както и на фуражи, не бяха счетени за равностойни и биха могли да бъдат признати за такива едва на по-късен етап, след като в Чили бъде разработено съответното законодателство. Въпреки че в Чили не съществуват правила за биологичното производство на аквакултури, държавата се съгласи да признае биологичните продукти от аквакултури и водорасли от ЕС.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Макар за Съюза да не са предвидени условия във връзка с вносните съставки, за преработените в Чили селскостопански продукти, предназначена за храна, трябва да се </w:t>
      </w:r>
      <w:r>
        <w:rPr>
          <w:noProof/>
        </w:rPr>
        <w:lastRenderedPageBreak/>
        <w:t>използват чилийски биологично отгледани съставки или съставки, внасяни в Чили от Съюза или от трета държава, която е призната за равностойна (в съответствие с член 33, параграф 2 от Регламент (ЕО) № 834/2007) от Съюза, но не и от трети държави, за които ЕС е признал единствено контролни или надзорни органи (в съответствие с член 33, параграф 3 от Регламент (ЕО) № 834/2007).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Комисията договори споразумението в съответствие с решението на Съвета от 16 юни 2014 г., с което бе упълномощена да преговаря за сключването на споразумения между ЕС и трети държави относно търговията с биологични продукти и с което бяха приети съответните указания за водене на преговори.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Търговската политика е от изключителната компетентност на Съюза. Поради това споразумението е договорено и подписано в съответствие с членове 207 и 218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rPr>
          <w:rFonts w:eastAsia="Arial Unicode MS"/>
          <w:noProof/>
        </w:rPr>
      </w:pPr>
      <w:r>
        <w:rPr>
          <w:noProof/>
        </w:rPr>
        <w:t>Не се прилага</w:t>
      </w:r>
      <w:r>
        <w:rPr>
          <w:noProof/>
        </w:rPr>
        <w:tab/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Няма отражение върху бюджета.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noProof/>
        </w:rPr>
      </w:pPr>
      <w:r>
        <w:rPr>
          <w:b w:val="0"/>
          <w:noProof/>
          <w:u w:color="000000"/>
          <w:bdr w:val="nil"/>
        </w:rPr>
        <w:t>Не се прилага</w:t>
      </w:r>
      <w:r>
        <w:rPr>
          <w:noProof/>
        </w:rPr>
        <w:tab/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2016/0316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Споразумението между Европейския съюз и Република Чили относно търговията с биологични продукти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алинея, във връзка с член 218, параграф 5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На 16 юни 2014 г. Съветът упълномощи Комисията да започне преговори с трети държави с оглед на сключването на споразумения за търговия с биологични продукти.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Комисията договори от името на Съюза споразумение с Република Чили относно търговията с биологични продукти (наричано по-долу „споразумението“).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посоченото споразумение Съюзът и Република Чили признават равностойността на своите правила за биологично производство и системите за контрол по отношение на биологичните продукти.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Целта на споразумението е да се насърчи търговията с биологични продукти, като се подпомага развитието и разрастването на сектора на биологичното производство в Съюза и в Република Чили и се постигне стриктно спазване на принципите на правилата за биологично производство, гарантиране на системите за контрол и на биологичния характер на продуктите. Наред с това следва да се подобри защитата на съответните логотипи за биологични продукти. Споразумението цели също така подобряване на регулаторното сътрудничество между страните по въпросите, свързани с биологичното производство.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Поради това споразумението следва да бъде подписано от името на Съюза, при условие че бъде сключено на по-късна дата,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Подписването на Споразумението между Европейския съюз и Република Чили относно търговията с биологични продукти се одобрява от името на Съюза, при условие че бъде сключено.</w:t>
      </w:r>
    </w:p>
    <w:p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инструмента за предоставяне на пълномощия за подписване на споразумението, при условие че бъде сключено, на лицето (или лицата), посочено от преговарящия по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на […] година.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C1847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E499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DF4B5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4AFC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E4244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67C90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BCC0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9B81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10 09:54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6870CCE9D7844EA9BED28FCEA58B822"/>
    <w:docVar w:name="LW_CROSSREFERENCE" w:val="&lt;UNUSED&gt;"/>
    <w:docVar w:name="LW_DocType" w:val="COM"/>
    <w:docVar w:name="LW_EMISSION" w:val="10.10.2016"/>
    <w:docVar w:name="LW_EMISSION_ISODATE" w:val="2016-10-1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6"/>
    <w:docVar w:name="LW_REF.II.NEW.CP_YEAR" w:val="2016"/>
    <w:docVar w:name="LW_REF.INST.NEW" w:val="COM"/>
    <w:docVar w:name="LW_REF.INST.NEW_ADOPTED" w:val="final"/>
    <w:docVar w:name="LW_REF.INST.NEW_TEXT" w:val="(2016) 648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\u1090?\u1086? \u1084?\u1077?\u1078?\u1076?\u1091? \u1045?\u1074?\u1088?\u1086?\u1087?\u1077?\u1081?\u1089?\u1082?\u1080?\u1103? \u1089?\u1098?\u1102?\u1079? \u1080? \u1056?\u1077?\u1087?\u1091?\u1073?\u1083?\u1080?\u1082?\u1072? \u1063?\u1080?\u1083?\u1080? \u1086?\u1090?\u1085?\u1086?\u1089?\u1085?\u1086? \u1090?\u1098?\u1088?\u1075?\u1086?\u1074?\u1080?\u1103?\u1090?\u1072? \u1089? \u1073?\u1080?\u1086?\u1083?\u1086?\u1075?\u1080?\u1095?\u1085?\u1080? \u1087?\u1088?\u1086?\u1076?\u1091?\u1082?\u109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5DC0-F2A1-4A6E-9A3A-03AA056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889</Words>
  <Characters>5256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2016-04-29T08:51:00Z</cp:lastPrinted>
  <dcterms:created xsi:type="dcterms:W3CDTF">2016-07-13T10:28:00Z</dcterms:created>
  <dcterms:modified xsi:type="dcterms:W3CDTF">2016-10-10T07:54:00Z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