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5A" w:rsidRDefault="00622AF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B804DAFECBD4E12A816AA0182D96113" style="width:450.75pt;height:321pt">
            <v:imagedata r:id="rId9" o:title=""/>
          </v:shape>
        </w:pict>
      </w:r>
    </w:p>
    <w:bookmarkEnd w:id="0"/>
    <w:p w:rsidR="00C0375A" w:rsidRDefault="00C0375A">
      <w:pPr>
        <w:rPr>
          <w:noProof/>
        </w:rPr>
        <w:sectPr w:rsidR="00C0375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0375A" w:rsidRDefault="00622AF0">
      <w:pPr>
        <w:pStyle w:val="TOCHeading"/>
        <w:rPr>
          <w:noProof/>
          <w:lang w:val="en-GB" w:eastAsia="de-DE" w:bidi="ar-SA"/>
        </w:rPr>
      </w:pPr>
      <w:bookmarkStart w:id="1" w:name="_Toc261355713"/>
      <w:bookmarkStart w:id="2" w:name="_Toc466556573"/>
      <w:bookmarkStart w:id="3" w:name="_Toc467836882"/>
      <w:bookmarkStart w:id="4" w:name="_Toc467837223"/>
      <w:bookmarkStart w:id="5" w:name="_Toc467837385"/>
      <w:r>
        <w:rPr>
          <w:noProof/>
          <w:lang w:val="en-GB" w:eastAsia="de-DE" w:bidi="ar-SA"/>
        </w:rPr>
        <w:lastRenderedPageBreak/>
        <w:t>Table des matières</w:t>
      </w:r>
    </w:p>
    <w:p w:rsidR="00C0375A" w:rsidRDefault="00622AF0">
      <w:pPr>
        <w:pStyle w:val="ManualHeading1"/>
        <w:rPr>
          <w:rFonts w:eastAsiaTheme="minorEastAsia" w:cstheme="minorBidi"/>
          <w:noProof/>
          <w:sz w:val="22"/>
          <w:szCs w:val="22"/>
          <w:lang w:val="en-GB" w:eastAsia="en-GB" w:bidi="ar-SA"/>
        </w:rPr>
      </w:pPr>
      <w:r>
        <w:tab/>
      </w:r>
      <w:r>
        <w:rPr>
          <w:noProof/>
        </w:rPr>
        <w:fldChar w:fldCharType="begin"/>
      </w:r>
      <w:r>
        <w:rPr>
          <w:noProof/>
        </w:rPr>
        <w:instrText xml:space="preserve"> TOC \o "1-1" \h \z \t "Normal,2,Heading 2,2,Text 1,2" </w:instrText>
      </w:r>
      <w:r>
        <w:rPr>
          <w:noProof/>
        </w:rPr>
        <w:fldChar w:fldCharType="separate"/>
      </w:r>
      <w:hyperlink w:anchor="_Toc467837676" w:history="1">
        <w:r>
          <w:rPr>
            <w:rStyle w:val="Hyperlink"/>
            <w:noProof/>
          </w:rPr>
          <w:t>1.</w:t>
        </w:r>
        <w:r>
          <w:rPr>
            <w:rFonts w:eastAsiaTheme="minorEastAsia"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_Toc467837676 \h </w:instrText>
        </w:r>
        <w:r>
          <w:rPr>
            <w:noProof/>
            <w:webHidden/>
          </w:rPr>
        </w:r>
        <w:r>
          <w:rPr>
            <w:noProof/>
            <w:webHidden/>
          </w:rPr>
          <w:fldChar w:fldCharType="separate"/>
        </w:r>
        <w:r>
          <w:rPr>
            <w:noProof/>
            <w:webHidden/>
          </w:rPr>
          <w:t>3</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685" w:history="1">
        <w:r>
          <w:rPr>
            <w:rStyle w:val="Hyperlink"/>
            <w:noProof/>
          </w:rPr>
          <w:t>2.</w:t>
        </w:r>
        <w:r>
          <w:rPr>
            <w:rFonts w:eastAsiaTheme="minorEastAsia" w:cstheme="minorBidi"/>
            <w:noProof/>
            <w:sz w:val="22"/>
            <w:szCs w:val="22"/>
            <w:lang w:val="en-GB" w:eastAsia="en-GB" w:bidi="ar-SA"/>
          </w:rPr>
          <w:tab/>
        </w:r>
        <w:r>
          <w:rPr>
            <w:rStyle w:val="Hyperlink"/>
            <w:caps/>
            <w:noProof/>
          </w:rPr>
          <w:t>MÉthode</w:t>
        </w:r>
        <w:r>
          <w:rPr>
            <w:noProof/>
            <w:webHidden/>
          </w:rPr>
          <w:tab/>
        </w:r>
        <w:r>
          <w:rPr>
            <w:noProof/>
            <w:webHidden/>
          </w:rPr>
          <w:fldChar w:fldCharType="begin"/>
        </w:r>
        <w:r>
          <w:rPr>
            <w:noProof/>
            <w:webHidden/>
          </w:rPr>
          <w:instrText xml:space="preserve"> PAGEREF _Toc467837685 \h </w:instrText>
        </w:r>
        <w:r>
          <w:rPr>
            <w:noProof/>
            <w:webHidden/>
          </w:rPr>
        </w:r>
        <w:r>
          <w:rPr>
            <w:noProof/>
            <w:webHidden/>
          </w:rPr>
          <w:fldChar w:fldCharType="separate"/>
        </w:r>
        <w:r>
          <w:rPr>
            <w:noProof/>
            <w:webHidden/>
          </w:rPr>
          <w:t>4</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691" w:history="1">
        <w:r>
          <w:rPr>
            <w:rStyle w:val="Hyperlink"/>
            <w:rFonts w:eastAsiaTheme="majorEastAsia" w:cstheme="majorBidi"/>
            <w:bCs/>
            <w:noProof/>
          </w:rPr>
          <w:t>3.</w:t>
        </w:r>
        <w:r>
          <w:rPr>
            <w:rFonts w:eastAsiaTheme="minorEastAsia" w:cstheme="minorBidi"/>
            <w:noProof/>
            <w:sz w:val="22"/>
            <w:szCs w:val="22"/>
            <w:lang w:val="en-GB" w:eastAsia="en-GB" w:bidi="ar-SA"/>
          </w:rPr>
          <w:tab/>
        </w:r>
        <w:r>
          <w:rPr>
            <w:rStyle w:val="Hyperlink"/>
            <w:rFonts w:eastAsiaTheme="majorEastAsia" w:cstheme="majorBidi"/>
            <w:bCs/>
            <w:noProof/>
          </w:rPr>
          <w:t>VUE D’ENSEMBLE DU SECTEUR DE L’APICULTURE DANS L’UE</w:t>
        </w:r>
        <w:r>
          <w:rPr>
            <w:noProof/>
            <w:webHidden/>
          </w:rPr>
          <w:tab/>
        </w:r>
        <w:r>
          <w:rPr>
            <w:noProof/>
            <w:webHidden/>
          </w:rPr>
          <w:fldChar w:fldCharType="begin"/>
        </w:r>
        <w:r>
          <w:rPr>
            <w:noProof/>
            <w:webHidden/>
          </w:rPr>
          <w:instrText xml:space="preserve"> PAGEREF _Toc467837691 \h </w:instrText>
        </w:r>
        <w:r>
          <w:rPr>
            <w:noProof/>
            <w:webHidden/>
          </w:rPr>
        </w:r>
        <w:r>
          <w:rPr>
            <w:noProof/>
            <w:webHidden/>
          </w:rPr>
          <w:fldChar w:fldCharType="separate"/>
        </w:r>
        <w:r>
          <w:rPr>
            <w:noProof/>
            <w:webHidden/>
          </w:rPr>
          <w:t>4</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692" w:history="1">
        <w:r>
          <w:rPr>
            <w:rStyle w:val="Hyperlink"/>
            <w:rFonts w:eastAsiaTheme="majorEastAsia" w:cstheme="majorBidi"/>
            <w:bCs/>
            <w:noProof/>
          </w:rPr>
          <w:t>3.1</w:t>
        </w:r>
        <w:r>
          <w:rPr>
            <w:rFonts w:eastAsiaTheme="minorEastAsia" w:cstheme="minorBidi"/>
            <w:noProof/>
            <w:sz w:val="22"/>
            <w:szCs w:val="22"/>
            <w:lang w:val="en-GB" w:eastAsia="en-GB" w:bidi="ar-SA"/>
          </w:rPr>
          <w:tab/>
        </w:r>
        <w:r>
          <w:rPr>
            <w:rStyle w:val="Hyperlink"/>
            <w:rFonts w:eastAsiaTheme="majorEastAsia" w:cstheme="majorBidi"/>
            <w:bCs/>
            <w:noProof/>
          </w:rPr>
          <w:t>Production et prix</w:t>
        </w:r>
        <w:r>
          <w:rPr>
            <w:noProof/>
            <w:webHidden/>
          </w:rPr>
          <w:tab/>
        </w:r>
        <w:r>
          <w:rPr>
            <w:noProof/>
            <w:webHidden/>
          </w:rPr>
          <w:fldChar w:fldCharType="begin"/>
        </w:r>
        <w:r>
          <w:rPr>
            <w:noProof/>
            <w:webHidden/>
          </w:rPr>
          <w:instrText xml:space="preserve"> PAGEREF _Toc467837692 \h </w:instrText>
        </w:r>
        <w:r>
          <w:rPr>
            <w:noProof/>
            <w:webHidden/>
          </w:rPr>
        </w:r>
        <w:r>
          <w:rPr>
            <w:noProof/>
            <w:webHidden/>
          </w:rPr>
          <w:fldChar w:fldCharType="separate"/>
        </w:r>
        <w:r>
          <w:rPr>
            <w:noProof/>
            <w:webHidden/>
          </w:rPr>
          <w:t>4</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01" w:history="1">
        <w:r>
          <w:rPr>
            <w:rStyle w:val="Hyperlink"/>
            <w:rFonts w:eastAsiaTheme="majorEastAsia" w:cstheme="majorBidi"/>
            <w:bCs/>
            <w:noProof/>
          </w:rPr>
          <w:t>3.2</w:t>
        </w:r>
        <w:r>
          <w:rPr>
            <w:rFonts w:eastAsiaTheme="minorEastAsia" w:cstheme="minorBidi"/>
            <w:noProof/>
            <w:sz w:val="22"/>
            <w:szCs w:val="22"/>
            <w:lang w:val="en-GB" w:eastAsia="en-GB" w:bidi="ar-SA"/>
          </w:rPr>
          <w:tab/>
        </w:r>
        <w:r>
          <w:rPr>
            <w:rStyle w:val="Hyperlink"/>
            <w:rFonts w:eastAsiaTheme="majorEastAsia" w:cstheme="majorBidi"/>
            <w:bCs/>
            <w:noProof/>
          </w:rPr>
          <w:t>Co</w:t>
        </w:r>
        <w:r>
          <w:rPr>
            <w:rStyle w:val="Hyperlink"/>
            <w:rFonts w:eastAsiaTheme="majorEastAsia" w:cstheme="majorBidi"/>
            <w:bCs/>
            <w:noProof/>
          </w:rPr>
          <w:t>mmerce</w:t>
        </w:r>
        <w:r>
          <w:rPr>
            <w:noProof/>
            <w:webHidden/>
          </w:rPr>
          <w:tab/>
        </w:r>
        <w:r>
          <w:rPr>
            <w:noProof/>
            <w:webHidden/>
          </w:rPr>
          <w:fldChar w:fldCharType="begin"/>
        </w:r>
        <w:r>
          <w:rPr>
            <w:noProof/>
            <w:webHidden/>
          </w:rPr>
          <w:instrText xml:space="preserve"> PAGEREF _Toc467837701 \h </w:instrText>
        </w:r>
        <w:r>
          <w:rPr>
            <w:noProof/>
            <w:webHidden/>
          </w:rPr>
        </w:r>
        <w:r>
          <w:rPr>
            <w:noProof/>
            <w:webHidden/>
          </w:rPr>
          <w:fldChar w:fldCharType="separate"/>
        </w:r>
        <w:r>
          <w:rPr>
            <w:noProof/>
            <w:webHidden/>
          </w:rPr>
          <w:t>5</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08" w:history="1">
        <w:r>
          <w:rPr>
            <w:rStyle w:val="Hyperlink"/>
            <w:rFonts w:eastAsiaTheme="majorEastAsia" w:cstheme="majorBidi"/>
            <w:bCs/>
            <w:noProof/>
          </w:rPr>
          <w:t>3.3</w:t>
        </w:r>
        <w:r>
          <w:rPr>
            <w:rFonts w:eastAsiaTheme="minorEastAsia" w:cstheme="minorBidi"/>
            <w:noProof/>
            <w:sz w:val="22"/>
            <w:szCs w:val="22"/>
            <w:lang w:val="en-GB" w:eastAsia="en-GB" w:bidi="ar-SA"/>
          </w:rPr>
          <w:tab/>
        </w:r>
        <w:r>
          <w:rPr>
            <w:rStyle w:val="Hyperlink"/>
            <w:rFonts w:eastAsiaTheme="majorEastAsia" w:cstheme="majorBidi"/>
            <w:bCs/>
            <w:noProof/>
          </w:rPr>
          <w:t>Recensement des ruches</w:t>
        </w:r>
        <w:r>
          <w:rPr>
            <w:noProof/>
            <w:webHidden/>
          </w:rPr>
          <w:tab/>
        </w:r>
        <w:r>
          <w:rPr>
            <w:noProof/>
            <w:webHidden/>
          </w:rPr>
          <w:fldChar w:fldCharType="begin"/>
        </w:r>
        <w:r>
          <w:rPr>
            <w:noProof/>
            <w:webHidden/>
          </w:rPr>
          <w:instrText xml:space="preserve"> PAGEREF _Toc467837708 \h </w:instrText>
        </w:r>
        <w:r>
          <w:rPr>
            <w:noProof/>
            <w:webHidden/>
          </w:rPr>
        </w:r>
        <w:r>
          <w:rPr>
            <w:noProof/>
            <w:webHidden/>
          </w:rPr>
          <w:fldChar w:fldCharType="separate"/>
        </w:r>
        <w:r>
          <w:rPr>
            <w:noProof/>
            <w:webHidden/>
          </w:rPr>
          <w:t>6</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14" w:history="1">
        <w:r>
          <w:rPr>
            <w:rStyle w:val="Hyperlink"/>
            <w:rFonts w:eastAsiaTheme="majorEastAsia" w:cstheme="majorBidi"/>
            <w:bCs/>
            <w:noProof/>
          </w:rPr>
          <w:t>3.4</w:t>
        </w:r>
        <w:r>
          <w:rPr>
            <w:rFonts w:eastAsiaTheme="minorEastAsia" w:cstheme="minorBidi"/>
            <w:noProof/>
            <w:sz w:val="22"/>
            <w:szCs w:val="22"/>
            <w:lang w:val="en-GB" w:eastAsia="en-GB" w:bidi="ar-SA"/>
          </w:rPr>
          <w:tab/>
        </w:r>
        <w:r>
          <w:rPr>
            <w:rStyle w:val="Hyperlink"/>
            <w:rFonts w:eastAsiaTheme="majorEastAsia" w:cstheme="majorBidi"/>
            <w:bCs/>
            <w:noProof/>
          </w:rPr>
          <w:t>Recensement des apiculteurs</w:t>
        </w:r>
        <w:r>
          <w:rPr>
            <w:noProof/>
            <w:webHidden/>
          </w:rPr>
          <w:tab/>
        </w:r>
        <w:r>
          <w:rPr>
            <w:noProof/>
            <w:webHidden/>
          </w:rPr>
          <w:fldChar w:fldCharType="begin"/>
        </w:r>
        <w:r>
          <w:rPr>
            <w:noProof/>
            <w:webHidden/>
          </w:rPr>
          <w:instrText xml:space="preserve"> PAGEREF _Toc467837714 \h </w:instrText>
        </w:r>
        <w:r>
          <w:rPr>
            <w:noProof/>
            <w:webHidden/>
          </w:rPr>
        </w:r>
        <w:r>
          <w:rPr>
            <w:noProof/>
            <w:webHidden/>
          </w:rPr>
          <w:fldChar w:fldCharType="separate"/>
        </w:r>
        <w:r>
          <w:rPr>
            <w:noProof/>
            <w:webHidden/>
          </w:rPr>
          <w:t>6</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22" w:history="1">
        <w:r>
          <w:rPr>
            <w:rStyle w:val="Hyperlink"/>
            <w:rFonts w:eastAsiaTheme="majorEastAsia" w:cstheme="majorBidi"/>
            <w:bCs/>
            <w:noProof/>
          </w:rPr>
          <w:t>4.</w:t>
        </w:r>
        <w:r>
          <w:rPr>
            <w:rFonts w:eastAsiaTheme="minorEastAsia" w:cstheme="minorBidi"/>
            <w:noProof/>
            <w:sz w:val="22"/>
            <w:szCs w:val="22"/>
            <w:lang w:val="en-GB" w:eastAsia="en-GB" w:bidi="ar-SA"/>
          </w:rPr>
          <w:tab/>
        </w:r>
        <w:r>
          <w:rPr>
            <w:rStyle w:val="Hyperlink"/>
            <w:rFonts w:eastAsiaTheme="majorEastAsia" w:cstheme="majorBidi"/>
            <w:bCs/>
            <w:noProof/>
          </w:rPr>
          <w:t>MISE EN ŒUVRE DES PROGRAMMES APICOLES NATIONAUX</w:t>
        </w:r>
        <w:r>
          <w:rPr>
            <w:noProof/>
            <w:webHidden/>
          </w:rPr>
          <w:tab/>
        </w:r>
        <w:r>
          <w:rPr>
            <w:noProof/>
            <w:webHidden/>
          </w:rPr>
          <w:fldChar w:fldCharType="begin"/>
        </w:r>
        <w:r>
          <w:rPr>
            <w:noProof/>
            <w:webHidden/>
          </w:rPr>
          <w:instrText xml:space="preserve"> PAGEREF _Toc467837722 \h </w:instrText>
        </w:r>
        <w:r>
          <w:rPr>
            <w:noProof/>
            <w:webHidden/>
          </w:rPr>
        </w:r>
        <w:r>
          <w:rPr>
            <w:noProof/>
            <w:webHidden/>
          </w:rPr>
          <w:fldChar w:fldCharType="separate"/>
        </w:r>
        <w:r>
          <w:rPr>
            <w:noProof/>
            <w:webHidden/>
          </w:rPr>
          <w:t>7</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23" w:history="1">
        <w:r>
          <w:rPr>
            <w:rStyle w:val="Hyperlink"/>
            <w:noProof/>
          </w:rPr>
          <w:t>4.1</w:t>
        </w:r>
        <w:r>
          <w:rPr>
            <w:rFonts w:eastAsiaTheme="minorEastAsia" w:cstheme="minorBidi"/>
            <w:noProof/>
            <w:sz w:val="22"/>
            <w:szCs w:val="22"/>
            <w:lang w:val="en-GB" w:eastAsia="en-GB" w:bidi="ar-SA"/>
          </w:rPr>
          <w:tab/>
        </w:r>
        <w:r>
          <w:rPr>
            <w:rStyle w:val="Hyperlink"/>
            <w:noProof/>
          </w:rPr>
          <w:t>Base juridique</w:t>
        </w:r>
        <w:r>
          <w:rPr>
            <w:noProof/>
            <w:webHidden/>
          </w:rPr>
          <w:tab/>
        </w:r>
        <w:r>
          <w:rPr>
            <w:noProof/>
            <w:webHidden/>
          </w:rPr>
          <w:fldChar w:fldCharType="begin"/>
        </w:r>
        <w:r>
          <w:rPr>
            <w:noProof/>
            <w:webHidden/>
          </w:rPr>
          <w:instrText xml:space="preserve"> PAGEREF _Toc467837723 \h </w:instrText>
        </w:r>
        <w:r>
          <w:rPr>
            <w:noProof/>
            <w:webHidden/>
          </w:rPr>
        </w:r>
        <w:r>
          <w:rPr>
            <w:noProof/>
            <w:webHidden/>
          </w:rPr>
          <w:fldChar w:fldCharType="separate"/>
        </w:r>
        <w:r>
          <w:rPr>
            <w:noProof/>
            <w:webHidden/>
          </w:rPr>
          <w:t>7</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26" w:history="1">
        <w:r>
          <w:rPr>
            <w:rStyle w:val="Hyperlink"/>
            <w:noProof/>
          </w:rPr>
          <w:t>4.2</w:t>
        </w:r>
        <w:r>
          <w:rPr>
            <w:rFonts w:eastAsiaTheme="minorEastAsia" w:cstheme="minorBidi"/>
            <w:noProof/>
            <w:sz w:val="22"/>
            <w:szCs w:val="22"/>
            <w:lang w:val="en-GB" w:eastAsia="en-GB" w:bidi="ar-SA"/>
          </w:rPr>
          <w:tab/>
        </w:r>
        <w:r>
          <w:rPr>
            <w:rStyle w:val="Hyperlink"/>
            <w:noProof/>
          </w:rPr>
          <w:t>Objectifs et mesures</w:t>
        </w:r>
        <w:r>
          <w:rPr>
            <w:noProof/>
            <w:webHidden/>
          </w:rPr>
          <w:tab/>
        </w:r>
        <w:r>
          <w:rPr>
            <w:noProof/>
            <w:webHidden/>
          </w:rPr>
          <w:fldChar w:fldCharType="begin"/>
        </w:r>
        <w:r>
          <w:rPr>
            <w:noProof/>
            <w:webHidden/>
          </w:rPr>
          <w:instrText xml:space="preserve"> PAGEREF _Toc467837726 \h </w:instrText>
        </w:r>
        <w:r>
          <w:rPr>
            <w:noProof/>
            <w:webHidden/>
          </w:rPr>
        </w:r>
        <w:r>
          <w:rPr>
            <w:noProof/>
            <w:webHidden/>
          </w:rPr>
          <w:fldChar w:fldCharType="separate"/>
        </w:r>
        <w:r>
          <w:rPr>
            <w:noProof/>
            <w:webHidden/>
          </w:rPr>
          <w:t>8</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37" w:history="1">
        <w:r>
          <w:rPr>
            <w:rStyle w:val="Hyperlink"/>
            <w:rFonts w:eastAsiaTheme="majorEastAsia" w:cstheme="majorBidi"/>
            <w:bCs/>
            <w:noProof/>
          </w:rPr>
          <w:t>4.3</w:t>
        </w:r>
        <w:r>
          <w:rPr>
            <w:rFonts w:eastAsiaTheme="minorEastAsia" w:cstheme="minorBidi"/>
            <w:noProof/>
            <w:sz w:val="22"/>
            <w:szCs w:val="22"/>
            <w:lang w:val="en-GB" w:eastAsia="en-GB" w:bidi="ar-SA"/>
          </w:rPr>
          <w:tab/>
        </w:r>
        <w:r>
          <w:rPr>
            <w:rStyle w:val="Hyperlink"/>
            <w:rFonts w:eastAsiaTheme="majorEastAsia" w:cstheme="majorBidi"/>
            <w:bCs/>
            <w:noProof/>
          </w:rPr>
          <w:t>Budget de l’Union en faveur des programmes apicoles nationaux et taux d’utilisation</w:t>
        </w:r>
        <w:r>
          <w:rPr>
            <w:noProof/>
            <w:webHidden/>
          </w:rPr>
          <w:tab/>
        </w:r>
        <w:r>
          <w:rPr>
            <w:noProof/>
            <w:webHidden/>
          </w:rPr>
          <w:fldChar w:fldCharType="begin"/>
        </w:r>
        <w:r>
          <w:rPr>
            <w:noProof/>
            <w:webHidden/>
          </w:rPr>
          <w:instrText xml:space="preserve"> PAGEREF _Toc467837737 \h </w:instrText>
        </w:r>
        <w:r>
          <w:rPr>
            <w:noProof/>
            <w:webHidden/>
          </w:rPr>
        </w:r>
        <w:r>
          <w:rPr>
            <w:noProof/>
            <w:webHidden/>
          </w:rPr>
          <w:fldChar w:fldCharType="separate"/>
        </w:r>
        <w:r>
          <w:rPr>
            <w:noProof/>
            <w:webHidden/>
          </w:rPr>
          <w:t>9</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62" w:history="1">
        <w:r>
          <w:rPr>
            <w:rStyle w:val="Hyperlink"/>
            <w:noProof/>
          </w:rPr>
          <w:t>4.4</w:t>
        </w:r>
        <w:r>
          <w:rPr>
            <w:rFonts w:eastAsiaTheme="minorEastAsia" w:cstheme="minorBidi"/>
            <w:noProof/>
            <w:sz w:val="22"/>
            <w:szCs w:val="22"/>
            <w:lang w:val="en-GB" w:eastAsia="en-GB" w:bidi="ar-SA"/>
          </w:rPr>
          <w:tab/>
        </w:r>
        <w:r>
          <w:rPr>
            <w:rStyle w:val="Hyperlink"/>
            <w:noProof/>
          </w:rPr>
          <w:t>Répartition de la participation de l’Union entre les États membres</w:t>
        </w:r>
        <w:r>
          <w:rPr>
            <w:noProof/>
            <w:webHidden/>
          </w:rPr>
          <w:tab/>
        </w:r>
        <w:r>
          <w:rPr>
            <w:noProof/>
            <w:webHidden/>
          </w:rPr>
          <w:fldChar w:fldCharType="begin"/>
        </w:r>
        <w:r>
          <w:rPr>
            <w:noProof/>
            <w:webHidden/>
          </w:rPr>
          <w:instrText xml:space="preserve"> PAGEREF _Toc467837762 \h </w:instrText>
        </w:r>
        <w:r>
          <w:rPr>
            <w:noProof/>
            <w:webHidden/>
          </w:rPr>
        </w:r>
        <w:r>
          <w:rPr>
            <w:noProof/>
            <w:webHidden/>
          </w:rPr>
          <w:fldChar w:fldCharType="separate"/>
        </w:r>
        <w:r>
          <w:rPr>
            <w:noProof/>
            <w:webHidden/>
          </w:rPr>
          <w:t>10</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70" w:history="1">
        <w:r>
          <w:rPr>
            <w:rStyle w:val="Hyperlink"/>
            <w:noProof/>
          </w:rPr>
          <w:t>4.5</w:t>
        </w:r>
        <w:r>
          <w:rPr>
            <w:rFonts w:eastAsiaTheme="minorEastAsia" w:cstheme="minorBidi"/>
            <w:noProof/>
            <w:sz w:val="22"/>
            <w:szCs w:val="22"/>
            <w:lang w:val="en-GB" w:eastAsia="en-GB" w:bidi="ar-SA"/>
          </w:rPr>
          <w:tab/>
        </w:r>
        <w:r>
          <w:rPr>
            <w:rStyle w:val="Hyperlink"/>
            <w:noProof/>
          </w:rPr>
          <w:t>Dépenses exposées par type de mesures</w:t>
        </w:r>
        <w:r>
          <w:rPr>
            <w:noProof/>
            <w:webHidden/>
          </w:rPr>
          <w:tab/>
        </w:r>
        <w:r>
          <w:rPr>
            <w:noProof/>
            <w:webHidden/>
          </w:rPr>
          <w:fldChar w:fldCharType="begin"/>
        </w:r>
        <w:r>
          <w:rPr>
            <w:noProof/>
            <w:webHidden/>
          </w:rPr>
          <w:instrText xml:space="preserve"> PAGEREF _Toc467837770 \h </w:instrText>
        </w:r>
        <w:r>
          <w:rPr>
            <w:noProof/>
            <w:webHidden/>
          </w:rPr>
        </w:r>
        <w:r>
          <w:rPr>
            <w:noProof/>
            <w:webHidden/>
          </w:rPr>
          <w:fldChar w:fldCharType="separate"/>
        </w:r>
        <w:r>
          <w:rPr>
            <w:noProof/>
            <w:webHidden/>
          </w:rPr>
          <w:t>12</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78" w:history="1">
        <w:r>
          <w:rPr>
            <w:rStyle w:val="Hyperlink"/>
            <w:noProof/>
          </w:rPr>
          <w:t>5.</w:t>
        </w:r>
        <w:r>
          <w:rPr>
            <w:rFonts w:eastAsiaTheme="minorEastAsia" w:cstheme="minorBidi"/>
            <w:noProof/>
            <w:sz w:val="22"/>
            <w:szCs w:val="22"/>
            <w:lang w:val="en-GB" w:eastAsia="en-GB" w:bidi="ar-SA"/>
          </w:rPr>
          <w:tab/>
        </w:r>
        <w:r>
          <w:rPr>
            <w:rStyle w:val="Hyperlink"/>
            <w:rFonts w:eastAsiaTheme="majorEastAsia" w:cstheme="majorBidi"/>
            <w:bCs/>
            <w:noProof/>
          </w:rPr>
          <w:t>PRINCIPAUX CHANGEMENTS INTRODUITS PAR LA RÉFORME DE LA PAC EN 2013</w:t>
        </w:r>
        <w:r>
          <w:rPr>
            <w:noProof/>
            <w:webHidden/>
          </w:rPr>
          <w:tab/>
        </w:r>
        <w:r>
          <w:rPr>
            <w:noProof/>
            <w:webHidden/>
          </w:rPr>
          <w:fldChar w:fldCharType="begin"/>
        </w:r>
        <w:r>
          <w:rPr>
            <w:noProof/>
            <w:webHidden/>
          </w:rPr>
          <w:instrText xml:space="preserve"> PAGEREF _Toc467837778 \h </w:instrText>
        </w:r>
        <w:r>
          <w:rPr>
            <w:noProof/>
            <w:webHidden/>
          </w:rPr>
        </w:r>
        <w:r>
          <w:rPr>
            <w:noProof/>
            <w:webHidden/>
          </w:rPr>
          <w:fldChar w:fldCharType="separate"/>
        </w:r>
        <w:r>
          <w:rPr>
            <w:noProof/>
            <w:webHidden/>
          </w:rPr>
          <w:t>13</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83" w:history="1">
        <w:r>
          <w:rPr>
            <w:rStyle w:val="Hyperlink"/>
            <w:noProof/>
          </w:rPr>
          <w:t>5.1</w:t>
        </w:r>
        <w:r>
          <w:rPr>
            <w:rFonts w:eastAsiaTheme="minorEastAsia" w:cstheme="minorBidi"/>
            <w:noProof/>
            <w:sz w:val="22"/>
            <w:szCs w:val="22"/>
            <w:lang w:val="en-GB" w:eastAsia="en-GB" w:bidi="ar-SA"/>
          </w:rPr>
          <w:tab/>
        </w:r>
        <w:r>
          <w:rPr>
            <w:rStyle w:val="Hyperlink"/>
            <w:noProof/>
          </w:rPr>
          <w:t>Mesures éligibles</w:t>
        </w:r>
        <w:r>
          <w:rPr>
            <w:noProof/>
            <w:webHidden/>
          </w:rPr>
          <w:tab/>
        </w:r>
        <w:r>
          <w:rPr>
            <w:noProof/>
            <w:webHidden/>
          </w:rPr>
          <w:fldChar w:fldCharType="begin"/>
        </w:r>
        <w:r>
          <w:rPr>
            <w:noProof/>
            <w:webHidden/>
          </w:rPr>
          <w:instrText xml:space="preserve"> PAGEREF _Toc4678377</w:instrText>
        </w:r>
        <w:r>
          <w:rPr>
            <w:noProof/>
            <w:webHidden/>
          </w:rPr>
          <w:instrText xml:space="preserve">83 \h </w:instrText>
        </w:r>
        <w:r>
          <w:rPr>
            <w:noProof/>
            <w:webHidden/>
          </w:rPr>
        </w:r>
        <w:r>
          <w:rPr>
            <w:noProof/>
            <w:webHidden/>
          </w:rPr>
          <w:fldChar w:fldCharType="separate"/>
        </w:r>
        <w:r>
          <w:rPr>
            <w:noProof/>
            <w:webHidden/>
          </w:rPr>
          <w:t>14</w:t>
        </w:r>
        <w:r>
          <w:rPr>
            <w:noProof/>
            <w:webHidden/>
          </w:rPr>
          <w:fldChar w:fldCharType="end"/>
        </w:r>
      </w:hyperlink>
    </w:p>
    <w:p w:rsidR="00C0375A" w:rsidRDefault="00622AF0">
      <w:pPr>
        <w:pStyle w:val="ManualHeading1"/>
        <w:rPr>
          <w:rFonts w:eastAsiaTheme="minorEastAsia" w:cstheme="minorBidi"/>
          <w:noProof/>
          <w:sz w:val="22"/>
          <w:szCs w:val="22"/>
          <w:lang w:val="en-GB" w:eastAsia="en-GB" w:bidi="ar-SA"/>
        </w:rPr>
      </w:pPr>
      <w:hyperlink w:anchor="_Toc467837794" w:history="1">
        <w:r>
          <w:rPr>
            <w:rStyle w:val="Hyperlink"/>
            <w:noProof/>
          </w:rPr>
          <w:t>5.2</w:t>
        </w:r>
        <w:r>
          <w:rPr>
            <w:rFonts w:eastAsiaTheme="minorEastAsia" w:cstheme="minorBidi"/>
            <w:noProof/>
            <w:sz w:val="22"/>
            <w:szCs w:val="22"/>
            <w:lang w:val="en-GB" w:eastAsia="en-GB" w:bidi="ar-SA"/>
          </w:rPr>
          <w:tab/>
        </w:r>
        <w:r>
          <w:rPr>
            <w:rStyle w:val="Hyperlink"/>
            <w:noProof/>
          </w:rPr>
          <w:t>Méthode de détermination du nombre de ruches et de l’affectation du budget de l’UE</w:t>
        </w:r>
        <w:r>
          <w:rPr>
            <w:noProof/>
            <w:webHidden/>
          </w:rPr>
          <w:tab/>
        </w:r>
        <w:r>
          <w:rPr>
            <w:noProof/>
            <w:webHidden/>
          </w:rPr>
          <w:fldChar w:fldCharType="begin"/>
        </w:r>
        <w:r>
          <w:rPr>
            <w:noProof/>
            <w:webHidden/>
          </w:rPr>
          <w:instrText xml:space="preserve"> PAGEREF _Toc467837794 \h </w:instrText>
        </w:r>
        <w:r>
          <w:rPr>
            <w:noProof/>
            <w:webHidden/>
          </w:rPr>
        </w:r>
        <w:r>
          <w:rPr>
            <w:noProof/>
            <w:webHidden/>
          </w:rPr>
          <w:fldChar w:fldCharType="separate"/>
        </w:r>
        <w:r>
          <w:rPr>
            <w:noProof/>
            <w:webHidden/>
          </w:rPr>
          <w:t>15</w:t>
        </w:r>
        <w:r>
          <w:rPr>
            <w:noProof/>
            <w:webHidden/>
          </w:rPr>
          <w:fldChar w:fldCharType="end"/>
        </w:r>
      </w:hyperlink>
    </w:p>
    <w:p w:rsidR="00C0375A" w:rsidRDefault="00622AF0">
      <w:pPr>
        <w:pStyle w:val="ManualHeading1"/>
        <w:rPr>
          <w:rStyle w:val="Hyperlink"/>
          <w:noProof/>
        </w:rPr>
      </w:pPr>
      <w:hyperlink w:anchor="_Toc467837868" w:history="1">
        <w:r>
          <w:rPr>
            <w:rStyle w:val="Hyperlink"/>
            <w:rFonts w:eastAsiaTheme="majorEastAsia" w:cstheme="majorBidi"/>
            <w:bCs/>
            <w:noProof/>
          </w:rPr>
          <w:t>6.</w:t>
        </w:r>
        <w:r>
          <w:rPr>
            <w:rFonts w:eastAsiaTheme="minorEastAsia" w:cstheme="minorBidi"/>
            <w:noProof/>
            <w:sz w:val="22"/>
            <w:szCs w:val="22"/>
            <w:lang w:val="en-GB" w:eastAsia="en-GB" w:bidi="ar-SA"/>
          </w:rPr>
          <w:tab/>
        </w:r>
        <w:r>
          <w:rPr>
            <w:rStyle w:val="Hyperlink"/>
            <w:rFonts w:eastAsiaTheme="majorEastAsia" w:cstheme="majorBidi"/>
            <w:bCs/>
            <w:noProof/>
          </w:rPr>
          <w:t>CONCLUSION</w:t>
        </w:r>
        <w:r>
          <w:rPr>
            <w:noProof/>
            <w:webHidden/>
          </w:rPr>
          <w:tab/>
        </w:r>
        <w:r>
          <w:rPr>
            <w:noProof/>
            <w:webHidden/>
          </w:rPr>
          <w:fldChar w:fldCharType="begin"/>
        </w:r>
        <w:r>
          <w:rPr>
            <w:noProof/>
            <w:webHidden/>
          </w:rPr>
          <w:instrText xml:space="preserve"> PAGEREF _Toc467837868 \h </w:instrText>
        </w:r>
        <w:r>
          <w:rPr>
            <w:noProof/>
            <w:webHidden/>
          </w:rPr>
        </w:r>
        <w:r>
          <w:rPr>
            <w:noProof/>
            <w:webHidden/>
          </w:rPr>
          <w:fldChar w:fldCharType="separate"/>
        </w:r>
        <w:r>
          <w:rPr>
            <w:noProof/>
            <w:webHidden/>
          </w:rPr>
          <w:t>17</w:t>
        </w:r>
        <w:r>
          <w:rPr>
            <w:noProof/>
            <w:webHidden/>
          </w:rPr>
          <w:fldChar w:fldCharType="end"/>
        </w:r>
      </w:hyperlink>
    </w:p>
    <w:p w:rsidR="00C0375A" w:rsidRDefault="00622AF0">
      <w:pPr>
        <w:pStyle w:val="ManualHeading1"/>
        <w:rPr>
          <w:rStyle w:val="Hyperlink"/>
          <w:noProof/>
        </w:rPr>
      </w:pPr>
      <w:r>
        <w:rPr>
          <w:rStyle w:val="Hyperlink"/>
          <w:noProof/>
        </w:rPr>
        <w:br w:type="page"/>
      </w:r>
      <w:bookmarkStart w:id="6" w:name="_GoBack"/>
      <w:bookmarkEnd w:id="6"/>
    </w:p>
    <w:p w:rsidR="00C0375A" w:rsidRDefault="00C0375A">
      <w:pPr>
        <w:pStyle w:val="ManualHeading1"/>
        <w:rPr>
          <w:rFonts w:asciiTheme="minorHAnsi" w:eastAsiaTheme="minorEastAsia" w:hAnsiTheme="minorHAnsi" w:cstheme="minorBidi"/>
          <w:noProof/>
          <w:sz w:val="22"/>
          <w:szCs w:val="22"/>
          <w:lang w:val="en-GB" w:eastAsia="en-GB" w:bidi="ar-SA"/>
        </w:rPr>
      </w:pPr>
    </w:p>
    <w:p w:rsidR="00C0375A" w:rsidRDefault="00622AF0">
      <w:pPr>
        <w:pStyle w:val="ManualHeading1"/>
        <w:rPr>
          <w:noProof/>
        </w:rPr>
      </w:pPr>
      <w:r>
        <w:rPr>
          <w:noProof/>
        </w:rPr>
        <w:fldChar w:fldCharType="end"/>
      </w:r>
      <w:bookmarkStart w:id="7" w:name="_Toc467837676"/>
      <w:r>
        <w:rPr>
          <w:noProof/>
        </w:rPr>
        <w:t>1.</w:t>
      </w:r>
      <w:r>
        <w:rPr>
          <w:noProof/>
        </w:rPr>
        <w:tab/>
        <w:t>INTRODUCTION</w:t>
      </w:r>
      <w:bookmarkEnd w:id="1"/>
      <w:bookmarkEnd w:id="2"/>
      <w:bookmarkEnd w:id="3"/>
      <w:bookmarkEnd w:id="4"/>
      <w:bookmarkEnd w:id="5"/>
      <w:bookmarkEnd w:id="7"/>
    </w:p>
    <w:p w:rsidR="00C0375A" w:rsidRDefault="00622AF0">
      <w:pPr>
        <w:pStyle w:val="Text1"/>
        <w:ind w:left="0"/>
        <w:rPr>
          <w:noProof/>
        </w:rPr>
      </w:pPr>
      <w:bookmarkStart w:id="8" w:name="_Toc467837677"/>
      <w:r>
        <w:rPr>
          <w:noProof/>
        </w:rPr>
        <w:t>Le secteur de l’apicultur</w:t>
      </w:r>
      <w:r>
        <w:rPr>
          <w:noProof/>
        </w:rPr>
        <w:t>e dans l’Union européenne (UE) a une taille limitée par rapport à d’autres secteurs agricoles, mais il fournit une partie des services de pollinisation à l’agriculture de l’UE.</w:t>
      </w:r>
      <w:bookmarkEnd w:id="8"/>
    </w:p>
    <w:p w:rsidR="00C0375A" w:rsidRDefault="00622AF0">
      <w:pPr>
        <w:pStyle w:val="Text1"/>
        <w:ind w:left="0"/>
        <w:rPr>
          <w:noProof/>
        </w:rPr>
      </w:pPr>
      <w:bookmarkStart w:id="9" w:name="_Toc467837678"/>
      <w:r>
        <w:rPr>
          <w:noProof/>
        </w:rPr>
        <w:t>Les apiculteurs de l’UE sont confrontés à de nombreux défis lorsqu’il s’agit de</w:t>
      </w:r>
      <w:r>
        <w:rPr>
          <w:noProof/>
        </w:rPr>
        <w:t xml:space="preserve"> préserver leurs ruches et leur production de miel. La hausse des coûts, la rude concurrence exercée par les importations de miel à bas prix en provenance de pays tiers, la perte de colonies d’abeilles, les maladies, les agresseurs de la ruche ainsi que la</w:t>
      </w:r>
      <w:r>
        <w:rPr>
          <w:noProof/>
        </w:rPr>
        <w:t xml:space="preserve"> détérioration de l’environnement fourrager mettent le secteur sous pression.</w:t>
      </w:r>
      <w:bookmarkEnd w:id="9"/>
    </w:p>
    <w:p w:rsidR="00C0375A" w:rsidRDefault="00622AF0">
      <w:pPr>
        <w:autoSpaceDE w:val="0"/>
        <w:autoSpaceDN w:val="0"/>
        <w:adjustRightInd w:val="0"/>
        <w:jc w:val="both"/>
        <w:rPr>
          <w:bCs/>
          <w:noProof/>
        </w:rPr>
      </w:pPr>
      <w:bookmarkStart w:id="10" w:name="_Toc467837679"/>
      <w:r>
        <w:rPr>
          <w:rFonts w:ascii="Times New Roman" w:hAnsi="Times New Roman"/>
          <w:noProof/>
          <w:sz w:val="24"/>
        </w:rPr>
        <w:t xml:space="preserve">La politique agricole commune (PAC) prévoit plusieurs outils destinés à soutenir le secteur de l’apiculture et atténuer les effets négatifs que peuvent avoir certaines activités </w:t>
      </w:r>
      <w:r>
        <w:rPr>
          <w:rFonts w:ascii="Times New Roman" w:hAnsi="Times New Roman"/>
          <w:noProof/>
          <w:sz w:val="24"/>
        </w:rPr>
        <w:t>agricoles sur les pollinisateurs domestiques.</w:t>
      </w:r>
      <w:bookmarkEnd w:id="10"/>
    </w:p>
    <w:p w:rsidR="00C0375A" w:rsidRDefault="00622AF0">
      <w:pPr>
        <w:jc w:val="both"/>
        <w:rPr>
          <w:rFonts w:ascii="Times New Roman" w:hAnsi="Times New Roman" w:cs="Times New Roman"/>
          <w:noProof/>
          <w:sz w:val="24"/>
          <w:szCs w:val="24"/>
        </w:rPr>
      </w:pPr>
      <w:bookmarkStart w:id="11" w:name="_Toc467837680"/>
      <w:r>
        <w:rPr>
          <w:rFonts w:ascii="Times New Roman" w:hAnsi="Times New Roman"/>
          <w:noProof/>
          <w:sz w:val="24"/>
        </w:rPr>
        <w:t>L’UE apporte un soutien direct au secteur de l’apiculture depuis 1997</w:t>
      </w:r>
      <w:r>
        <w:rPr>
          <w:rStyle w:val="FootnoteReference"/>
          <w:rFonts w:ascii="Times New Roman" w:hAnsi="Times New Roman"/>
          <w:noProof/>
          <w:sz w:val="24"/>
        </w:rPr>
        <w:footnoteReference w:id="1"/>
      </w:r>
      <w:r>
        <w:rPr>
          <w:rFonts w:ascii="Times New Roman" w:hAnsi="Times New Roman"/>
          <w:noProof/>
          <w:sz w:val="24"/>
        </w:rPr>
        <w:t>. Les règlements successifs relatifs aux marchés ont donné aux États membres la possibilité d’élaborer des programmes nationaux en matière d</w:t>
      </w:r>
      <w:r>
        <w:rPr>
          <w:rFonts w:ascii="Times New Roman" w:hAnsi="Times New Roman"/>
          <w:noProof/>
          <w:sz w:val="24"/>
        </w:rPr>
        <w:t xml:space="preserve">’apiculture. L’objectif de ces programmes est d’améliorer les conditions générales de la production et de la commercialisation des produits de l’apiculture, qui englobent non seulement le miel, mais aussi la gelée royale, le pollen, la propolis et la cire </w:t>
      </w:r>
      <w:r>
        <w:rPr>
          <w:rFonts w:ascii="Times New Roman" w:hAnsi="Times New Roman"/>
          <w:noProof/>
          <w:sz w:val="24"/>
        </w:rPr>
        <w:t>d’abeille. Ils sont cofinancés par l’Union européenne à hauteur de 50 % et ont une durée de vie de trois ans.</w:t>
      </w:r>
      <w:bookmarkEnd w:id="11"/>
    </w:p>
    <w:p w:rsidR="00C0375A" w:rsidRDefault="00622AF0">
      <w:pPr>
        <w:jc w:val="both"/>
        <w:rPr>
          <w:rFonts w:ascii="Times New Roman" w:hAnsi="Times New Roman" w:cs="Times New Roman"/>
          <w:noProof/>
          <w:sz w:val="24"/>
          <w:szCs w:val="24"/>
        </w:rPr>
      </w:pPr>
      <w:bookmarkStart w:id="12" w:name="_Toc467837681"/>
      <w:r>
        <w:rPr>
          <w:rFonts w:ascii="Times New Roman" w:hAnsi="Times New Roman"/>
          <w:noProof/>
          <w:sz w:val="24"/>
        </w:rPr>
        <w:t xml:space="preserve">L’article 225, point a), du règlement (UE) nº 1308/2013 du Parlement européen et du Conseil portant organisation commune des marchés des produits </w:t>
      </w:r>
      <w:r>
        <w:rPr>
          <w:rFonts w:ascii="Times New Roman" w:hAnsi="Times New Roman"/>
          <w:noProof/>
          <w:sz w:val="24"/>
        </w:rPr>
        <w:t>agricoles</w:t>
      </w:r>
      <w:r>
        <w:rPr>
          <w:rStyle w:val="FootnoteReference"/>
          <w:rFonts w:ascii="Times New Roman" w:hAnsi="Times New Roman"/>
          <w:noProof/>
          <w:sz w:val="24"/>
        </w:rPr>
        <w:footnoteReference w:id="2"/>
      </w:r>
      <w:r>
        <w:rPr>
          <w:rFonts w:ascii="Times New Roman" w:hAnsi="Times New Roman"/>
          <w:noProof/>
          <w:sz w:val="24"/>
        </w:rPr>
        <w:t xml:space="preserve"> dispose que la Commission présente un rapport au Parlement européen et au Conseil tous les trois ans et pour la première fois le 21 décembre 2016 au plus tard, sur la mise en œuvre des mesures relatives au secteur de l’apiculture figurant aux ar</w:t>
      </w:r>
      <w:r>
        <w:rPr>
          <w:rFonts w:ascii="Times New Roman" w:hAnsi="Times New Roman"/>
          <w:noProof/>
          <w:sz w:val="24"/>
        </w:rPr>
        <w:t>ticles 55, 56 et 57, y compris sur l’évolution récente concernant les systèmes d’identification des ruches.</w:t>
      </w:r>
      <w:bookmarkEnd w:id="12"/>
    </w:p>
    <w:p w:rsidR="00C0375A" w:rsidRDefault="00622AF0">
      <w:pPr>
        <w:jc w:val="both"/>
        <w:rPr>
          <w:rFonts w:ascii="Times New Roman" w:hAnsi="Times New Roman" w:cs="Times New Roman"/>
          <w:noProof/>
          <w:sz w:val="24"/>
          <w:szCs w:val="24"/>
        </w:rPr>
      </w:pPr>
      <w:bookmarkStart w:id="13" w:name="_Toc467837682"/>
      <w:r>
        <w:rPr>
          <w:rFonts w:ascii="Times New Roman" w:hAnsi="Times New Roman"/>
          <w:noProof/>
          <w:sz w:val="24"/>
        </w:rPr>
        <w:t>Le présent rapport répond à cette obligation et couvre les campagnes apicoles 2013, 2014 et 2015</w:t>
      </w:r>
      <w:r>
        <w:rPr>
          <w:rStyle w:val="FootnoteReference"/>
          <w:rFonts w:ascii="Times New Roman" w:hAnsi="Times New Roman"/>
          <w:noProof/>
          <w:sz w:val="24"/>
        </w:rPr>
        <w:footnoteReference w:id="3"/>
      </w:r>
      <w:r>
        <w:rPr>
          <w:rFonts w:ascii="Times New Roman" w:hAnsi="Times New Roman"/>
          <w:noProof/>
          <w:sz w:val="24"/>
        </w:rPr>
        <w:t>. Étant donné que les programmes apicoles nationaux</w:t>
      </w:r>
      <w:r>
        <w:rPr>
          <w:rFonts w:ascii="Times New Roman" w:hAnsi="Times New Roman"/>
          <w:noProof/>
          <w:sz w:val="24"/>
        </w:rPr>
        <w:t xml:space="preserve"> durent trois ans, ces campagnes correspondent à la dernière année des précédents programmes apicoles triennaux (2011-2013) et aux deux premières années du programme en cours (2014-2016). Le présent rapport constitue le sixième rapport de la Commission au </w:t>
      </w:r>
      <w:r>
        <w:rPr>
          <w:rFonts w:ascii="Times New Roman" w:hAnsi="Times New Roman"/>
          <w:noProof/>
          <w:sz w:val="24"/>
        </w:rPr>
        <w:t>Parlement européen et au Conseil sur la mise en œuvre des programmes apicoles</w:t>
      </w:r>
      <w:r>
        <w:rPr>
          <w:rStyle w:val="FootnoteReference"/>
          <w:rFonts w:ascii="Times New Roman" w:hAnsi="Times New Roman"/>
          <w:noProof/>
          <w:sz w:val="24"/>
        </w:rPr>
        <w:footnoteReference w:id="4"/>
      </w:r>
      <w:r>
        <w:rPr>
          <w:rFonts w:ascii="Times New Roman" w:hAnsi="Times New Roman"/>
          <w:noProof/>
          <w:sz w:val="24"/>
        </w:rPr>
        <w:t>.</w:t>
      </w:r>
      <w:bookmarkEnd w:id="13"/>
    </w:p>
    <w:p w:rsidR="00C0375A" w:rsidRDefault="00622AF0">
      <w:pPr>
        <w:jc w:val="both"/>
        <w:rPr>
          <w:noProof/>
        </w:rPr>
      </w:pPr>
      <w:bookmarkStart w:id="14" w:name="_Toc467837683"/>
      <w:r>
        <w:rPr>
          <w:rFonts w:ascii="Times New Roman" w:hAnsi="Times New Roman"/>
          <w:noProof/>
          <w:sz w:val="24"/>
        </w:rPr>
        <w:lastRenderedPageBreak/>
        <w:t>Tous les États membres ont communiqué un programme apicole national pour les périodes 2011-2013 et 2014-2016, ce qui démontre le vif intérêt des États membres ainsi que les bes</w:t>
      </w:r>
      <w:r>
        <w:rPr>
          <w:rFonts w:ascii="Times New Roman" w:hAnsi="Times New Roman"/>
          <w:noProof/>
          <w:sz w:val="24"/>
        </w:rPr>
        <w:t>oins du secteur.</w:t>
      </w:r>
      <w:bookmarkEnd w:id="14"/>
      <w:r>
        <w:rPr>
          <w:rFonts w:ascii="Times New Roman" w:hAnsi="Times New Roman"/>
          <w:noProof/>
          <w:sz w:val="24"/>
        </w:rPr>
        <w:t xml:space="preserve"> </w:t>
      </w:r>
    </w:p>
    <w:p w:rsidR="00C0375A" w:rsidRDefault="00622AF0">
      <w:pPr>
        <w:jc w:val="both"/>
        <w:rPr>
          <w:rFonts w:ascii="Times New Roman" w:hAnsi="Times New Roman" w:cs="Times New Roman"/>
          <w:noProof/>
          <w:sz w:val="24"/>
          <w:szCs w:val="24"/>
        </w:rPr>
      </w:pPr>
      <w:bookmarkStart w:id="15" w:name="_Toc467837684"/>
      <w:r>
        <w:rPr>
          <w:rFonts w:ascii="Times New Roman" w:hAnsi="Times New Roman"/>
          <w:noProof/>
          <w:sz w:val="24"/>
        </w:rPr>
        <w:t>Au cours des trois campagnes apicoles couvertes par le présent rapport, le règlement (CE) nº 1234/2007 du Conseil portant organisation commune des marchés dans le secteur agricole et dispositions spécifiques en ce qui concerne certains pr</w:t>
      </w:r>
      <w:r>
        <w:rPr>
          <w:rFonts w:ascii="Times New Roman" w:hAnsi="Times New Roman"/>
          <w:noProof/>
          <w:sz w:val="24"/>
        </w:rPr>
        <w:t>oduits de ce secteur (règlement «OCM unique»)</w:t>
      </w:r>
      <w:r>
        <w:rPr>
          <w:rStyle w:val="FootnoteReference"/>
          <w:rFonts w:ascii="Times New Roman" w:hAnsi="Times New Roman"/>
          <w:noProof/>
          <w:sz w:val="24"/>
        </w:rPr>
        <w:footnoteReference w:id="5"/>
      </w:r>
      <w:r>
        <w:rPr>
          <w:rFonts w:ascii="Times New Roman" w:hAnsi="Times New Roman"/>
          <w:noProof/>
          <w:sz w:val="24"/>
        </w:rPr>
        <w:t xml:space="preserve"> était toujours en vigueur, les modifications relatives au secteur de l’apiculture introduites par la réforme de la PAC en 2013 n’avaient donc pas encore été mises en œuvre. Néanmoins, le présent rapport présen</w:t>
      </w:r>
      <w:r>
        <w:rPr>
          <w:rFonts w:ascii="Times New Roman" w:hAnsi="Times New Roman"/>
          <w:noProof/>
          <w:sz w:val="24"/>
        </w:rPr>
        <w:t>te les principales modifications législatives introduites par la réforme de la PAC ainsi que les dernières informations disponibles au sujet des systèmes d’identification des ruches.</w:t>
      </w:r>
      <w:bookmarkEnd w:id="15"/>
    </w:p>
    <w:p w:rsidR="00C0375A" w:rsidRDefault="00622AF0">
      <w:pPr>
        <w:pStyle w:val="ManualHeading1"/>
        <w:rPr>
          <w:noProof/>
        </w:rPr>
      </w:pPr>
      <w:bookmarkStart w:id="16" w:name="_Toc466556574"/>
      <w:bookmarkStart w:id="17" w:name="_Toc467836883"/>
      <w:bookmarkStart w:id="18" w:name="_Toc467837224"/>
      <w:bookmarkStart w:id="19" w:name="_Toc467837386"/>
      <w:bookmarkStart w:id="20" w:name="_Toc467837685"/>
      <w:r>
        <w:tab/>
      </w:r>
      <w:r>
        <w:rPr>
          <w:noProof/>
        </w:rPr>
        <w:t>2.</w:t>
      </w:r>
      <w:r>
        <w:rPr>
          <w:noProof/>
        </w:rPr>
        <w:tab/>
        <w:t>MÉthode</w:t>
      </w:r>
      <w:bookmarkEnd w:id="16"/>
      <w:bookmarkEnd w:id="17"/>
      <w:bookmarkEnd w:id="18"/>
      <w:bookmarkEnd w:id="19"/>
      <w:bookmarkEnd w:id="20"/>
    </w:p>
    <w:p w:rsidR="00C0375A" w:rsidRDefault="00622AF0">
      <w:pPr>
        <w:pStyle w:val="Text1"/>
        <w:ind w:left="0"/>
        <w:rPr>
          <w:noProof/>
        </w:rPr>
      </w:pPr>
      <w:bookmarkStart w:id="21" w:name="_Toc467837686"/>
      <w:r>
        <w:rPr>
          <w:noProof/>
        </w:rPr>
        <w:t>Le présent rapport se base sur les sources d’information suiv</w:t>
      </w:r>
      <w:r>
        <w:rPr>
          <w:noProof/>
        </w:rPr>
        <w:t>antes:</w:t>
      </w:r>
      <w:bookmarkEnd w:id="21"/>
    </w:p>
    <w:p w:rsidR="00C0375A" w:rsidRDefault="00622AF0">
      <w:pPr>
        <w:pStyle w:val="Text1"/>
        <w:ind w:left="0"/>
        <w:rPr>
          <w:noProof/>
        </w:rPr>
      </w:pPr>
      <w:bookmarkStart w:id="22" w:name="_Toc467837687"/>
      <w:r>
        <w:rPr>
          <w:noProof/>
        </w:rPr>
        <w:t>- les programmes apicoles nationaux communiqués à la Commission par les États membres pour les périodes 2011-2013, 2014-2016 et 2017-2019. Chaque programme apicole national doit comprendre une étude menée par l’État membre sur la structure du secteu</w:t>
      </w:r>
      <w:r>
        <w:rPr>
          <w:noProof/>
        </w:rPr>
        <w:t>r de l’apiculture sur son territoire, tant au niveau de la production que de la commercialisation;</w:t>
      </w:r>
      <w:bookmarkEnd w:id="22"/>
    </w:p>
    <w:p w:rsidR="00C0375A" w:rsidRDefault="00622AF0">
      <w:pPr>
        <w:pStyle w:val="Text1"/>
        <w:ind w:left="0"/>
        <w:rPr>
          <w:noProof/>
        </w:rPr>
      </w:pPr>
      <w:bookmarkStart w:id="23" w:name="_Toc467837688"/>
      <w:r>
        <w:rPr>
          <w:noProof/>
        </w:rPr>
        <w:t>- les dépenses des États membres relatives aux mesures prises au titre de leurs programmes apicoles nationaux communiqués à la Commission</w:t>
      </w:r>
      <w:r>
        <w:rPr>
          <w:rStyle w:val="FootnoteReference"/>
          <w:noProof/>
        </w:rPr>
        <w:footnoteReference w:id="6"/>
      </w:r>
      <w:r>
        <w:rPr>
          <w:noProof/>
        </w:rPr>
        <w:t>;</w:t>
      </w:r>
      <w:bookmarkEnd w:id="23"/>
    </w:p>
    <w:p w:rsidR="00C0375A" w:rsidRDefault="00622AF0">
      <w:pPr>
        <w:pStyle w:val="Text1"/>
        <w:ind w:left="0"/>
        <w:rPr>
          <w:noProof/>
        </w:rPr>
      </w:pPr>
      <w:bookmarkStart w:id="24" w:name="_Toc467837689"/>
      <w:r>
        <w:rPr>
          <w:noProof/>
        </w:rPr>
        <w:t>- les données sur</w:t>
      </w:r>
      <w:r>
        <w:rPr>
          <w:noProof/>
        </w:rPr>
        <w:t xml:space="preserve"> la production et le commerce international de miel d’Eurostat, de Comext et de la FAO.</w:t>
      </w:r>
      <w:bookmarkEnd w:id="24"/>
      <w:r>
        <w:rPr>
          <w:noProof/>
        </w:rPr>
        <w:t xml:space="preserve"> </w:t>
      </w:r>
    </w:p>
    <w:p w:rsidR="00C0375A" w:rsidRDefault="00622AF0">
      <w:pPr>
        <w:pStyle w:val="Text1"/>
        <w:ind w:left="0"/>
        <w:rPr>
          <w:noProof/>
        </w:rPr>
      </w:pPr>
      <w:bookmarkStart w:id="25" w:name="_Toc467837690"/>
      <w:r>
        <w:rPr>
          <w:noProof/>
        </w:rPr>
        <w:t>Les chiffres détaillés et les tableaux récapitulatifs sur le marché du miel et sur les programmes apicoles nationaux sont disponibles sur le site internet de la Commis</w:t>
      </w:r>
      <w:r>
        <w:rPr>
          <w:noProof/>
        </w:rPr>
        <w:t>sion</w:t>
      </w:r>
      <w:r>
        <w:rPr>
          <w:rStyle w:val="FootnoteReference"/>
          <w:noProof/>
        </w:rPr>
        <w:footnoteReference w:id="7"/>
      </w:r>
      <w:r>
        <w:rPr>
          <w:noProof/>
        </w:rPr>
        <w:t>.</w:t>
      </w:r>
      <w:bookmarkEnd w:id="25"/>
    </w:p>
    <w:p w:rsidR="00C0375A" w:rsidRDefault="00C0375A">
      <w:pPr>
        <w:pStyle w:val="Text1"/>
        <w:ind w:left="0"/>
        <w:rPr>
          <w:noProof/>
        </w:rPr>
      </w:pPr>
    </w:p>
    <w:p w:rsidR="00C0375A" w:rsidRDefault="00622AF0">
      <w:pPr>
        <w:pStyle w:val="Text1"/>
        <w:ind w:left="0"/>
        <w:rPr>
          <w:rStyle w:val="Heading1Char"/>
          <w:noProof/>
          <w:color w:val="auto"/>
        </w:rPr>
      </w:pPr>
      <w:bookmarkStart w:id="26" w:name="_Toc467836884"/>
      <w:bookmarkStart w:id="27" w:name="_Toc467837225"/>
      <w:bookmarkStart w:id="28" w:name="_Toc467837387"/>
      <w:bookmarkStart w:id="29" w:name="_Toc466556575"/>
      <w:bookmarkStart w:id="30" w:name="_Toc467837691"/>
      <w:r>
        <w:rPr>
          <w:rStyle w:val="Heading1Char"/>
          <w:noProof/>
          <w:color w:val="auto"/>
        </w:rPr>
        <w:t>3.</w:t>
      </w:r>
      <w:bookmarkEnd w:id="26"/>
      <w:bookmarkEnd w:id="27"/>
      <w:bookmarkEnd w:id="28"/>
      <w:r>
        <w:rPr>
          <w:noProof/>
        </w:rPr>
        <w:tab/>
      </w:r>
      <w:r>
        <w:rPr>
          <w:rStyle w:val="Heading1Char"/>
          <w:noProof/>
          <w:color w:val="auto"/>
        </w:rPr>
        <w:t>VUE D’ENSEMBLE DU SECTEUR DE L’APICULTURE DANS L’UE</w:t>
      </w:r>
      <w:bookmarkEnd w:id="29"/>
      <w:bookmarkEnd w:id="30"/>
    </w:p>
    <w:p w:rsidR="00C0375A" w:rsidRDefault="00622AF0">
      <w:pPr>
        <w:pStyle w:val="Text1"/>
        <w:ind w:left="0"/>
        <w:rPr>
          <w:rStyle w:val="Heading2Char"/>
          <w:noProof/>
          <w:color w:val="auto"/>
        </w:rPr>
      </w:pPr>
      <w:bookmarkStart w:id="31" w:name="_Toc467836885"/>
      <w:bookmarkStart w:id="32" w:name="_Toc467837226"/>
      <w:bookmarkStart w:id="33" w:name="_Toc467837388"/>
      <w:bookmarkStart w:id="34" w:name="_Toc466556576"/>
      <w:bookmarkStart w:id="35" w:name="_Toc467837692"/>
      <w:r>
        <w:rPr>
          <w:rStyle w:val="Heading2Char"/>
          <w:noProof/>
          <w:color w:val="auto"/>
        </w:rPr>
        <w:t>3.1</w:t>
      </w:r>
      <w:bookmarkEnd w:id="31"/>
      <w:bookmarkEnd w:id="32"/>
      <w:bookmarkEnd w:id="33"/>
      <w:r>
        <w:rPr>
          <w:noProof/>
        </w:rPr>
        <w:tab/>
      </w:r>
      <w:r>
        <w:rPr>
          <w:rStyle w:val="Heading2Char"/>
          <w:noProof/>
          <w:color w:val="auto"/>
        </w:rPr>
        <w:t>Production et prix</w:t>
      </w:r>
      <w:bookmarkEnd w:id="34"/>
      <w:bookmarkEnd w:id="35"/>
    </w:p>
    <w:p w:rsidR="00C0375A" w:rsidRDefault="00622AF0">
      <w:pPr>
        <w:pStyle w:val="Text1"/>
        <w:ind w:left="0"/>
        <w:rPr>
          <w:noProof/>
        </w:rPr>
      </w:pPr>
      <w:bookmarkStart w:id="36" w:name="_Toc467837693"/>
      <w:r>
        <w:rPr>
          <w:noProof/>
        </w:rPr>
        <w:t>Avec une production avoisinant les 250 000 tonnes par an, l’</w:t>
      </w:r>
      <w:r>
        <w:rPr>
          <w:b/>
          <w:noProof/>
        </w:rPr>
        <w:t>UE</w:t>
      </w:r>
      <w:r>
        <w:rPr>
          <w:noProof/>
        </w:rPr>
        <w:t xml:space="preserve"> est le </w:t>
      </w:r>
      <w:r>
        <w:rPr>
          <w:b/>
          <w:noProof/>
        </w:rPr>
        <w:t>deuxième producteur mondial de miel après la Chine</w:t>
      </w:r>
      <w:r>
        <w:rPr>
          <w:noProof/>
        </w:rPr>
        <w:t>.</w:t>
      </w:r>
      <w:bookmarkEnd w:id="36"/>
    </w:p>
    <w:p w:rsidR="00C0375A" w:rsidRDefault="00622AF0">
      <w:pPr>
        <w:pStyle w:val="Text1"/>
        <w:ind w:left="0"/>
        <w:rPr>
          <w:noProof/>
        </w:rPr>
      </w:pPr>
      <w:bookmarkStart w:id="37" w:name="_Toc467837694"/>
      <w:r>
        <w:rPr>
          <w:noProof/>
        </w:rPr>
        <w:t>L’</w:t>
      </w:r>
      <w:r>
        <w:rPr>
          <w:b/>
          <w:noProof/>
        </w:rPr>
        <w:t xml:space="preserve">UE ne produit pas suffisamment de miel pour </w:t>
      </w:r>
      <w:r>
        <w:rPr>
          <w:b/>
          <w:noProof/>
        </w:rPr>
        <w:t>couvrir sa consommation intérieure</w:t>
      </w:r>
      <w:r>
        <w:rPr>
          <w:noProof/>
        </w:rPr>
        <w:t>. En 2015, le taux d’autoapprovisionnement</w:t>
      </w:r>
      <w:r>
        <w:rPr>
          <w:rStyle w:val="FootnoteReference"/>
          <w:noProof/>
        </w:rPr>
        <w:footnoteReference w:id="8"/>
      </w:r>
      <w:r>
        <w:rPr>
          <w:noProof/>
        </w:rPr>
        <w:t xml:space="preserve"> s’élevait à environ 60 %.</w:t>
      </w:r>
      <w:bookmarkEnd w:id="37"/>
    </w:p>
    <w:p w:rsidR="00C0375A" w:rsidRDefault="00622AF0">
      <w:pPr>
        <w:pStyle w:val="Text1"/>
        <w:ind w:left="0"/>
        <w:rPr>
          <w:noProof/>
        </w:rPr>
      </w:pPr>
      <w:bookmarkStart w:id="38" w:name="_Toc467837695"/>
      <w:r>
        <w:rPr>
          <w:noProof/>
        </w:rPr>
        <w:t>Les États membres qui produisent le plus de miel (RO, ES, HU, DE, IT) sont principalement situés dans le sud de l’Union, où les conditions climatiques s</w:t>
      </w:r>
      <w:r>
        <w:rPr>
          <w:noProof/>
        </w:rPr>
        <w:t>ont plus favorables à l’apiculture.</w:t>
      </w:r>
      <w:bookmarkEnd w:id="38"/>
    </w:p>
    <w:p w:rsidR="00C0375A" w:rsidRDefault="00622AF0">
      <w:pPr>
        <w:pStyle w:val="Text1"/>
        <w:ind w:left="0"/>
        <w:rPr>
          <w:noProof/>
        </w:rPr>
      </w:pPr>
      <w:bookmarkStart w:id="39" w:name="_Toc467837696"/>
      <w:r>
        <w:rPr>
          <w:noProof/>
        </w:rPr>
        <w:t>Dans l’ensemble, la production de miel dans l’UE augmente lentement, avec des variations annuelles liées aux conditions climatiques. Toutefois, les apiculteurs pourraient rencontrer davantage de difficultés à maintenir c</w:t>
      </w:r>
      <w:r>
        <w:rPr>
          <w:noProof/>
        </w:rPr>
        <w:t>e niveau de production au vu de tous les défis auxquels ils sont confrontés au niveau de la santé des abeilles et de la perte des habitats due à l’intensification de l’agriculture. Les conditions de production se détériorent, les coûts de production augmen</w:t>
      </w:r>
      <w:r>
        <w:rPr>
          <w:noProof/>
        </w:rPr>
        <w:t>tent et la hausse des importations de miel meilleur marché en provenance de pays tiers engendre une concurrence accrue.</w:t>
      </w:r>
      <w:bookmarkEnd w:id="39"/>
    </w:p>
    <w:p w:rsidR="00C0375A" w:rsidRDefault="00622AF0">
      <w:pPr>
        <w:pStyle w:val="Text1"/>
        <w:ind w:left="0"/>
        <w:rPr>
          <w:noProof/>
        </w:rPr>
      </w:pPr>
      <w:bookmarkStart w:id="40" w:name="_Toc467837697"/>
      <w:r>
        <w:rPr>
          <w:noProof/>
        </w:rPr>
        <w:t>Les prix du miel varient fortement en fonction de la qualité et du point de vente. Pour un miel toutes fleurs, les prix vont de 2,54 EUR</w:t>
      </w:r>
      <w:r>
        <w:rPr>
          <w:noProof/>
        </w:rPr>
        <w:t>/kg en Pologne pour un miel vendu en vrac à des grossistes à 15,18 EUR/kg pour un miel vendu sur le site de production au Royaume-Uni.</w:t>
      </w:r>
      <w:bookmarkEnd w:id="40"/>
    </w:p>
    <w:p w:rsidR="00C0375A" w:rsidRDefault="00C0375A">
      <w:pPr>
        <w:rPr>
          <w:rFonts w:ascii="Times New Roman" w:hAnsi="Times New Roman" w:cs="Times New Roman"/>
          <w:noProof/>
          <w:sz w:val="24"/>
          <w:szCs w:val="24"/>
        </w:rPr>
      </w:pPr>
    </w:p>
    <w:p w:rsidR="00C0375A" w:rsidRDefault="00622AF0">
      <w:pPr>
        <w:rPr>
          <w:rFonts w:ascii="Times New Roman" w:hAnsi="Times New Roman" w:cs="Times New Roman"/>
          <w:noProof/>
          <w:sz w:val="24"/>
          <w:szCs w:val="24"/>
        </w:rPr>
      </w:pPr>
      <w:bookmarkStart w:id="41" w:name="_Toc467837698"/>
      <w:r>
        <w:rPr>
          <w:rFonts w:ascii="Times New Roman" w:hAnsi="Times New Roman"/>
          <w:noProof/>
          <w:sz w:val="24"/>
        </w:rPr>
        <w:t>Figure 1: Production de miel de l’UE en 2014 et 2015</w:t>
      </w:r>
      <w:bookmarkEnd w:id="41"/>
    </w:p>
    <w:p w:rsidR="00C0375A" w:rsidRDefault="00622AF0">
      <w:pPr>
        <w:rPr>
          <w:rFonts w:ascii="Times New Roman" w:hAnsi="Times New Roman" w:cs="Times New Roman"/>
          <w:noProof/>
          <w:sz w:val="20"/>
          <w:szCs w:val="20"/>
        </w:rPr>
      </w:pPr>
      <w:bookmarkStart w:id="42" w:name="_Toc467837699"/>
      <w:r>
        <w:rPr>
          <w:rFonts w:ascii="Times New Roman" w:hAnsi="Times New Roman" w:cs="Times New Roman"/>
          <w:noProof/>
          <w:sz w:val="24"/>
          <w:szCs w:val="24"/>
        </w:rPr>
        <w:pict>
          <v:shape id="_x0000_i1026" type="#_x0000_t75" style="width:487.5pt;height:324pt">
            <v:imagedata r:id="rId16" o:title=""/>
          </v:shape>
        </w:pict>
      </w:r>
      <w:bookmarkEnd w:id="42"/>
    </w:p>
    <w:p w:rsidR="00C0375A" w:rsidRDefault="00622AF0">
      <w:pPr>
        <w:rPr>
          <w:rFonts w:ascii="Times New Roman" w:hAnsi="Times New Roman" w:cs="Times New Roman"/>
          <w:noProof/>
          <w:sz w:val="24"/>
          <w:szCs w:val="24"/>
        </w:rPr>
      </w:pPr>
      <w:bookmarkStart w:id="43" w:name="_Toc467837700"/>
      <w:r>
        <w:rPr>
          <w:rFonts w:ascii="Times New Roman" w:hAnsi="Times New Roman"/>
          <w:noProof/>
          <w:sz w:val="20"/>
        </w:rPr>
        <w:t>Source: Études réalisées par les États membres et communiquées da</w:t>
      </w:r>
      <w:r>
        <w:rPr>
          <w:rFonts w:ascii="Times New Roman" w:hAnsi="Times New Roman"/>
          <w:noProof/>
          <w:sz w:val="20"/>
        </w:rPr>
        <w:t>ns les programmes apicoles nationaux 2017-2019.</w:t>
      </w:r>
      <w:bookmarkEnd w:id="43"/>
    </w:p>
    <w:p w:rsidR="00C0375A" w:rsidRDefault="00622AF0">
      <w:pPr>
        <w:rPr>
          <w:rFonts w:ascii="Times New Roman" w:hAnsi="Times New Roman" w:cs="Times New Roman"/>
          <w:b/>
          <w:noProof/>
          <w:sz w:val="24"/>
          <w:szCs w:val="24"/>
        </w:rPr>
      </w:pPr>
      <w:bookmarkStart w:id="44" w:name="_Toc466556577"/>
      <w:bookmarkStart w:id="45" w:name="_Toc467836886"/>
      <w:bookmarkStart w:id="46" w:name="_Toc467837227"/>
      <w:bookmarkStart w:id="47" w:name="_Toc467837389"/>
      <w:bookmarkStart w:id="48" w:name="_Toc467837701"/>
      <w:r>
        <w:rPr>
          <w:rStyle w:val="Heading2Char"/>
          <w:noProof/>
          <w:color w:val="auto"/>
        </w:rPr>
        <w:t>3.2</w:t>
      </w:r>
      <w:bookmarkEnd w:id="44"/>
      <w:bookmarkEnd w:id="45"/>
      <w:bookmarkEnd w:id="46"/>
      <w:bookmarkEnd w:id="47"/>
      <w:r>
        <w:rPr>
          <w:noProof/>
        </w:rPr>
        <w:tab/>
      </w:r>
      <w:r>
        <w:rPr>
          <w:rStyle w:val="Heading2Char"/>
          <w:noProof/>
          <w:color w:val="auto"/>
        </w:rPr>
        <w:t>Commerce</w:t>
      </w:r>
      <w:bookmarkEnd w:id="48"/>
    </w:p>
    <w:p w:rsidR="00C0375A" w:rsidRDefault="00622AF0">
      <w:pPr>
        <w:rPr>
          <w:b/>
          <w:noProof/>
          <w:u w:val="single"/>
        </w:rPr>
      </w:pPr>
      <w:bookmarkStart w:id="49" w:name="_Toc467837702"/>
      <w:r>
        <w:rPr>
          <w:b/>
          <w:noProof/>
          <w:u w:val="single"/>
        </w:rPr>
        <w:t>Importations</w:t>
      </w:r>
      <w:bookmarkEnd w:id="49"/>
    </w:p>
    <w:p w:rsidR="00C0375A" w:rsidRDefault="00622AF0">
      <w:pPr>
        <w:pStyle w:val="Text1"/>
        <w:ind w:left="0"/>
        <w:rPr>
          <w:noProof/>
        </w:rPr>
      </w:pPr>
      <w:bookmarkStart w:id="50" w:name="_Toc467837703"/>
      <w:r>
        <w:rPr>
          <w:noProof/>
        </w:rPr>
        <w:t>L’</w:t>
      </w:r>
      <w:r>
        <w:rPr>
          <w:b/>
          <w:noProof/>
        </w:rPr>
        <w:t>UE</w:t>
      </w:r>
      <w:r>
        <w:rPr>
          <w:noProof/>
        </w:rPr>
        <w:t xml:space="preserve"> est le </w:t>
      </w:r>
      <w:r>
        <w:rPr>
          <w:b/>
          <w:noProof/>
        </w:rPr>
        <w:t>premier importateur mondial</w:t>
      </w:r>
      <w:r>
        <w:rPr>
          <w:noProof/>
        </w:rPr>
        <w:t xml:space="preserve"> de miel. Ses importations augmentent d’année en année.</w:t>
      </w:r>
      <w:bookmarkEnd w:id="50"/>
    </w:p>
    <w:p w:rsidR="00C0375A" w:rsidRDefault="00622AF0">
      <w:pPr>
        <w:pStyle w:val="Text1"/>
        <w:ind w:left="0"/>
        <w:rPr>
          <w:noProof/>
        </w:rPr>
      </w:pPr>
      <w:bookmarkStart w:id="51" w:name="_Toc467837704"/>
      <w:r>
        <w:rPr>
          <w:noProof/>
        </w:rPr>
        <w:t>En 2015, l’UE a importé environ 200 000 tonnes de miel, soit un volume équivalent à env</w:t>
      </w:r>
      <w:r>
        <w:rPr>
          <w:noProof/>
        </w:rPr>
        <w:t xml:space="preserve">iron 75 % de sa production totale. </w:t>
      </w:r>
      <w:r>
        <w:rPr>
          <w:b/>
          <w:noProof/>
        </w:rPr>
        <w:t>La moitié de ces importations proviennent de Chine</w:t>
      </w:r>
      <w:r>
        <w:rPr>
          <w:noProof/>
        </w:rPr>
        <w:t xml:space="preserve"> (environ 100 000 tonnes), les deux autres principaux fournisseurs étant le Mexique et l’Ukraine. Le miel importé de pays tiers est bien moins cher que le miel produit dan</w:t>
      </w:r>
      <w:r>
        <w:rPr>
          <w:noProof/>
        </w:rPr>
        <w:t>s l’UE. En 2015, le prix unitaire moyen à l’importation du miel chinois était de 1,64 EUR/kg, tandis que le prix moyen du miel toutes fleurs européen vendu en vrac à des grossistes était de 3,78 EUR/kg. En raison des coûts de production plus élevés, les pr</w:t>
      </w:r>
      <w:r>
        <w:rPr>
          <w:noProof/>
        </w:rPr>
        <w:t>oducteurs de l’UE peuvent difficilement rivaliser avec le miel importé.</w:t>
      </w:r>
      <w:bookmarkEnd w:id="51"/>
    </w:p>
    <w:p w:rsidR="00C0375A" w:rsidRDefault="00622AF0">
      <w:pPr>
        <w:pStyle w:val="Text1"/>
        <w:ind w:left="0"/>
        <w:rPr>
          <w:b/>
          <w:noProof/>
          <w:u w:val="single"/>
        </w:rPr>
      </w:pPr>
      <w:bookmarkStart w:id="52" w:name="_Toc467837705"/>
      <w:r>
        <w:rPr>
          <w:b/>
          <w:noProof/>
          <w:u w:val="single"/>
        </w:rPr>
        <w:t>Exportations</w:t>
      </w:r>
      <w:bookmarkEnd w:id="52"/>
    </w:p>
    <w:p w:rsidR="00C0375A" w:rsidRDefault="00622AF0">
      <w:pPr>
        <w:pStyle w:val="Text1"/>
        <w:ind w:left="0"/>
        <w:rPr>
          <w:noProof/>
        </w:rPr>
      </w:pPr>
      <w:bookmarkStart w:id="53" w:name="_Toc467837706"/>
      <w:r>
        <w:rPr>
          <w:b/>
          <w:noProof/>
        </w:rPr>
        <w:t>Les exportations de l’UE sont négligeables par rapport à ses importations</w:t>
      </w:r>
      <w:r>
        <w:rPr>
          <w:noProof/>
        </w:rPr>
        <w:t>.</w:t>
      </w:r>
      <w:bookmarkEnd w:id="53"/>
    </w:p>
    <w:p w:rsidR="00C0375A" w:rsidRDefault="00622AF0">
      <w:pPr>
        <w:pStyle w:val="Text1"/>
        <w:ind w:left="0"/>
        <w:rPr>
          <w:noProof/>
        </w:rPr>
      </w:pPr>
      <w:bookmarkStart w:id="54" w:name="_Toc467837707"/>
      <w:r>
        <w:rPr>
          <w:noProof/>
        </w:rPr>
        <w:t xml:space="preserve">En 2015, l’UE a exporté environ 20 000 tonnes de miel, soit un volume équivalent à environ 8 % </w:t>
      </w:r>
      <w:r>
        <w:rPr>
          <w:noProof/>
        </w:rPr>
        <w:t>de sa production totale. Les exportations de l’UE sont principalement destinées à des marchés à la recherche d’un miel de haute qualité en Suisse, en Arabie saoudite, au Japon, aux États-Unis et au Canada. En 2015, le prix unitaire à l’exportation moyen ét</w:t>
      </w:r>
      <w:r>
        <w:rPr>
          <w:noProof/>
        </w:rPr>
        <w:t>ait de 5,77 EUR/kg de miel.</w:t>
      </w:r>
      <w:bookmarkEnd w:id="54"/>
    </w:p>
    <w:p w:rsidR="00C0375A" w:rsidRDefault="00C0375A">
      <w:pPr>
        <w:pStyle w:val="Text1"/>
        <w:ind w:left="0"/>
        <w:rPr>
          <w:rStyle w:val="Heading2Char"/>
          <w:noProof/>
          <w:color w:val="auto"/>
        </w:rPr>
      </w:pPr>
    </w:p>
    <w:p w:rsidR="00C0375A" w:rsidRDefault="00622AF0">
      <w:pPr>
        <w:rPr>
          <w:rFonts w:ascii="Times New Roman" w:hAnsi="Times New Roman" w:cs="Times New Roman"/>
          <w:b/>
          <w:noProof/>
          <w:sz w:val="24"/>
          <w:szCs w:val="24"/>
        </w:rPr>
      </w:pPr>
      <w:bookmarkStart w:id="55" w:name="_Toc467836887"/>
      <w:bookmarkStart w:id="56" w:name="_Toc467837228"/>
      <w:bookmarkStart w:id="57" w:name="_Toc467837390"/>
      <w:bookmarkStart w:id="58" w:name="_Toc466556578"/>
      <w:bookmarkStart w:id="59" w:name="_Toc467837708"/>
      <w:r>
        <w:rPr>
          <w:rStyle w:val="Heading2Char"/>
          <w:noProof/>
          <w:color w:val="auto"/>
        </w:rPr>
        <w:t>3.3</w:t>
      </w:r>
      <w:bookmarkEnd w:id="55"/>
      <w:bookmarkEnd w:id="56"/>
      <w:bookmarkEnd w:id="57"/>
      <w:r>
        <w:rPr>
          <w:noProof/>
        </w:rPr>
        <w:tab/>
      </w:r>
      <w:r>
        <w:rPr>
          <w:rStyle w:val="Heading2Char"/>
          <w:noProof/>
          <w:color w:val="auto"/>
        </w:rPr>
        <w:t>Recensement des ruches</w:t>
      </w:r>
      <w:bookmarkEnd w:id="58"/>
      <w:bookmarkEnd w:id="59"/>
    </w:p>
    <w:p w:rsidR="00C0375A" w:rsidRDefault="00622AF0">
      <w:pPr>
        <w:jc w:val="both"/>
        <w:rPr>
          <w:rFonts w:ascii="Times New Roman" w:hAnsi="Times New Roman" w:cs="Times New Roman"/>
          <w:noProof/>
          <w:sz w:val="24"/>
          <w:szCs w:val="24"/>
        </w:rPr>
      </w:pPr>
      <w:bookmarkStart w:id="60" w:name="_Toc467837709"/>
      <w:r>
        <w:rPr>
          <w:rFonts w:ascii="Times New Roman" w:hAnsi="Times New Roman"/>
          <w:noProof/>
          <w:sz w:val="24"/>
        </w:rPr>
        <w:t>Selon les données fournies dans les programmes 2014-2016, l’UE comptait quelque 16 millions de ruches. Les cinq États membres comptant le plus grand nombre de ruches sont principalement situés dans le</w:t>
      </w:r>
      <w:r>
        <w:rPr>
          <w:rFonts w:ascii="Times New Roman" w:hAnsi="Times New Roman"/>
          <w:noProof/>
          <w:sz w:val="24"/>
        </w:rPr>
        <w:t xml:space="preserve"> sud de l’UE: il s’agit de l’Espagne, de la France, de la Grèce, de la Roumanie et de l’Italie.</w:t>
      </w:r>
      <w:bookmarkEnd w:id="60"/>
    </w:p>
    <w:p w:rsidR="00C0375A" w:rsidRDefault="00622AF0">
      <w:pPr>
        <w:jc w:val="both"/>
        <w:rPr>
          <w:rFonts w:ascii="Times New Roman" w:hAnsi="Times New Roman" w:cs="Times New Roman"/>
          <w:noProof/>
          <w:sz w:val="24"/>
          <w:szCs w:val="24"/>
        </w:rPr>
      </w:pPr>
      <w:bookmarkStart w:id="61" w:name="_Toc467837710"/>
      <w:r>
        <w:rPr>
          <w:rFonts w:ascii="Times New Roman" w:hAnsi="Times New Roman"/>
          <w:noProof/>
          <w:sz w:val="24"/>
        </w:rPr>
        <w:t>La Commission ne dispose pas de nouvelles données sur le nombre de ruches depuis le dernier rapport. Des chiffres actualisés ne seront pas disponibles avant 201</w:t>
      </w:r>
      <w:r>
        <w:rPr>
          <w:rFonts w:ascii="Times New Roman" w:hAnsi="Times New Roman"/>
          <w:noProof/>
          <w:sz w:val="24"/>
        </w:rPr>
        <w:t>7.</w:t>
      </w:r>
      <w:bookmarkEnd w:id="61"/>
      <w:r>
        <w:rPr>
          <w:rFonts w:ascii="Times New Roman" w:hAnsi="Times New Roman"/>
          <w:noProof/>
          <w:sz w:val="24"/>
        </w:rPr>
        <w:t xml:space="preserve"> </w:t>
      </w:r>
    </w:p>
    <w:p w:rsidR="00C0375A" w:rsidRDefault="00622AF0">
      <w:pPr>
        <w:rPr>
          <w:rFonts w:ascii="Times New Roman" w:hAnsi="Times New Roman" w:cs="Times New Roman"/>
          <w:noProof/>
          <w:sz w:val="24"/>
          <w:szCs w:val="24"/>
        </w:rPr>
      </w:pPr>
      <w:bookmarkStart w:id="62" w:name="_Toc467837711"/>
      <w:r>
        <w:rPr>
          <w:rFonts w:ascii="Times New Roman" w:hAnsi="Times New Roman"/>
          <w:noProof/>
          <w:sz w:val="24"/>
        </w:rPr>
        <w:t>Figure 2: Évolution du nombre de ruches dans l’UE</w:t>
      </w:r>
      <w:bookmarkEnd w:id="62"/>
    </w:p>
    <w:p w:rsidR="00C0375A" w:rsidRDefault="00622AF0">
      <w:pPr>
        <w:rPr>
          <w:rFonts w:ascii="Times New Roman" w:hAnsi="Times New Roman" w:cs="Times New Roman"/>
          <w:noProof/>
          <w:sz w:val="24"/>
          <w:szCs w:val="24"/>
        </w:rPr>
      </w:pPr>
      <w:bookmarkStart w:id="63" w:name="_Toc467837712"/>
      <w:r>
        <w:rPr>
          <w:rFonts w:ascii="Times New Roman" w:hAnsi="Times New Roman" w:cs="Times New Roman"/>
          <w:noProof/>
          <w:sz w:val="24"/>
          <w:szCs w:val="24"/>
        </w:rPr>
        <w:pict>
          <v:shape id="_x0000_i1027" type="#_x0000_t75" style="width:225pt;height:133.5pt">
            <v:imagedata r:id="rId17" o:title=""/>
          </v:shape>
        </w:pict>
      </w:r>
      <w:bookmarkEnd w:id="63"/>
    </w:p>
    <w:p w:rsidR="00C0375A" w:rsidRDefault="00622AF0">
      <w:pPr>
        <w:rPr>
          <w:rFonts w:ascii="Times New Roman" w:hAnsi="Times New Roman" w:cs="Times New Roman"/>
          <w:noProof/>
          <w:sz w:val="20"/>
          <w:szCs w:val="20"/>
        </w:rPr>
      </w:pPr>
      <w:bookmarkStart w:id="64" w:name="_Toc467837713"/>
      <w:r>
        <w:rPr>
          <w:rFonts w:ascii="Times New Roman" w:hAnsi="Times New Roman"/>
          <w:noProof/>
          <w:sz w:val="20"/>
        </w:rPr>
        <w:t>Source: Études réalisées par les États membres et communiquées dans les programmes apicoles nationaux.</w:t>
      </w:r>
      <w:bookmarkEnd w:id="64"/>
    </w:p>
    <w:p w:rsidR="00C0375A" w:rsidRDefault="00622AF0">
      <w:pPr>
        <w:rPr>
          <w:rFonts w:ascii="Times New Roman" w:hAnsi="Times New Roman" w:cs="Times New Roman"/>
          <w:b/>
          <w:noProof/>
          <w:sz w:val="24"/>
          <w:szCs w:val="24"/>
        </w:rPr>
      </w:pPr>
      <w:bookmarkStart w:id="65" w:name="_Toc467836888"/>
      <w:bookmarkStart w:id="66" w:name="_Toc467837229"/>
      <w:bookmarkStart w:id="67" w:name="_Toc467837391"/>
      <w:bookmarkStart w:id="68" w:name="_Toc466556579"/>
      <w:bookmarkStart w:id="69" w:name="_Toc467837714"/>
      <w:r>
        <w:rPr>
          <w:rStyle w:val="Heading2Char"/>
          <w:noProof/>
          <w:color w:val="auto"/>
        </w:rPr>
        <w:t>3.4</w:t>
      </w:r>
      <w:bookmarkEnd w:id="65"/>
      <w:bookmarkEnd w:id="66"/>
      <w:bookmarkEnd w:id="67"/>
      <w:r>
        <w:rPr>
          <w:noProof/>
        </w:rPr>
        <w:tab/>
      </w:r>
      <w:r>
        <w:rPr>
          <w:rStyle w:val="Heading2Char"/>
          <w:noProof/>
          <w:color w:val="auto"/>
        </w:rPr>
        <w:t>Recensement des apiculteurs</w:t>
      </w:r>
      <w:bookmarkEnd w:id="68"/>
      <w:bookmarkEnd w:id="69"/>
    </w:p>
    <w:p w:rsidR="00C0375A" w:rsidRDefault="00622AF0">
      <w:pPr>
        <w:jc w:val="both"/>
        <w:rPr>
          <w:rFonts w:ascii="Times New Roman" w:hAnsi="Times New Roman" w:cs="Times New Roman"/>
          <w:noProof/>
          <w:sz w:val="24"/>
          <w:szCs w:val="24"/>
        </w:rPr>
      </w:pPr>
      <w:bookmarkStart w:id="70" w:name="_Toc467837715"/>
      <w:r>
        <w:rPr>
          <w:rFonts w:ascii="Times New Roman" w:hAnsi="Times New Roman"/>
          <w:noProof/>
          <w:sz w:val="24"/>
        </w:rPr>
        <w:t>Selon les données fournies dans les programmes 2017-2019, l’Union</w:t>
      </w:r>
      <w:r>
        <w:rPr>
          <w:rFonts w:ascii="Times New Roman" w:hAnsi="Times New Roman"/>
          <w:noProof/>
          <w:sz w:val="24"/>
        </w:rPr>
        <w:t xml:space="preserve"> compte environ 600 000 apiculteurs. </w:t>
      </w:r>
      <w:r>
        <w:rPr>
          <w:rFonts w:ascii="Times New Roman" w:hAnsi="Times New Roman"/>
          <w:b/>
          <w:noProof/>
          <w:sz w:val="24"/>
        </w:rPr>
        <w:t>Le nombre d’apiculteurs est en diminution.</w:t>
      </w:r>
      <w:r>
        <w:rPr>
          <w:rFonts w:ascii="Times New Roman" w:hAnsi="Times New Roman"/>
          <w:noProof/>
          <w:sz w:val="24"/>
        </w:rPr>
        <w:t xml:space="preserve"> De nombreux apiculteurs qui quittent la profession pour raison d’âge ne sont pas remplacés par des nouveaux venus.</w:t>
      </w:r>
      <w:bookmarkEnd w:id="70"/>
      <w:r>
        <w:rPr>
          <w:rFonts w:ascii="Times New Roman" w:hAnsi="Times New Roman"/>
          <w:noProof/>
          <w:sz w:val="24"/>
        </w:rPr>
        <w:t xml:space="preserve"> </w:t>
      </w:r>
    </w:p>
    <w:p w:rsidR="00C0375A" w:rsidRDefault="00622AF0">
      <w:pPr>
        <w:jc w:val="both"/>
        <w:rPr>
          <w:rFonts w:ascii="Times New Roman" w:hAnsi="Times New Roman" w:cs="Times New Roman"/>
          <w:noProof/>
          <w:sz w:val="24"/>
          <w:szCs w:val="24"/>
        </w:rPr>
      </w:pPr>
      <w:bookmarkStart w:id="71" w:name="_Toc467837716"/>
      <w:r>
        <w:rPr>
          <w:rFonts w:ascii="Times New Roman" w:hAnsi="Times New Roman"/>
          <w:noProof/>
          <w:sz w:val="24"/>
        </w:rPr>
        <w:t>Figure 3: Évolution du nombre d’apiculteurs dans l’UE</w:t>
      </w:r>
      <w:bookmarkEnd w:id="71"/>
    </w:p>
    <w:p w:rsidR="00C0375A" w:rsidRDefault="00622AF0">
      <w:pPr>
        <w:jc w:val="both"/>
        <w:rPr>
          <w:rFonts w:ascii="Times New Roman" w:hAnsi="Times New Roman" w:cs="Times New Roman"/>
          <w:noProof/>
          <w:sz w:val="24"/>
          <w:szCs w:val="24"/>
        </w:rPr>
      </w:pPr>
      <w:bookmarkStart w:id="72" w:name="_Toc467837717"/>
      <w:r>
        <w:rPr>
          <w:rFonts w:ascii="Times New Roman" w:hAnsi="Times New Roman" w:cs="Times New Roman"/>
          <w:noProof/>
          <w:sz w:val="24"/>
          <w:szCs w:val="24"/>
        </w:rPr>
        <w:pict>
          <v:shape id="_x0000_i1028" type="#_x0000_t75" style="width:225pt;height:149.25pt">
            <v:imagedata r:id="rId18" o:title=""/>
          </v:shape>
        </w:pict>
      </w:r>
      <w:bookmarkEnd w:id="72"/>
    </w:p>
    <w:p w:rsidR="00C0375A" w:rsidRDefault="00622AF0">
      <w:pPr>
        <w:jc w:val="both"/>
        <w:rPr>
          <w:rFonts w:ascii="Times New Roman" w:hAnsi="Times New Roman" w:cs="Times New Roman"/>
          <w:noProof/>
          <w:sz w:val="20"/>
          <w:szCs w:val="20"/>
        </w:rPr>
      </w:pPr>
      <w:bookmarkStart w:id="73" w:name="_Toc467837718"/>
      <w:r>
        <w:rPr>
          <w:rFonts w:ascii="Times New Roman" w:hAnsi="Times New Roman"/>
          <w:noProof/>
          <w:sz w:val="20"/>
        </w:rPr>
        <w:t>Sour</w:t>
      </w:r>
      <w:r>
        <w:rPr>
          <w:rFonts w:ascii="Times New Roman" w:hAnsi="Times New Roman"/>
          <w:noProof/>
          <w:sz w:val="20"/>
        </w:rPr>
        <w:t>ce: Études réalisées par les États membres et communiquées dans les programmes apicoles nationaux.</w:t>
      </w:r>
      <w:bookmarkEnd w:id="73"/>
    </w:p>
    <w:p w:rsidR="00C0375A" w:rsidRDefault="00622AF0">
      <w:pPr>
        <w:jc w:val="both"/>
        <w:rPr>
          <w:rFonts w:ascii="Times New Roman" w:hAnsi="Times New Roman" w:cs="Times New Roman"/>
          <w:noProof/>
          <w:sz w:val="24"/>
          <w:szCs w:val="24"/>
        </w:rPr>
      </w:pPr>
      <w:bookmarkStart w:id="74" w:name="_Toc467837719"/>
      <w:r>
        <w:rPr>
          <w:rFonts w:ascii="Times New Roman" w:hAnsi="Times New Roman"/>
          <w:noProof/>
          <w:sz w:val="24"/>
        </w:rPr>
        <w:t xml:space="preserve">La situation varie considérablement d’un État membre à l’autre. L’Allemagne est l’un des quelques États membres qui ont réussi à enrayer le déclin du nombre </w:t>
      </w:r>
      <w:r>
        <w:rPr>
          <w:rFonts w:ascii="Times New Roman" w:hAnsi="Times New Roman"/>
          <w:noProof/>
          <w:sz w:val="24"/>
        </w:rPr>
        <w:t>d’apiculteurs. L’association des apiculteurs allemands a accordé la priorité à une stratégie de recrutement d’apiculteurs et proposé des cours pour débutants qui ont donné lieu à une augmentation du nombre d’apiculteurs en activité. Une partie de ces actio</w:t>
      </w:r>
      <w:r>
        <w:rPr>
          <w:rFonts w:ascii="Times New Roman" w:hAnsi="Times New Roman"/>
          <w:noProof/>
          <w:sz w:val="24"/>
        </w:rPr>
        <w:t>ns étaient financées par la mesure «Assistance technique» des programmes.</w:t>
      </w:r>
      <w:bookmarkEnd w:id="74"/>
    </w:p>
    <w:p w:rsidR="00C0375A" w:rsidRDefault="00622AF0">
      <w:pPr>
        <w:jc w:val="both"/>
        <w:rPr>
          <w:rFonts w:ascii="Times New Roman" w:hAnsi="Times New Roman" w:cs="Times New Roman"/>
          <w:noProof/>
          <w:sz w:val="24"/>
          <w:szCs w:val="24"/>
        </w:rPr>
      </w:pPr>
      <w:bookmarkStart w:id="75" w:name="_Toc467837720"/>
      <w:r>
        <w:rPr>
          <w:rFonts w:ascii="Times New Roman" w:hAnsi="Times New Roman"/>
          <w:noProof/>
          <w:sz w:val="24"/>
        </w:rPr>
        <w:t>En 2015, 96 % des apiculteurs possédaient moins de 150 ruches, le seuil en dessous duquel un rucher est considéré comme «non professionnel». Seuls 4 % des apiculteurs dans l’UE possé</w:t>
      </w:r>
      <w:r>
        <w:rPr>
          <w:rFonts w:ascii="Times New Roman" w:hAnsi="Times New Roman"/>
          <w:noProof/>
          <w:sz w:val="24"/>
        </w:rPr>
        <w:t>daient plus de 150 ruches et pouvaient dès lors être considérés comme des apiculteurs «professionnels». Ce seuil est cependant contesté par certaines associations apicoles, qui estiment qu’un nombre de 40 ruches serait plus approprié.</w:t>
      </w:r>
      <w:bookmarkEnd w:id="75"/>
    </w:p>
    <w:p w:rsidR="00C0375A" w:rsidRDefault="00622AF0">
      <w:pPr>
        <w:jc w:val="both"/>
        <w:rPr>
          <w:rFonts w:ascii="Times New Roman" w:hAnsi="Times New Roman" w:cs="Times New Roman"/>
          <w:noProof/>
          <w:sz w:val="24"/>
          <w:szCs w:val="24"/>
        </w:rPr>
      </w:pPr>
      <w:bookmarkStart w:id="76" w:name="_Toc467837721"/>
      <w:r>
        <w:rPr>
          <w:rFonts w:ascii="Times New Roman" w:hAnsi="Times New Roman"/>
          <w:noProof/>
          <w:sz w:val="24"/>
        </w:rPr>
        <w:t>Une vaste majorité de</w:t>
      </w:r>
      <w:r>
        <w:rPr>
          <w:rFonts w:ascii="Times New Roman" w:hAnsi="Times New Roman"/>
          <w:noProof/>
          <w:sz w:val="24"/>
        </w:rPr>
        <w:t>s apiculteurs dans l’UE (72 %) sont membres d’associations apicoles.</w:t>
      </w:r>
      <w:bookmarkEnd w:id="76"/>
    </w:p>
    <w:p w:rsidR="00C0375A" w:rsidRDefault="00622AF0">
      <w:pPr>
        <w:pStyle w:val="ManualHeading1"/>
        <w:rPr>
          <w:b w:val="0"/>
          <w:noProof/>
        </w:rPr>
      </w:pPr>
      <w:bookmarkStart w:id="77" w:name="_Toc261355714"/>
      <w:bookmarkStart w:id="78" w:name="_Toc466556580"/>
      <w:bookmarkStart w:id="79" w:name="_Toc467836889"/>
      <w:bookmarkStart w:id="80" w:name="_Toc467837230"/>
      <w:bookmarkStart w:id="81" w:name="_Toc467837392"/>
      <w:bookmarkStart w:id="82" w:name="_Toc467837722"/>
      <w:r>
        <w:rPr>
          <w:rStyle w:val="Heading1Char"/>
          <w:b/>
          <w:noProof/>
          <w:color w:val="auto"/>
        </w:rPr>
        <w:t>4.</w:t>
      </w:r>
      <w:r>
        <w:rPr>
          <w:noProof/>
        </w:rPr>
        <w:tab/>
      </w:r>
      <w:r>
        <w:rPr>
          <w:rStyle w:val="Heading1Char"/>
          <w:b/>
          <w:noProof/>
          <w:color w:val="auto"/>
        </w:rPr>
        <w:t>MISE EN ŒUVRE DES PROGRAMMES APICOLES NATIONA</w:t>
      </w:r>
      <w:bookmarkEnd w:id="77"/>
      <w:r>
        <w:rPr>
          <w:rStyle w:val="Heading1Char"/>
          <w:b/>
          <w:noProof/>
          <w:color w:val="auto"/>
        </w:rPr>
        <w:t>UX</w:t>
      </w:r>
      <w:bookmarkEnd w:id="78"/>
      <w:bookmarkEnd w:id="79"/>
      <w:bookmarkEnd w:id="80"/>
      <w:bookmarkEnd w:id="81"/>
      <w:bookmarkEnd w:id="82"/>
    </w:p>
    <w:p w:rsidR="00C0375A" w:rsidRDefault="00622AF0">
      <w:pPr>
        <w:pStyle w:val="ManualHeading2"/>
        <w:rPr>
          <w:rStyle w:val="Heading2Char"/>
          <w:b/>
          <w:noProof/>
          <w:color w:val="auto"/>
        </w:rPr>
      </w:pPr>
      <w:bookmarkStart w:id="83" w:name="_Toc466556581"/>
      <w:bookmarkStart w:id="84" w:name="_Toc467836890"/>
      <w:bookmarkStart w:id="85" w:name="_Toc467837231"/>
      <w:bookmarkStart w:id="86" w:name="_Toc467837393"/>
      <w:bookmarkStart w:id="87" w:name="_Toc467837723"/>
      <w:r>
        <w:rPr>
          <w:rStyle w:val="Heading2Char"/>
        </w:rPr>
        <w:tab/>
      </w:r>
      <w:r>
        <w:rPr>
          <w:rStyle w:val="Heading2Char"/>
          <w:b/>
          <w:noProof/>
          <w:color w:val="auto"/>
        </w:rPr>
        <w:t>4.1</w:t>
      </w:r>
      <w:r>
        <w:rPr>
          <w:noProof/>
        </w:rPr>
        <w:tab/>
      </w:r>
      <w:r>
        <w:rPr>
          <w:rStyle w:val="Heading2Char"/>
          <w:b/>
          <w:noProof/>
          <w:color w:val="auto"/>
        </w:rPr>
        <w:t>Base juridique</w:t>
      </w:r>
      <w:bookmarkEnd w:id="83"/>
      <w:bookmarkEnd w:id="84"/>
      <w:bookmarkEnd w:id="85"/>
      <w:bookmarkEnd w:id="86"/>
      <w:bookmarkEnd w:id="87"/>
    </w:p>
    <w:p w:rsidR="00C0375A" w:rsidRDefault="00C0375A">
      <w:pPr>
        <w:rPr>
          <w:noProof/>
        </w:rPr>
      </w:pPr>
    </w:p>
    <w:p w:rsidR="00C0375A" w:rsidRDefault="00622AF0">
      <w:pPr>
        <w:jc w:val="both"/>
        <w:rPr>
          <w:rFonts w:ascii="Times New Roman" w:hAnsi="Times New Roman" w:cs="Times New Roman"/>
          <w:noProof/>
          <w:sz w:val="24"/>
          <w:szCs w:val="24"/>
        </w:rPr>
      </w:pPr>
      <w:bookmarkStart w:id="88" w:name="_Toc467837724"/>
      <w:r>
        <w:rPr>
          <w:rFonts w:ascii="Times New Roman" w:hAnsi="Times New Roman"/>
          <w:noProof/>
          <w:sz w:val="24"/>
        </w:rPr>
        <w:t xml:space="preserve">Au cours des campagnes apicoles 2013, 2014 et 2015 couvertes par le présent rapport, le règlement (CE) nº 1234/2007 du Conseil était toujours en vigueur, </w:t>
      </w:r>
      <w:r>
        <w:rPr>
          <w:rFonts w:ascii="Times New Roman" w:hAnsi="Times New Roman"/>
          <w:b/>
          <w:noProof/>
          <w:sz w:val="24"/>
        </w:rPr>
        <w:t>les modifications relatives au secteur de l’apiculture introduites par la réforme de la PAC</w:t>
      </w:r>
      <w:r>
        <w:rPr>
          <w:rStyle w:val="FootnoteReference"/>
          <w:rFonts w:ascii="Times New Roman" w:hAnsi="Times New Roman"/>
          <w:b/>
          <w:noProof/>
          <w:sz w:val="24"/>
        </w:rPr>
        <w:t xml:space="preserve"> </w:t>
      </w:r>
      <w:r>
        <w:rPr>
          <w:rFonts w:ascii="Times New Roman" w:hAnsi="Times New Roman"/>
          <w:b/>
          <w:noProof/>
          <w:sz w:val="24"/>
        </w:rPr>
        <w:t>en 2013 n’</w:t>
      </w:r>
      <w:r>
        <w:rPr>
          <w:rFonts w:ascii="Times New Roman" w:hAnsi="Times New Roman"/>
          <w:b/>
          <w:noProof/>
          <w:sz w:val="24"/>
        </w:rPr>
        <w:t>avaient donc pas encore été mises en œuvre.</w:t>
      </w:r>
      <w:bookmarkEnd w:id="88"/>
    </w:p>
    <w:p w:rsidR="00C0375A" w:rsidRDefault="00622AF0">
      <w:pPr>
        <w:jc w:val="both"/>
        <w:rPr>
          <w:rFonts w:ascii="Times New Roman" w:hAnsi="Times New Roman" w:cs="Times New Roman"/>
          <w:noProof/>
          <w:sz w:val="24"/>
          <w:szCs w:val="24"/>
        </w:rPr>
      </w:pPr>
      <w:bookmarkStart w:id="89" w:name="_Toc467837725"/>
      <w:r>
        <w:rPr>
          <w:rFonts w:ascii="Times New Roman" w:hAnsi="Times New Roman"/>
          <w:noProof/>
          <w:sz w:val="24"/>
        </w:rPr>
        <w:t>Les dispositions des articles 55 à 57 du nouveau règlement (UE) nº 1308/2013 remplacent et abrogent les dispositions des articles 105 à 110 du règlement (CE) nº 1234/2007. Toutefois, l’article 231 du règlement (U</w:t>
      </w:r>
      <w:r>
        <w:rPr>
          <w:rFonts w:ascii="Times New Roman" w:hAnsi="Times New Roman"/>
          <w:noProof/>
          <w:sz w:val="24"/>
        </w:rPr>
        <w:t>E) nº 1308/2013 dispose que tous les programmes pluriannuels adoptés avant le 1</w:t>
      </w:r>
      <w:r>
        <w:rPr>
          <w:rFonts w:ascii="Times New Roman" w:hAnsi="Times New Roman"/>
          <w:noProof/>
          <w:sz w:val="24"/>
          <w:vertAlign w:val="superscript"/>
        </w:rPr>
        <w:t>er</w:t>
      </w:r>
      <w:r>
        <w:rPr>
          <w:rFonts w:ascii="Times New Roman" w:hAnsi="Times New Roman"/>
          <w:noProof/>
          <w:sz w:val="24"/>
        </w:rPr>
        <w:t> janvier 2014 continuent d’être régis par les dispositions pertinentes du règlement (CE) nº 1234/2007 jusqu’à leur expiration. Le législateur a introduit cette disposition tra</w:t>
      </w:r>
      <w:r>
        <w:rPr>
          <w:rFonts w:ascii="Times New Roman" w:hAnsi="Times New Roman"/>
          <w:noProof/>
          <w:sz w:val="24"/>
        </w:rPr>
        <w:t>nsitoire afin de garantir la continuité des programmes en cours. Les programmes apicoles 2011-2013 et 2014-2016 ayant été adoptés avant le 1</w:t>
      </w:r>
      <w:r>
        <w:rPr>
          <w:rFonts w:ascii="Times New Roman" w:hAnsi="Times New Roman"/>
          <w:noProof/>
          <w:sz w:val="24"/>
          <w:vertAlign w:val="superscript"/>
        </w:rPr>
        <w:t>er</w:t>
      </w:r>
      <w:r>
        <w:rPr>
          <w:rFonts w:ascii="Times New Roman" w:hAnsi="Times New Roman"/>
          <w:noProof/>
          <w:sz w:val="24"/>
        </w:rPr>
        <w:t> janvier 2014, ils étaient encore régis par les dispositions du règlement (CE) nº 1234/2007 et du règlement (CE) n</w:t>
      </w:r>
      <w:r>
        <w:rPr>
          <w:rFonts w:ascii="Times New Roman" w:hAnsi="Times New Roman"/>
          <w:noProof/>
          <w:sz w:val="24"/>
        </w:rPr>
        <w:t>º 917/2004 de la Commission du 29 avril 2004 portant modalités d’application du règlement (CE) nº 797/2004 du Conseil relatif aux actions visant à améliorer les conditions de la production et de la commercialisation des produits de l’apiculture</w:t>
      </w:r>
      <w:r>
        <w:rPr>
          <w:rStyle w:val="FootnoteReference"/>
          <w:rFonts w:ascii="Times New Roman" w:hAnsi="Times New Roman"/>
          <w:noProof/>
          <w:sz w:val="24"/>
        </w:rPr>
        <w:footnoteReference w:id="9"/>
      </w:r>
      <w:r>
        <w:rPr>
          <w:rFonts w:ascii="Times New Roman" w:hAnsi="Times New Roman"/>
          <w:noProof/>
          <w:sz w:val="24"/>
        </w:rPr>
        <w:t>.</w:t>
      </w:r>
      <w:bookmarkEnd w:id="89"/>
    </w:p>
    <w:p w:rsidR="00C0375A" w:rsidRDefault="00622AF0">
      <w:pPr>
        <w:pStyle w:val="ManualHeading2"/>
        <w:rPr>
          <w:rStyle w:val="Heading2Char"/>
          <w:b/>
          <w:noProof/>
          <w:color w:val="auto"/>
        </w:rPr>
      </w:pPr>
      <w:bookmarkStart w:id="90" w:name="_Toc466556582"/>
      <w:bookmarkStart w:id="91" w:name="_Toc467836891"/>
      <w:bookmarkStart w:id="92" w:name="_Toc467837232"/>
      <w:bookmarkStart w:id="93" w:name="_Toc467837394"/>
      <w:bookmarkStart w:id="94" w:name="_Toc467837726"/>
      <w:r>
        <w:rPr>
          <w:rStyle w:val="Heading2Char"/>
        </w:rPr>
        <w:tab/>
      </w:r>
      <w:r>
        <w:rPr>
          <w:rStyle w:val="Heading2Char"/>
          <w:b/>
          <w:noProof/>
          <w:color w:val="auto"/>
        </w:rPr>
        <w:t>4.2</w:t>
      </w:r>
      <w:r>
        <w:rPr>
          <w:noProof/>
        </w:rPr>
        <w:tab/>
      </w:r>
      <w:r>
        <w:rPr>
          <w:rStyle w:val="Heading2Char"/>
          <w:b/>
          <w:noProof/>
          <w:color w:val="auto"/>
        </w:rPr>
        <w:t>Obje</w:t>
      </w:r>
      <w:r>
        <w:rPr>
          <w:rStyle w:val="Heading2Char"/>
          <w:b/>
          <w:noProof/>
          <w:color w:val="auto"/>
        </w:rPr>
        <w:t>ctifs et mesures</w:t>
      </w:r>
      <w:bookmarkEnd w:id="90"/>
      <w:bookmarkEnd w:id="91"/>
      <w:bookmarkEnd w:id="92"/>
      <w:bookmarkEnd w:id="93"/>
      <w:bookmarkEnd w:id="94"/>
    </w:p>
    <w:p w:rsidR="00C0375A" w:rsidRDefault="00C0375A">
      <w:pPr>
        <w:rPr>
          <w:noProof/>
        </w:rPr>
      </w:pPr>
    </w:p>
    <w:p w:rsidR="00C0375A" w:rsidRDefault="00622AF0">
      <w:pPr>
        <w:jc w:val="both"/>
        <w:rPr>
          <w:rFonts w:ascii="Times New Roman" w:hAnsi="Times New Roman" w:cs="Times New Roman"/>
          <w:noProof/>
          <w:sz w:val="24"/>
          <w:szCs w:val="24"/>
        </w:rPr>
      </w:pPr>
      <w:bookmarkStart w:id="95" w:name="_Toc467837727"/>
      <w:r>
        <w:rPr>
          <w:rFonts w:ascii="Times New Roman" w:hAnsi="Times New Roman"/>
          <w:noProof/>
          <w:sz w:val="24"/>
        </w:rPr>
        <w:t>L’objectif des programmes est d’améliorer les conditions générales de production et de commercialisation des produits de l’apiculture dans l’Union.</w:t>
      </w:r>
      <w:bookmarkEnd w:id="95"/>
    </w:p>
    <w:p w:rsidR="00C0375A" w:rsidRDefault="00622AF0">
      <w:pPr>
        <w:rPr>
          <w:rFonts w:ascii="Times New Roman" w:hAnsi="Times New Roman" w:cs="Times New Roman"/>
          <w:noProof/>
          <w:sz w:val="24"/>
          <w:szCs w:val="24"/>
        </w:rPr>
      </w:pPr>
      <w:bookmarkStart w:id="96" w:name="_Toc467837728"/>
      <w:r>
        <w:rPr>
          <w:rFonts w:ascii="Times New Roman" w:hAnsi="Times New Roman"/>
          <w:noProof/>
          <w:sz w:val="24"/>
        </w:rPr>
        <w:t xml:space="preserve">Six mesures sont éligibles à l’aide et peuvent être incluses dans des programmes apicoles </w:t>
      </w:r>
      <w:r>
        <w:rPr>
          <w:rFonts w:ascii="Times New Roman" w:hAnsi="Times New Roman"/>
          <w:noProof/>
          <w:sz w:val="24"/>
        </w:rPr>
        <w:t>nationaux.</w:t>
      </w:r>
      <w:bookmarkEnd w:id="96"/>
    </w:p>
    <w:p w:rsidR="00C0375A" w:rsidRDefault="00622AF0">
      <w:pPr>
        <w:jc w:val="both"/>
        <w:rPr>
          <w:rFonts w:ascii="Times New Roman" w:hAnsi="Times New Roman" w:cs="Times New Roman"/>
          <w:noProof/>
          <w:sz w:val="24"/>
          <w:szCs w:val="24"/>
        </w:rPr>
      </w:pPr>
      <w:bookmarkStart w:id="97" w:name="_Toc467837729"/>
      <w:r>
        <w:rPr>
          <w:rFonts w:ascii="Times New Roman" w:hAnsi="Times New Roman"/>
          <w:noProof/>
          <w:sz w:val="24"/>
        </w:rPr>
        <w:t>Lors de l’élaboration de leur programme, les États membres consultent leurs organisations apicoles et choisissent dans une liste de mesures éligibles celles qu’ils considèrent comme les plus pertinentes. Par exemple, pour les campagnes apicoles </w:t>
      </w:r>
      <w:r>
        <w:rPr>
          <w:rFonts w:ascii="Times New Roman" w:hAnsi="Times New Roman"/>
          <w:noProof/>
          <w:sz w:val="24"/>
        </w:rPr>
        <w:t>2014 et 2015, les Pays-Bas ont choisi de ne mettre en œuvre qu’une seule mesure, la recherche appliquée.</w:t>
      </w:r>
      <w:bookmarkEnd w:id="97"/>
    </w:p>
    <w:p w:rsidR="00C0375A" w:rsidRDefault="00622AF0">
      <w:pPr>
        <w:jc w:val="both"/>
        <w:rPr>
          <w:rFonts w:ascii="Times New Roman" w:hAnsi="Times New Roman" w:cs="Times New Roman"/>
          <w:noProof/>
          <w:sz w:val="24"/>
          <w:szCs w:val="24"/>
        </w:rPr>
      </w:pPr>
      <w:bookmarkStart w:id="98" w:name="_Toc467837730"/>
      <w:r>
        <w:rPr>
          <w:rFonts w:ascii="Times New Roman" w:hAnsi="Times New Roman"/>
          <w:noProof/>
          <w:sz w:val="24"/>
        </w:rPr>
        <w:t>Les six mesures éligibles n’ont pas changé depuis le dernier rapport de la Commission en 2013 et sont les suivantes:</w:t>
      </w:r>
      <w:bookmarkEnd w:id="98"/>
    </w:p>
    <w:p w:rsidR="00C0375A" w:rsidRDefault="00622AF0">
      <w:pPr>
        <w:jc w:val="both"/>
        <w:rPr>
          <w:rFonts w:ascii="Times New Roman" w:hAnsi="Times New Roman" w:cs="Times New Roman"/>
          <w:noProof/>
          <w:sz w:val="24"/>
          <w:szCs w:val="24"/>
        </w:rPr>
      </w:pPr>
      <w:bookmarkStart w:id="99" w:name="_Toc467837731"/>
      <w:r>
        <w:rPr>
          <w:rFonts w:ascii="Times New Roman" w:hAnsi="Times New Roman"/>
          <w:noProof/>
          <w:sz w:val="24"/>
        </w:rPr>
        <w:t>L’</w:t>
      </w:r>
      <w:r>
        <w:rPr>
          <w:rFonts w:ascii="Times New Roman" w:hAnsi="Times New Roman"/>
          <w:b/>
          <w:noProof/>
          <w:sz w:val="24"/>
        </w:rPr>
        <w:t>assistance technique</w:t>
      </w:r>
      <w:r>
        <w:rPr>
          <w:rFonts w:ascii="Times New Roman" w:hAnsi="Times New Roman"/>
          <w:noProof/>
          <w:sz w:val="24"/>
        </w:rPr>
        <w:t xml:space="preserve"> est destiné</w:t>
      </w:r>
      <w:r>
        <w:rPr>
          <w:rFonts w:ascii="Times New Roman" w:hAnsi="Times New Roman"/>
          <w:noProof/>
          <w:sz w:val="24"/>
        </w:rPr>
        <w:t xml:space="preserve">e à renforcer l’efficience de la production et de la commercialisation en introduisant de meilleures techniques. Elle inclut l’organisation de cours de base pour les nouveaux apiculteurs et d’une formation continue pour les apiculteurs expérimentés et les </w:t>
      </w:r>
      <w:r>
        <w:rPr>
          <w:rFonts w:ascii="Times New Roman" w:hAnsi="Times New Roman"/>
          <w:noProof/>
          <w:sz w:val="24"/>
        </w:rPr>
        <w:t>responsables de groupements ou de coopératives; les cours de formation portent notamment sur des domaines tels que l’élevage et la prévention des maladies, la collecte et le conditionnement, le stockage et le transport du miel ainsi que sa commercialisatio</w:t>
      </w:r>
      <w:r>
        <w:rPr>
          <w:rFonts w:ascii="Times New Roman" w:hAnsi="Times New Roman"/>
          <w:noProof/>
          <w:sz w:val="24"/>
        </w:rPr>
        <w:t>n. Les ruchers didactiques et les réseaux de conseillers/techniciens en apiculture permettent de diffuser des connaissances techniques pratiques. La mesure peut également être utilisée pour favoriser la modernisation du secteur grâce à l’achat d’équipement</w:t>
      </w:r>
      <w:r>
        <w:rPr>
          <w:rFonts w:ascii="Times New Roman" w:hAnsi="Times New Roman"/>
          <w:noProof/>
          <w:sz w:val="24"/>
        </w:rPr>
        <w:t xml:space="preserve"> d’extraction par les apiculteurs.</w:t>
      </w:r>
      <w:bookmarkEnd w:id="99"/>
    </w:p>
    <w:p w:rsidR="00C0375A" w:rsidRDefault="00622AF0">
      <w:pPr>
        <w:jc w:val="both"/>
        <w:rPr>
          <w:rFonts w:ascii="Times New Roman" w:hAnsi="Times New Roman" w:cs="Times New Roman"/>
          <w:noProof/>
          <w:sz w:val="24"/>
          <w:szCs w:val="24"/>
        </w:rPr>
      </w:pPr>
      <w:bookmarkStart w:id="100" w:name="_Toc467837732"/>
      <w:r>
        <w:rPr>
          <w:rFonts w:ascii="Times New Roman" w:hAnsi="Times New Roman"/>
          <w:noProof/>
          <w:sz w:val="24"/>
        </w:rPr>
        <w:t xml:space="preserve">L’objectif de la </w:t>
      </w:r>
      <w:r>
        <w:rPr>
          <w:rFonts w:ascii="Times New Roman" w:hAnsi="Times New Roman"/>
          <w:b/>
          <w:noProof/>
          <w:sz w:val="24"/>
        </w:rPr>
        <w:t xml:space="preserve">prévention de la varroose </w:t>
      </w:r>
      <w:r>
        <w:rPr>
          <w:rFonts w:ascii="Times New Roman" w:hAnsi="Times New Roman"/>
          <w:noProof/>
          <w:sz w:val="24"/>
        </w:rPr>
        <w:t xml:space="preserve">est de lutter contre l’infestation des ruches par ce parasite endémique. La varroose est une maladie affectant l’abeille commune causée par une mite (le Varroa) qui affaiblit le </w:t>
      </w:r>
      <w:r>
        <w:rPr>
          <w:rFonts w:ascii="Times New Roman" w:hAnsi="Times New Roman"/>
          <w:noProof/>
          <w:sz w:val="24"/>
        </w:rPr>
        <w:t>système immunitaire des abeilles et accroît leur infection secondaire par virus. Le principal moyen de contrôler la maladie est de diminuer la charge parasitaire. La varroose diminue fortement la production de miel dans l’UE et entraîne la perte de colonie</w:t>
      </w:r>
      <w:r>
        <w:rPr>
          <w:rFonts w:ascii="Times New Roman" w:hAnsi="Times New Roman"/>
          <w:noProof/>
          <w:sz w:val="24"/>
        </w:rPr>
        <w:t>s d’abeilles si elle n’est pas traitée. Comme elle est endémique dans l’UE et ne peut être totalement éradiquée, le seul moyen d’éviter ses conséquences est de traiter les ruches à l’aide de méthodes et de produits agréés. Une contribution financière est n</w:t>
      </w:r>
      <w:r>
        <w:rPr>
          <w:rFonts w:ascii="Times New Roman" w:hAnsi="Times New Roman"/>
          <w:noProof/>
          <w:sz w:val="24"/>
        </w:rPr>
        <w:t>écessaire pour aider les producteurs à assumer la hausse du coût du traitement des ruches (produits, équipement tel que des filets de protection).</w:t>
      </w:r>
      <w:bookmarkEnd w:id="100"/>
      <w:r>
        <w:rPr>
          <w:rFonts w:ascii="Times New Roman" w:hAnsi="Times New Roman"/>
          <w:noProof/>
          <w:sz w:val="24"/>
        </w:rPr>
        <w:t xml:space="preserve"> </w:t>
      </w:r>
    </w:p>
    <w:p w:rsidR="00C0375A" w:rsidRDefault="00622AF0">
      <w:pPr>
        <w:jc w:val="both"/>
        <w:rPr>
          <w:rFonts w:ascii="Times New Roman" w:hAnsi="Times New Roman" w:cs="Times New Roman"/>
          <w:noProof/>
          <w:sz w:val="24"/>
          <w:szCs w:val="24"/>
        </w:rPr>
      </w:pPr>
      <w:bookmarkStart w:id="101" w:name="_Toc467837733"/>
      <w:r>
        <w:rPr>
          <w:rFonts w:ascii="Times New Roman" w:hAnsi="Times New Roman"/>
          <w:noProof/>
          <w:sz w:val="24"/>
        </w:rPr>
        <w:t xml:space="preserve">L’aide à la </w:t>
      </w:r>
      <w:r>
        <w:rPr>
          <w:rFonts w:ascii="Times New Roman" w:hAnsi="Times New Roman"/>
          <w:b/>
          <w:noProof/>
          <w:sz w:val="24"/>
        </w:rPr>
        <w:t>rationalisation de la transhumance</w:t>
      </w:r>
      <w:r>
        <w:rPr>
          <w:rFonts w:ascii="Times New Roman" w:hAnsi="Times New Roman"/>
          <w:noProof/>
          <w:sz w:val="24"/>
        </w:rPr>
        <w:t xml:space="preserve"> vise à apporter une assistance à la gestion du mouvement des </w:t>
      </w:r>
      <w:r>
        <w:rPr>
          <w:rFonts w:ascii="Times New Roman" w:hAnsi="Times New Roman"/>
          <w:noProof/>
          <w:sz w:val="24"/>
        </w:rPr>
        <w:t>essaims dans l’Union et à la mise à disposition de lieux pour les apiculteurs au cours de la saison de floraison. La gestion de la transhumance peut être facilitée par des mesures telles que l’identification des ruches et des cadres, un registre de transhu</w:t>
      </w:r>
      <w:r>
        <w:rPr>
          <w:rFonts w:ascii="Times New Roman" w:hAnsi="Times New Roman"/>
          <w:noProof/>
          <w:sz w:val="24"/>
        </w:rPr>
        <w:t xml:space="preserve">mance, l’investissement dans du matériel qui facilite la transhumance et le recensement des variétés de fleurs. Dans plusieurs États membres, la transhumance est cruciale pour couvrir les besoins nutritionnels des abeilles et garantir la pollinisation des </w:t>
      </w:r>
      <w:r>
        <w:rPr>
          <w:rFonts w:ascii="Times New Roman" w:hAnsi="Times New Roman"/>
          <w:noProof/>
          <w:sz w:val="24"/>
        </w:rPr>
        <w:t>plantes.</w:t>
      </w:r>
      <w:bookmarkEnd w:id="101"/>
      <w:r>
        <w:rPr>
          <w:rFonts w:ascii="Times New Roman" w:hAnsi="Times New Roman"/>
          <w:noProof/>
          <w:sz w:val="24"/>
        </w:rPr>
        <w:t xml:space="preserve"> </w:t>
      </w:r>
    </w:p>
    <w:p w:rsidR="00C0375A" w:rsidRDefault="00622AF0">
      <w:pPr>
        <w:jc w:val="both"/>
        <w:rPr>
          <w:rFonts w:ascii="Times New Roman" w:hAnsi="Times New Roman" w:cs="Times New Roman"/>
          <w:noProof/>
          <w:sz w:val="24"/>
          <w:szCs w:val="24"/>
        </w:rPr>
      </w:pPr>
      <w:bookmarkStart w:id="102" w:name="_Toc467837734"/>
      <w:r>
        <w:rPr>
          <w:rFonts w:ascii="Times New Roman" w:hAnsi="Times New Roman"/>
          <w:noProof/>
          <w:sz w:val="24"/>
        </w:rPr>
        <w:t>Les mesures de soutien à la réalisation de l’</w:t>
      </w:r>
      <w:r>
        <w:rPr>
          <w:rFonts w:ascii="Times New Roman" w:hAnsi="Times New Roman"/>
          <w:b/>
          <w:noProof/>
          <w:sz w:val="24"/>
        </w:rPr>
        <w:t>analyse du miel</w:t>
      </w:r>
      <w:r>
        <w:rPr>
          <w:rFonts w:ascii="Times New Roman" w:hAnsi="Times New Roman"/>
          <w:noProof/>
          <w:sz w:val="24"/>
        </w:rPr>
        <w:t xml:space="preserve"> ont pour objectif d’améliorer la commercialisation du miel. L’analyse du miel permet aux apiculteurs de garantir que le miel mis sur le marché répond aux caractéristiques physicochimiques définies dans la directive 2001/110/CE relative au miel</w:t>
      </w:r>
      <w:r>
        <w:rPr>
          <w:rFonts w:ascii="Times New Roman" w:hAnsi="Times New Roman"/>
          <w:noProof/>
          <w:sz w:val="24"/>
          <w:vertAlign w:val="superscript"/>
        </w:rPr>
        <w:footnoteReference w:id="10"/>
      </w:r>
      <w:r>
        <w:rPr>
          <w:rFonts w:ascii="Times New Roman" w:hAnsi="Times New Roman"/>
          <w:noProof/>
          <w:sz w:val="24"/>
        </w:rPr>
        <w:t>; les analy</w:t>
      </w:r>
      <w:r>
        <w:rPr>
          <w:rFonts w:ascii="Times New Roman" w:hAnsi="Times New Roman"/>
          <w:noProof/>
          <w:sz w:val="24"/>
        </w:rPr>
        <w:t>ses de l’origine botanique du miel donnent aux apiculteurs une connaissance précise du miel récolté, ce qui leur permet d’obtenir un meilleur prix pour leur produit. Le soutien financier à l’analyse du miel est essentiel en vue de permettre à un grand nomb</w:t>
      </w:r>
      <w:r>
        <w:rPr>
          <w:rFonts w:ascii="Times New Roman" w:hAnsi="Times New Roman"/>
          <w:noProof/>
          <w:sz w:val="24"/>
        </w:rPr>
        <w:t>re d’apiculteurs d’avoir accès à ce service.</w:t>
      </w:r>
      <w:bookmarkEnd w:id="102"/>
    </w:p>
    <w:p w:rsidR="00C0375A" w:rsidRDefault="00622AF0">
      <w:pPr>
        <w:jc w:val="both"/>
        <w:rPr>
          <w:rFonts w:ascii="Times New Roman" w:hAnsi="Times New Roman" w:cs="Times New Roman"/>
          <w:noProof/>
          <w:sz w:val="24"/>
          <w:szCs w:val="24"/>
        </w:rPr>
      </w:pPr>
      <w:bookmarkStart w:id="103" w:name="_Toc467837735"/>
      <w:r>
        <w:rPr>
          <w:rFonts w:ascii="Times New Roman" w:hAnsi="Times New Roman"/>
          <w:noProof/>
          <w:sz w:val="24"/>
        </w:rPr>
        <w:t xml:space="preserve">Le </w:t>
      </w:r>
      <w:r>
        <w:rPr>
          <w:rFonts w:ascii="Times New Roman" w:hAnsi="Times New Roman"/>
          <w:b/>
          <w:noProof/>
          <w:sz w:val="24"/>
        </w:rPr>
        <w:t>repeuplement du cheptel apicole</w:t>
      </w:r>
      <w:r>
        <w:rPr>
          <w:rFonts w:ascii="Times New Roman" w:hAnsi="Times New Roman"/>
          <w:noProof/>
          <w:sz w:val="24"/>
        </w:rPr>
        <w:t xml:space="preserve"> permet de compenser les pertes d’abeilles et d’ainsi éviter les pertes de production; il peut inclure le financement d’activités de promotion de la production de reines ou l’ac</w:t>
      </w:r>
      <w:r>
        <w:rPr>
          <w:rFonts w:ascii="Times New Roman" w:hAnsi="Times New Roman"/>
          <w:noProof/>
          <w:sz w:val="24"/>
        </w:rPr>
        <w:t>hat de colonies d’abeilles.</w:t>
      </w:r>
      <w:bookmarkEnd w:id="103"/>
    </w:p>
    <w:p w:rsidR="00C0375A" w:rsidRDefault="00622AF0">
      <w:pPr>
        <w:jc w:val="both"/>
        <w:rPr>
          <w:rFonts w:ascii="Times New Roman" w:hAnsi="Times New Roman" w:cs="Times New Roman"/>
          <w:noProof/>
          <w:sz w:val="24"/>
          <w:szCs w:val="24"/>
        </w:rPr>
      </w:pPr>
      <w:bookmarkStart w:id="104" w:name="_Toc467837736"/>
      <w:r>
        <w:rPr>
          <w:rFonts w:ascii="Times New Roman" w:hAnsi="Times New Roman"/>
          <w:noProof/>
          <w:sz w:val="24"/>
        </w:rPr>
        <w:t xml:space="preserve">La possibilité qu’offre le règlement d’intégrer des projets particuliers de </w:t>
      </w:r>
      <w:r>
        <w:rPr>
          <w:rFonts w:ascii="Times New Roman" w:hAnsi="Times New Roman"/>
          <w:b/>
          <w:noProof/>
          <w:sz w:val="24"/>
        </w:rPr>
        <w:t>recherche appliquée</w:t>
      </w:r>
      <w:r>
        <w:rPr>
          <w:rFonts w:ascii="Times New Roman" w:hAnsi="Times New Roman"/>
          <w:noProof/>
          <w:sz w:val="24"/>
        </w:rPr>
        <w:t xml:space="preserve"> pour améliorer la qualité du miel dans les programmes apicoles, ainsi que la diffusion des résultats de ces projets, peuvent aider à</w:t>
      </w:r>
      <w:r>
        <w:rPr>
          <w:rFonts w:ascii="Times New Roman" w:hAnsi="Times New Roman"/>
          <w:noProof/>
          <w:sz w:val="24"/>
        </w:rPr>
        <w:t xml:space="preserve"> améliorer les connaissances des apiculteurs sur certaines pratiques apicoles.</w:t>
      </w:r>
      <w:bookmarkEnd w:id="104"/>
    </w:p>
    <w:p w:rsidR="00C0375A" w:rsidRDefault="00C0375A">
      <w:pPr>
        <w:jc w:val="both"/>
        <w:rPr>
          <w:rFonts w:ascii="Times New Roman" w:hAnsi="Times New Roman" w:cs="Times New Roman"/>
          <w:noProof/>
          <w:sz w:val="24"/>
          <w:szCs w:val="24"/>
        </w:rPr>
      </w:pPr>
    </w:p>
    <w:p w:rsidR="00C0375A" w:rsidRDefault="00C0375A">
      <w:pPr>
        <w:jc w:val="both"/>
        <w:rPr>
          <w:rFonts w:ascii="Times New Roman" w:hAnsi="Times New Roman" w:cs="Times New Roman"/>
          <w:noProof/>
          <w:sz w:val="24"/>
          <w:szCs w:val="24"/>
        </w:rPr>
      </w:pPr>
    </w:p>
    <w:p w:rsidR="00C0375A" w:rsidRDefault="00622AF0">
      <w:pPr>
        <w:rPr>
          <w:rFonts w:ascii="Times New Roman" w:hAnsi="Times New Roman" w:cs="Times New Roman"/>
          <w:b/>
          <w:noProof/>
          <w:sz w:val="24"/>
          <w:szCs w:val="24"/>
        </w:rPr>
      </w:pPr>
      <w:bookmarkStart w:id="105" w:name="_Toc467836892"/>
      <w:bookmarkStart w:id="106" w:name="_Toc467837233"/>
      <w:bookmarkStart w:id="107" w:name="_Toc467837395"/>
      <w:bookmarkStart w:id="108" w:name="_Toc466556583"/>
      <w:bookmarkStart w:id="109" w:name="_Toc467837737"/>
      <w:r>
        <w:rPr>
          <w:rStyle w:val="Heading2Char"/>
          <w:noProof/>
          <w:color w:val="auto"/>
        </w:rPr>
        <w:t>4.3</w:t>
      </w:r>
      <w:bookmarkEnd w:id="105"/>
      <w:bookmarkEnd w:id="106"/>
      <w:bookmarkEnd w:id="107"/>
      <w:r>
        <w:rPr>
          <w:noProof/>
        </w:rPr>
        <w:tab/>
      </w:r>
      <w:r>
        <w:rPr>
          <w:rStyle w:val="Heading2Char"/>
          <w:noProof/>
          <w:color w:val="auto"/>
        </w:rPr>
        <w:t>Budget de l’Union en faveur des programmes apicoles nationaux et taux d’utilisation</w:t>
      </w:r>
      <w:bookmarkEnd w:id="108"/>
      <w:bookmarkEnd w:id="109"/>
    </w:p>
    <w:p w:rsidR="00C0375A" w:rsidRDefault="00622AF0">
      <w:pPr>
        <w:jc w:val="both"/>
        <w:rPr>
          <w:rFonts w:ascii="Times New Roman" w:hAnsi="Times New Roman" w:cs="Times New Roman"/>
          <w:noProof/>
          <w:sz w:val="24"/>
          <w:szCs w:val="24"/>
        </w:rPr>
      </w:pPr>
      <w:bookmarkStart w:id="110" w:name="_Toc467837738"/>
      <w:r>
        <w:rPr>
          <w:rFonts w:ascii="Times New Roman" w:hAnsi="Times New Roman"/>
          <w:noProof/>
          <w:sz w:val="24"/>
        </w:rPr>
        <w:t>Les fonds de l’Union consacrés au secteur de l’apiculture sont relativement limités mai</w:t>
      </w:r>
      <w:r>
        <w:rPr>
          <w:rFonts w:ascii="Times New Roman" w:hAnsi="Times New Roman"/>
          <w:noProof/>
          <w:sz w:val="24"/>
        </w:rPr>
        <w:t>s augmentent tous les trois ans afin de tenir compte des besoins croissants du secteur, de la bonne mise en œuvre des programmes et des élargissements successifs de l’Union. En ce qui concerne les programmes apicoles 2017-2019, les fonds de l’Union disponi</w:t>
      </w:r>
      <w:r>
        <w:rPr>
          <w:rFonts w:ascii="Times New Roman" w:hAnsi="Times New Roman"/>
          <w:noProof/>
          <w:sz w:val="24"/>
        </w:rPr>
        <w:t>bles augmenteront pour atteindre 36 millions d’EUR par campagne apicole.</w:t>
      </w:r>
      <w:bookmarkEnd w:id="110"/>
    </w:p>
    <w:p w:rsidR="00C0375A" w:rsidRDefault="00622AF0">
      <w:pPr>
        <w:rPr>
          <w:rFonts w:ascii="Times New Roman" w:hAnsi="Times New Roman" w:cs="Times New Roman"/>
          <w:noProof/>
          <w:sz w:val="24"/>
          <w:szCs w:val="24"/>
        </w:rPr>
      </w:pPr>
      <w:bookmarkStart w:id="111" w:name="_Toc467837739"/>
      <w:r>
        <w:rPr>
          <w:rFonts w:ascii="Times New Roman" w:hAnsi="Times New Roman"/>
          <w:noProof/>
          <w:sz w:val="24"/>
        </w:rPr>
        <w:t>Tableau 1: Fonds de l’Union disponibles en faveur des programmes apicoles nationaux.</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893"/>
        <w:gridCol w:w="1893"/>
        <w:gridCol w:w="1893"/>
      </w:tblGrid>
      <w:tr w:rsidR="00C0375A">
        <w:tc>
          <w:tcPr>
            <w:tcW w:w="0" w:type="auto"/>
          </w:tcPr>
          <w:p w:rsidR="00C0375A" w:rsidRDefault="00622AF0">
            <w:pPr>
              <w:rPr>
                <w:rFonts w:ascii="Times New Roman" w:hAnsi="Times New Roman" w:cs="Times New Roman"/>
                <w:noProof/>
                <w:sz w:val="24"/>
                <w:szCs w:val="24"/>
              </w:rPr>
            </w:pPr>
            <w:bookmarkStart w:id="112" w:name="_Toc467837740"/>
            <w:r>
              <w:rPr>
                <w:rFonts w:ascii="Times New Roman" w:hAnsi="Times New Roman"/>
                <w:noProof/>
                <w:sz w:val="24"/>
              </w:rPr>
              <w:t xml:space="preserve">Fonds de l’Union disponibles </w:t>
            </w:r>
            <w:r>
              <w:rPr>
                <w:rFonts w:ascii="Times New Roman" w:hAnsi="Times New Roman"/>
                <w:noProof/>
                <w:sz w:val="24"/>
                <w:u w:val="single"/>
              </w:rPr>
              <w:t>par campagne apicole</w:t>
            </w:r>
            <w:bookmarkEnd w:id="112"/>
          </w:p>
        </w:tc>
        <w:tc>
          <w:tcPr>
            <w:tcW w:w="0" w:type="auto"/>
          </w:tcPr>
          <w:p w:rsidR="00C0375A" w:rsidRDefault="00622AF0">
            <w:pPr>
              <w:rPr>
                <w:rFonts w:ascii="Times New Roman" w:hAnsi="Times New Roman" w:cs="Times New Roman"/>
                <w:noProof/>
                <w:sz w:val="24"/>
                <w:szCs w:val="24"/>
              </w:rPr>
            </w:pPr>
            <w:bookmarkStart w:id="113" w:name="_Toc467837741"/>
            <w:r>
              <w:rPr>
                <w:rFonts w:ascii="Times New Roman" w:hAnsi="Times New Roman"/>
                <w:noProof/>
                <w:sz w:val="24"/>
              </w:rPr>
              <w:t>Campagne apicole 2013</w:t>
            </w:r>
            <w:bookmarkEnd w:id="113"/>
          </w:p>
          <w:p w:rsidR="00C0375A" w:rsidRDefault="00622AF0">
            <w:pPr>
              <w:rPr>
                <w:rFonts w:ascii="Times New Roman" w:hAnsi="Times New Roman" w:cs="Times New Roman"/>
                <w:noProof/>
                <w:sz w:val="24"/>
                <w:szCs w:val="24"/>
              </w:rPr>
            </w:pPr>
            <w:bookmarkStart w:id="114" w:name="_Toc467837742"/>
            <w:r>
              <w:rPr>
                <w:rFonts w:ascii="Times New Roman" w:hAnsi="Times New Roman"/>
                <w:noProof/>
                <w:sz w:val="24"/>
              </w:rPr>
              <w:t>Programmes 2011-2013</w:t>
            </w:r>
            <w:bookmarkEnd w:id="114"/>
          </w:p>
          <w:p w:rsidR="00C0375A" w:rsidRDefault="00C0375A">
            <w:pPr>
              <w:rPr>
                <w:rFonts w:ascii="Times New Roman" w:hAnsi="Times New Roman" w:cs="Times New Roman"/>
                <w:noProof/>
                <w:sz w:val="24"/>
                <w:szCs w:val="24"/>
              </w:rPr>
            </w:pPr>
          </w:p>
        </w:tc>
        <w:tc>
          <w:tcPr>
            <w:tcW w:w="0" w:type="auto"/>
          </w:tcPr>
          <w:p w:rsidR="00C0375A" w:rsidRDefault="00622AF0">
            <w:pPr>
              <w:rPr>
                <w:rFonts w:ascii="Times New Roman" w:hAnsi="Times New Roman" w:cs="Times New Roman"/>
                <w:noProof/>
                <w:sz w:val="24"/>
                <w:szCs w:val="24"/>
              </w:rPr>
            </w:pPr>
            <w:bookmarkStart w:id="115" w:name="_Toc467837743"/>
            <w:r>
              <w:rPr>
                <w:rFonts w:ascii="Times New Roman" w:hAnsi="Times New Roman"/>
                <w:noProof/>
                <w:sz w:val="24"/>
              </w:rPr>
              <w:t>Campagne apicole 2014</w:t>
            </w:r>
            <w:bookmarkEnd w:id="115"/>
          </w:p>
          <w:p w:rsidR="00C0375A" w:rsidRDefault="00622AF0">
            <w:pPr>
              <w:rPr>
                <w:rFonts w:ascii="Times New Roman" w:hAnsi="Times New Roman" w:cs="Times New Roman"/>
                <w:noProof/>
                <w:sz w:val="24"/>
                <w:szCs w:val="24"/>
              </w:rPr>
            </w:pPr>
            <w:bookmarkStart w:id="116" w:name="_Toc467837744"/>
            <w:r>
              <w:rPr>
                <w:rFonts w:ascii="Times New Roman" w:hAnsi="Times New Roman"/>
                <w:noProof/>
                <w:sz w:val="24"/>
              </w:rPr>
              <w:t>Programmes 2014-2016</w:t>
            </w:r>
            <w:bookmarkEnd w:id="116"/>
          </w:p>
          <w:p w:rsidR="00C0375A" w:rsidRDefault="00C0375A">
            <w:pPr>
              <w:rPr>
                <w:rFonts w:ascii="Times New Roman" w:hAnsi="Times New Roman" w:cs="Times New Roman"/>
                <w:noProof/>
                <w:sz w:val="24"/>
                <w:szCs w:val="24"/>
              </w:rPr>
            </w:pPr>
          </w:p>
        </w:tc>
        <w:tc>
          <w:tcPr>
            <w:tcW w:w="0" w:type="auto"/>
          </w:tcPr>
          <w:p w:rsidR="00C0375A" w:rsidRDefault="00622AF0">
            <w:pPr>
              <w:rPr>
                <w:rFonts w:ascii="Times New Roman" w:hAnsi="Times New Roman" w:cs="Times New Roman"/>
                <w:noProof/>
                <w:sz w:val="24"/>
                <w:szCs w:val="24"/>
              </w:rPr>
            </w:pPr>
            <w:bookmarkStart w:id="117" w:name="_Toc467837745"/>
            <w:r>
              <w:rPr>
                <w:rFonts w:ascii="Times New Roman" w:hAnsi="Times New Roman"/>
                <w:noProof/>
                <w:sz w:val="24"/>
              </w:rPr>
              <w:t>Campagne apicole 2015</w:t>
            </w:r>
            <w:bookmarkEnd w:id="117"/>
          </w:p>
          <w:p w:rsidR="00C0375A" w:rsidRDefault="00622AF0">
            <w:pPr>
              <w:rPr>
                <w:rFonts w:ascii="Times New Roman" w:hAnsi="Times New Roman" w:cs="Times New Roman"/>
                <w:noProof/>
                <w:sz w:val="24"/>
                <w:szCs w:val="24"/>
              </w:rPr>
            </w:pPr>
            <w:bookmarkStart w:id="118" w:name="_Toc467837746"/>
            <w:r>
              <w:rPr>
                <w:rFonts w:ascii="Times New Roman" w:hAnsi="Times New Roman"/>
                <w:noProof/>
                <w:sz w:val="24"/>
              </w:rPr>
              <w:t>Programmes 2014-2016</w:t>
            </w:r>
            <w:bookmarkEnd w:id="118"/>
          </w:p>
          <w:p w:rsidR="00C0375A" w:rsidRDefault="00C0375A">
            <w:pPr>
              <w:rPr>
                <w:rFonts w:ascii="Times New Roman" w:hAnsi="Times New Roman" w:cs="Times New Roman"/>
                <w:noProof/>
                <w:sz w:val="24"/>
                <w:szCs w:val="24"/>
              </w:rPr>
            </w:pPr>
          </w:p>
        </w:tc>
      </w:tr>
      <w:tr w:rsidR="00C0375A">
        <w:tc>
          <w:tcPr>
            <w:tcW w:w="0" w:type="auto"/>
          </w:tcPr>
          <w:p w:rsidR="00C0375A" w:rsidRDefault="00622AF0">
            <w:pPr>
              <w:rPr>
                <w:rFonts w:ascii="Times New Roman" w:hAnsi="Times New Roman" w:cs="Times New Roman"/>
                <w:noProof/>
                <w:sz w:val="24"/>
                <w:szCs w:val="24"/>
              </w:rPr>
            </w:pPr>
            <w:bookmarkStart w:id="119" w:name="_Toc467837747"/>
            <w:r>
              <w:rPr>
                <w:rFonts w:ascii="Times New Roman" w:hAnsi="Times New Roman"/>
                <w:noProof/>
                <w:sz w:val="24"/>
              </w:rPr>
              <w:t>EUR</w:t>
            </w:r>
            <w:bookmarkEnd w:id="119"/>
          </w:p>
        </w:tc>
        <w:tc>
          <w:tcPr>
            <w:tcW w:w="0" w:type="auto"/>
          </w:tcPr>
          <w:p w:rsidR="00C0375A" w:rsidRDefault="00622AF0">
            <w:pPr>
              <w:rPr>
                <w:rFonts w:ascii="Times New Roman" w:hAnsi="Times New Roman" w:cs="Times New Roman"/>
                <w:noProof/>
                <w:sz w:val="24"/>
                <w:szCs w:val="24"/>
              </w:rPr>
            </w:pPr>
            <w:bookmarkStart w:id="120" w:name="_Toc467837748"/>
            <w:r>
              <w:rPr>
                <w:rFonts w:ascii="Times New Roman" w:hAnsi="Times New Roman"/>
                <w:noProof/>
                <w:sz w:val="24"/>
              </w:rPr>
              <w:t>32 000 000</w:t>
            </w:r>
            <w:bookmarkEnd w:id="120"/>
          </w:p>
        </w:tc>
        <w:tc>
          <w:tcPr>
            <w:tcW w:w="0" w:type="auto"/>
          </w:tcPr>
          <w:p w:rsidR="00C0375A" w:rsidRDefault="00622AF0">
            <w:pPr>
              <w:rPr>
                <w:rFonts w:ascii="Times New Roman" w:hAnsi="Times New Roman" w:cs="Times New Roman"/>
                <w:noProof/>
                <w:sz w:val="24"/>
                <w:szCs w:val="24"/>
              </w:rPr>
            </w:pPr>
            <w:bookmarkStart w:id="121" w:name="_Toc467837749"/>
            <w:r>
              <w:rPr>
                <w:rFonts w:ascii="Times New Roman" w:hAnsi="Times New Roman"/>
                <w:noProof/>
                <w:sz w:val="24"/>
              </w:rPr>
              <w:t>33 100 000</w:t>
            </w:r>
            <w:bookmarkEnd w:id="121"/>
          </w:p>
        </w:tc>
        <w:tc>
          <w:tcPr>
            <w:tcW w:w="0" w:type="auto"/>
          </w:tcPr>
          <w:p w:rsidR="00C0375A" w:rsidRDefault="00622AF0">
            <w:pPr>
              <w:rPr>
                <w:rFonts w:ascii="Times New Roman" w:hAnsi="Times New Roman" w:cs="Times New Roman"/>
                <w:noProof/>
                <w:sz w:val="24"/>
                <w:szCs w:val="24"/>
              </w:rPr>
            </w:pPr>
            <w:bookmarkStart w:id="122" w:name="_Toc467837750"/>
            <w:r>
              <w:rPr>
                <w:rFonts w:ascii="Times New Roman" w:hAnsi="Times New Roman"/>
                <w:noProof/>
                <w:sz w:val="24"/>
              </w:rPr>
              <w:t>33 100 000</w:t>
            </w:r>
            <w:bookmarkEnd w:id="122"/>
          </w:p>
        </w:tc>
      </w:tr>
      <w:tr w:rsidR="00C0375A">
        <w:tc>
          <w:tcPr>
            <w:tcW w:w="0" w:type="auto"/>
          </w:tcPr>
          <w:p w:rsidR="00C0375A" w:rsidRDefault="00622AF0">
            <w:pPr>
              <w:rPr>
                <w:rFonts w:ascii="Times New Roman" w:hAnsi="Times New Roman" w:cs="Times New Roman"/>
                <w:noProof/>
                <w:sz w:val="24"/>
                <w:szCs w:val="24"/>
              </w:rPr>
            </w:pPr>
            <w:bookmarkStart w:id="123" w:name="_Toc467837751"/>
            <w:r>
              <w:rPr>
                <w:rFonts w:ascii="Times New Roman" w:hAnsi="Times New Roman"/>
                <w:noProof/>
                <w:sz w:val="24"/>
              </w:rPr>
              <w:t>Montant de fonds européens utilisés par les États membres (en EUR)</w:t>
            </w:r>
            <w:bookmarkEnd w:id="123"/>
          </w:p>
        </w:tc>
        <w:tc>
          <w:tcPr>
            <w:tcW w:w="0" w:type="auto"/>
          </w:tcPr>
          <w:p w:rsidR="00C0375A" w:rsidRDefault="00622AF0">
            <w:pPr>
              <w:rPr>
                <w:rFonts w:ascii="Times New Roman" w:hAnsi="Times New Roman" w:cs="Times New Roman"/>
                <w:noProof/>
                <w:sz w:val="24"/>
                <w:szCs w:val="24"/>
              </w:rPr>
            </w:pPr>
            <w:bookmarkStart w:id="124" w:name="_Toc467837752"/>
            <w:r>
              <w:rPr>
                <w:rFonts w:ascii="Times New Roman" w:hAnsi="Times New Roman"/>
                <w:noProof/>
                <w:sz w:val="24"/>
              </w:rPr>
              <w:t>29 160 781</w:t>
            </w:r>
            <w:bookmarkEnd w:id="124"/>
          </w:p>
        </w:tc>
        <w:tc>
          <w:tcPr>
            <w:tcW w:w="0" w:type="auto"/>
          </w:tcPr>
          <w:p w:rsidR="00C0375A" w:rsidRDefault="00622AF0">
            <w:pPr>
              <w:rPr>
                <w:rFonts w:ascii="Times New Roman" w:hAnsi="Times New Roman" w:cs="Times New Roman"/>
                <w:noProof/>
                <w:sz w:val="24"/>
                <w:szCs w:val="24"/>
              </w:rPr>
            </w:pPr>
            <w:bookmarkStart w:id="125" w:name="_Toc467837753"/>
            <w:r>
              <w:rPr>
                <w:rFonts w:ascii="Times New Roman" w:hAnsi="Times New Roman"/>
                <w:noProof/>
                <w:sz w:val="24"/>
              </w:rPr>
              <w:t>30 430 265</w:t>
            </w:r>
            <w:bookmarkEnd w:id="125"/>
          </w:p>
        </w:tc>
        <w:tc>
          <w:tcPr>
            <w:tcW w:w="0" w:type="auto"/>
          </w:tcPr>
          <w:p w:rsidR="00C0375A" w:rsidRDefault="00622AF0">
            <w:pPr>
              <w:rPr>
                <w:rFonts w:ascii="Times New Roman" w:hAnsi="Times New Roman" w:cs="Times New Roman"/>
                <w:noProof/>
                <w:sz w:val="24"/>
                <w:szCs w:val="24"/>
              </w:rPr>
            </w:pPr>
            <w:bookmarkStart w:id="126" w:name="_Toc467837754"/>
            <w:r>
              <w:rPr>
                <w:rFonts w:ascii="Times New Roman" w:hAnsi="Times New Roman"/>
                <w:noProof/>
                <w:sz w:val="24"/>
              </w:rPr>
              <w:t>30 874 274</w:t>
            </w:r>
            <w:bookmarkEnd w:id="126"/>
          </w:p>
        </w:tc>
      </w:tr>
      <w:tr w:rsidR="00C0375A">
        <w:tc>
          <w:tcPr>
            <w:tcW w:w="0" w:type="auto"/>
          </w:tcPr>
          <w:p w:rsidR="00C0375A" w:rsidRDefault="00622AF0">
            <w:pPr>
              <w:rPr>
                <w:rFonts w:ascii="Times New Roman" w:hAnsi="Times New Roman" w:cs="Times New Roman"/>
                <w:noProof/>
                <w:sz w:val="24"/>
                <w:szCs w:val="24"/>
              </w:rPr>
            </w:pPr>
            <w:bookmarkStart w:id="127" w:name="_Toc467837755"/>
            <w:r>
              <w:rPr>
                <w:rFonts w:ascii="Times New Roman" w:hAnsi="Times New Roman"/>
                <w:noProof/>
                <w:sz w:val="24"/>
              </w:rPr>
              <w:t>Taux d’utilisation</w:t>
            </w:r>
            <w:bookmarkEnd w:id="127"/>
          </w:p>
        </w:tc>
        <w:tc>
          <w:tcPr>
            <w:tcW w:w="0" w:type="auto"/>
          </w:tcPr>
          <w:p w:rsidR="00C0375A" w:rsidRDefault="00622AF0">
            <w:pPr>
              <w:rPr>
                <w:rFonts w:ascii="Times New Roman" w:hAnsi="Times New Roman" w:cs="Times New Roman"/>
                <w:noProof/>
                <w:sz w:val="24"/>
                <w:szCs w:val="24"/>
              </w:rPr>
            </w:pPr>
            <w:bookmarkStart w:id="128" w:name="_Toc467837756"/>
            <w:r>
              <w:rPr>
                <w:rFonts w:ascii="Times New Roman" w:hAnsi="Times New Roman"/>
                <w:noProof/>
                <w:sz w:val="24"/>
              </w:rPr>
              <w:t>91 %</w:t>
            </w:r>
            <w:bookmarkEnd w:id="128"/>
          </w:p>
        </w:tc>
        <w:tc>
          <w:tcPr>
            <w:tcW w:w="0" w:type="auto"/>
          </w:tcPr>
          <w:p w:rsidR="00C0375A" w:rsidRDefault="00622AF0">
            <w:pPr>
              <w:rPr>
                <w:rFonts w:ascii="Times New Roman" w:hAnsi="Times New Roman" w:cs="Times New Roman"/>
                <w:noProof/>
                <w:sz w:val="24"/>
                <w:szCs w:val="24"/>
              </w:rPr>
            </w:pPr>
            <w:bookmarkStart w:id="129" w:name="_Toc467837757"/>
            <w:r>
              <w:rPr>
                <w:rFonts w:ascii="Times New Roman" w:hAnsi="Times New Roman"/>
                <w:noProof/>
                <w:sz w:val="24"/>
              </w:rPr>
              <w:t>92%</w:t>
            </w:r>
            <w:bookmarkEnd w:id="129"/>
          </w:p>
        </w:tc>
        <w:tc>
          <w:tcPr>
            <w:tcW w:w="0" w:type="auto"/>
          </w:tcPr>
          <w:p w:rsidR="00C0375A" w:rsidRDefault="00622AF0">
            <w:pPr>
              <w:rPr>
                <w:rFonts w:ascii="Times New Roman" w:hAnsi="Times New Roman" w:cs="Times New Roman"/>
                <w:noProof/>
                <w:sz w:val="24"/>
                <w:szCs w:val="24"/>
              </w:rPr>
            </w:pPr>
            <w:bookmarkStart w:id="130" w:name="_Toc467837758"/>
            <w:r>
              <w:rPr>
                <w:rFonts w:ascii="Times New Roman" w:hAnsi="Times New Roman"/>
                <w:noProof/>
                <w:sz w:val="24"/>
              </w:rPr>
              <w:t>93%</w:t>
            </w:r>
            <w:bookmarkEnd w:id="130"/>
          </w:p>
        </w:tc>
      </w:tr>
    </w:tbl>
    <w:p w:rsidR="00C0375A" w:rsidRDefault="00C0375A">
      <w:pPr>
        <w:rPr>
          <w:rFonts w:ascii="Times New Roman" w:hAnsi="Times New Roman" w:cs="Times New Roman"/>
          <w:noProof/>
          <w:sz w:val="24"/>
          <w:szCs w:val="24"/>
        </w:rPr>
      </w:pPr>
    </w:p>
    <w:p w:rsidR="00C0375A" w:rsidRDefault="00622AF0">
      <w:pPr>
        <w:rPr>
          <w:rFonts w:ascii="Times New Roman" w:hAnsi="Times New Roman" w:cs="Times New Roman"/>
          <w:noProof/>
          <w:sz w:val="24"/>
          <w:szCs w:val="24"/>
        </w:rPr>
      </w:pPr>
      <w:bookmarkStart w:id="131" w:name="_Toc467837759"/>
      <w:r>
        <w:rPr>
          <w:rFonts w:ascii="Times New Roman" w:hAnsi="Times New Roman"/>
          <w:noProof/>
          <w:sz w:val="24"/>
        </w:rPr>
        <w:t>Tous les États membres</w:t>
      </w:r>
      <w:r>
        <w:rPr>
          <w:rStyle w:val="FootnoteReference"/>
          <w:rFonts w:ascii="Times New Roman" w:hAnsi="Times New Roman"/>
          <w:noProof/>
          <w:sz w:val="24"/>
        </w:rPr>
        <w:footnoteReference w:id="11"/>
      </w:r>
      <w:r>
        <w:rPr>
          <w:rFonts w:ascii="Times New Roman" w:hAnsi="Times New Roman"/>
          <w:noProof/>
          <w:sz w:val="24"/>
        </w:rPr>
        <w:t xml:space="preserve"> ont communiqué un programme apicole national pour les périodes 2011-2013 et 2014-2016.</w:t>
      </w:r>
      <w:bookmarkEnd w:id="131"/>
    </w:p>
    <w:p w:rsidR="00C0375A" w:rsidRDefault="00622AF0">
      <w:pPr>
        <w:jc w:val="both"/>
        <w:rPr>
          <w:rFonts w:ascii="Times New Roman" w:hAnsi="Times New Roman" w:cs="Times New Roman"/>
          <w:noProof/>
          <w:sz w:val="24"/>
          <w:szCs w:val="24"/>
        </w:rPr>
      </w:pPr>
      <w:bookmarkStart w:id="132" w:name="_Toc467837760"/>
      <w:r>
        <w:rPr>
          <w:rFonts w:ascii="Times New Roman" w:hAnsi="Times New Roman"/>
          <w:noProof/>
          <w:sz w:val="24"/>
        </w:rPr>
        <w:t>La participation de l’Union au financement de ces programmes équivaut à 50 % des dépenses supportées par les États membres. Concrètement, c</w:t>
      </w:r>
      <w:r>
        <w:rPr>
          <w:rFonts w:ascii="Times New Roman" w:hAnsi="Times New Roman"/>
          <w:noProof/>
          <w:sz w:val="24"/>
        </w:rPr>
        <w:t>ela signifie que pour la campagne apicole 2013, un total de 64 millions d’EUR était mis à la disposition du secteur de l’apiculture: 32 millions d’EUR provenaient du budget de l’Union et 32 millions d’EUR provenaient du budget national des États membres. E</w:t>
      </w:r>
      <w:r>
        <w:rPr>
          <w:rFonts w:ascii="Times New Roman" w:hAnsi="Times New Roman"/>
          <w:noProof/>
          <w:sz w:val="24"/>
        </w:rPr>
        <w:t>n ce qui concerne les campagnes apicoles 2014 et 2015, un total de 66,2 millions d’EUR était mis à disposition pour chaque campagne: 33,1 millions d’EUR provenaient du budget de l’Union et 33,1 millions d’EUR provenaient du budget national des États membre</w:t>
      </w:r>
      <w:r>
        <w:rPr>
          <w:rFonts w:ascii="Times New Roman" w:hAnsi="Times New Roman"/>
          <w:noProof/>
          <w:sz w:val="24"/>
        </w:rPr>
        <w:t>s.</w:t>
      </w:r>
      <w:bookmarkEnd w:id="132"/>
    </w:p>
    <w:p w:rsidR="00C0375A" w:rsidRDefault="00622AF0">
      <w:pPr>
        <w:jc w:val="both"/>
        <w:rPr>
          <w:rFonts w:ascii="Times New Roman" w:hAnsi="Times New Roman" w:cs="Times New Roman"/>
          <w:noProof/>
          <w:sz w:val="24"/>
          <w:szCs w:val="24"/>
        </w:rPr>
      </w:pPr>
      <w:bookmarkStart w:id="133" w:name="_Toc467837761"/>
      <w:r>
        <w:rPr>
          <w:rFonts w:ascii="Times New Roman" w:hAnsi="Times New Roman"/>
          <w:noProof/>
          <w:sz w:val="24"/>
        </w:rPr>
        <w:t>Comme lors des campagnes précédentes, les États membres ont utilisé presque l’intégralité des fonds de l’Union disponibles en faveur de ces programmes. Le taux d’utilisation moyen dans l’UE est excellent: il était de respectivement 91 %, 92 % et 93 % po</w:t>
      </w:r>
      <w:r>
        <w:rPr>
          <w:rFonts w:ascii="Times New Roman" w:hAnsi="Times New Roman"/>
          <w:noProof/>
          <w:sz w:val="24"/>
        </w:rPr>
        <w:t>ur les campagnes apicoles 2013, 2014 et 2015.</w:t>
      </w:r>
      <w:bookmarkEnd w:id="133"/>
    </w:p>
    <w:p w:rsidR="00C0375A" w:rsidRDefault="00622AF0">
      <w:pPr>
        <w:pStyle w:val="ManualHeading2"/>
        <w:rPr>
          <w:noProof/>
        </w:rPr>
      </w:pPr>
      <w:bookmarkStart w:id="134" w:name="_Toc261355716"/>
      <w:bookmarkStart w:id="135" w:name="_Toc466556584"/>
      <w:bookmarkStart w:id="136" w:name="_Toc467836893"/>
      <w:bookmarkStart w:id="137" w:name="_Toc467837234"/>
      <w:bookmarkStart w:id="138" w:name="_Toc467837396"/>
      <w:bookmarkStart w:id="139" w:name="_Toc467837762"/>
      <w:r>
        <w:tab/>
      </w:r>
      <w:r>
        <w:rPr>
          <w:noProof/>
        </w:rPr>
        <w:t>4.4</w:t>
      </w:r>
      <w:r>
        <w:rPr>
          <w:noProof/>
        </w:rPr>
        <w:tab/>
        <w:t xml:space="preserve">Répartition </w:t>
      </w:r>
      <w:bookmarkEnd w:id="134"/>
      <w:r>
        <w:rPr>
          <w:noProof/>
        </w:rPr>
        <w:t>de la participation de l’Union entre les États membres</w:t>
      </w:r>
      <w:bookmarkEnd w:id="135"/>
      <w:bookmarkEnd w:id="136"/>
      <w:bookmarkEnd w:id="137"/>
      <w:bookmarkEnd w:id="138"/>
      <w:bookmarkEnd w:id="139"/>
    </w:p>
    <w:p w:rsidR="00C0375A" w:rsidRDefault="00C0375A">
      <w:pPr>
        <w:rPr>
          <w:noProof/>
        </w:rPr>
      </w:pPr>
    </w:p>
    <w:p w:rsidR="00C0375A" w:rsidRDefault="00622AF0">
      <w:pPr>
        <w:jc w:val="both"/>
        <w:rPr>
          <w:rFonts w:ascii="Times New Roman" w:hAnsi="Times New Roman" w:cs="Times New Roman"/>
          <w:noProof/>
          <w:sz w:val="24"/>
          <w:szCs w:val="24"/>
        </w:rPr>
      </w:pPr>
      <w:bookmarkStart w:id="140" w:name="_Toc467837763"/>
      <w:r>
        <w:rPr>
          <w:rFonts w:ascii="Times New Roman" w:hAnsi="Times New Roman"/>
          <w:noProof/>
          <w:sz w:val="24"/>
        </w:rPr>
        <w:t xml:space="preserve">Le </w:t>
      </w:r>
      <w:r>
        <w:rPr>
          <w:rFonts w:ascii="Times New Roman" w:hAnsi="Times New Roman"/>
          <w:b/>
          <w:noProof/>
          <w:sz w:val="24"/>
        </w:rPr>
        <w:t>facteur clé pour la répartition de la participation de l’Union entre les États membres</w:t>
      </w:r>
      <w:r>
        <w:rPr>
          <w:rFonts w:ascii="Times New Roman" w:hAnsi="Times New Roman"/>
          <w:noProof/>
          <w:sz w:val="24"/>
        </w:rPr>
        <w:t xml:space="preserve"> est le </w:t>
      </w:r>
      <w:r>
        <w:rPr>
          <w:rFonts w:ascii="Times New Roman" w:hAnsi="Times New Roman"/>
          <w:b/>
          <w:noProof/>
          <w:sz w:val="24"/>
        </w:rPr>
        <w:t>nombre de ruches</w:t>
      </w:r>
      <w:r>
        <w:rPr>
          <w:rFonts w:ascii="Times New Roman" w:hAnsi="Times New Roman"/>
          <w:noProof/>
          <w:sz w:val="24"/>
        </w:rPr>
        <w:t xml:space="preserve"> présentes sur le territ</w:t>
      </w:r>
      <w:r>
        <w:rPr>
          <w:rFonts w:ascii="Times New Roman" w:hAnsi="Times New Roman"/>
          <w:noProof/>
          <w:sz w:val="24"/>
        </w:rPr>
        <w:t>oire de cet État.</w:t>
      </w:r>
      <w:bookmarkEnd w:id="140"/>
    </w:p>
    <w:p w:rsidR="00C0375A" w:rsidRDefault="00622AF0">
      <w:pPr>
        <w:jc w:val="both"/>
        <w:rPr>
          <w:rFonts w:ascii="Times New Roman" w:hAnsi="Times New Roman" w:cs="Times New Roman"/>
          <w:noProof/>
          <w:sz w:val="24"/>
          <w:szCs w:val="24"/>
        </w:rPr>
      </w:pPr>
      <w:bookmarkStart w:id="141" w:name="_Toc467837764"/>
      <w:r>
        <w:rPr>
          <w:rFonts w:ascii="Times New Roman" w:hAnsi="Times New Roman"/>
          <w:noProof/>
          <w:sz w:val="24"/>
        </w:rPr>
        <w:t>Sur la base des prévisions de dépenses des États membres communiquées dans leur programme apicole national, les fonds de l’Union sont répartis en fonction du cheptel apicole de chaque État membre dans l’Union.</w:t>
      </w:r>
      <w:bookmarkEnd w:id="141"/>
      <w:r>
        <w:rPr>
          <w:rFonts w:ascii="Times New Roman" w:hAnsi="Times New Roman"/>
          <w:noProof/>
          <w:sz w:val="24"/>
        </w:rPr>
        <w:t xml:space="preserve"> </w:t>
      </w:r>
    </w:p>
    <w:p w:rsidR="00C0375A" w:rsidRDefault="00622AF0">
      <w:pPr>
        <w:jc w:val="both"/>
        <w:rPr>
          <w:rFonts w:ascii="Times New Roman" w:hAnsi="Times New Roman" w:cs="Times New Roman"/>
          <w:noProof/>
          <w:sz w:val="24"/>
          <w:szCs w:val="24"/>
        </w:rPr>
      </w:pPr>
      <w:bookmarkStart w:id="142" w:name="_Toc467837765"/>
      <w:r>
        <w:rPr>
          <w:rFonts w:ascii="Times New Roman" w:hAnsi="Times New Roman"/>
          <w:noProof/>
          <w:sz w:val="24"/>
        </w:rPr>
        <w:t>Les États membres communiqu</w:t>
      </w:r>
      <w:r>
        <w:rPr>
          <w:rFonts w:ascii="Times New Roman" w:hAnsi="Times New Roman"/>
          <w:noProof/>
          <w:sz w:val="24"/>
        </w:rPr>
        <w:t>ent le nombre de ruches présentes sur leur territoire au moment de la soumission des programmes apicoles à la Commission. Le nombre de ruches par État membre dans l’Union et leur répartition sont publiés dans un règlement d’exécution de la Commission modif</w:t>
      </w:r>
      <w:r>
        <w:rPr>
          <w:rFonts w:ascii="Times New Roman" w:hAnsi="Times New Roman"/>
          <w:noProof/>
          <w:sz w:val="24"/>
        </w:rPr>
        <w:t>iant l’annexe I du règlement (CE) nº 917/2004</w:t>
      </w:r>
      <w:r>
        <w:rPr>
          <w:rStyle w:val="FootnoteReference"/>
          <w:rFonts w:ascii="Times New Roman" w:hAnsi="Times New Roman"/>
          <w:noProof/>
          <w:sz w:val="24"/>
        </w:rPr>
        <w:footnoteReference w:id="12"/>
      </w:r>
      <w:r>
        <w:rPr>
          <w:rFonts w:ascii="Times New Roman" w:hAnsi="Times New Roman"/>
          <w:noProof/>
          <w:sz w:val="24"/>
        </w:rPr>
        <w:t>.</w:t>
      </w:r>
      <w:bookmarkEnd w:id="142"/>
    </w:p>
    <w:p w:rsidR="00C0375A" w:rsidRDefault="00622AF0">
      <w:pPr>
        <w:jc w:val="both"/>
        <w:rPr>
          <w:rFonts w:ascii="Times New Roman" w:hAnsi="Times New Roman" w:cs="Times New Roman"/>
          <w:noProof/>
          <w:sz w:val="24"/>
          <w:szCs w:val="24"/>
        </w:rPr>
      </w:pPr>
      <w:bookmarkStart w:id="143" w:name="_Toc467837766"/>
      <w:r>
        <w:rPr>
          <w:rFonts w:ascii="Times New Roman" w:hAnsi="Times New Roman"/>
          <w:noProof/>
          <w:sz w:val="24"/>
        </w:rPr>
        <w:t>Le nombre de ruches dans chaque État membre, calculé en pourcentage du nombre total de ruches de l’UE, détermine le pourcentage du budget théorique maximal auquel a droit chaque État membre. Si un État membre</w:t>
      </w:r>
      <w:r>
        <w:rPr>
          <w:rFonts w:ascii="Times New Roman" w:hAnsi="Times New Roman"/>
          <w:noProof/>
          <w:sz w:val="24"/>
        </w:rPr>
        <w:t xml:space="preserve"> prévoit des dépenses moindres que le budget maximal auquel il a droit, la différence est redistribuée entre les autres États membres.</w:t>
      </w:r>
      <w:bookmarkEnd w:id="143"/>
    </w:p>
    <w:p w:rsidR="00C0375A" w:rsidRDefault="00622AF0">
      <w:pPr>
        <w:jc w:val="both"/>
        <w:rPr>
          <w:rFonts w:ascii="Times New Roman" w:hAnsi="Times New Roman" w:cs="Times New Roman"/>
          <w:noProof/>
          <w:sz w:val="24"/>
          <w:szCs w:val="24"/>
        </w:rPr>
      </w:pPr>
      <w:bookmarkStart w:id="144" w:name="_Toc467837767"/>
      <w:r>
        <w:rPr>
          <w:rFonts w:ascii="Times New Roman" w:hAnsi="Times New Roman"/>
          <w:noProof/>
          <w:sz w:val="24"/>
        </w:rPr>
        <w:t>Par conséquent, les États membres qui comptent le plus grand nombre de ruches sont ceux ayant droit à la plus grande part</w:t>
      </w:r>
      <w:r>
        <w:rPr>
          <w:rFonts w:ascii="Times New Roman" w:hAnsi="Times New Roman"/>
          <w:noProof/>
          <w:sz w:val="24"/>
        </w:rPr>
        <w:t xml:space="preserve"> des fonds de l’Union. Pour les campagnes apicoles 2013, 2014 et 2015, l’Espagne, l’État membre qui compte le plus grand nombre de ruches dans l’Union, s’est vue attribuer la plus grande part des fonds de l’Union. Les cinq États membres comptant le plus gr</w:t>
      </w:r>
      <w:r>
        <w:rPr>
          <w:rFonts w:ascii="Times New Roman" w:hAnsi="Times New Roman"/>
          <w:noProof/>
          <w:sz w:val="24"/>
        </w:rPr>
        <w:t>and nombre de ruches (l’Espagne, la France, la Grèce, la Roumanie et l’Italie) se sont vus attribuer environ la moitié du montant total des fonds de l’UE pour les campagnes apicoles 2013, 2014 et 2015.</w:t>
      </w:r>
      <w:bookmarkEnd w:id="144"/>
    </w:p>
    <w:p w:rsidR="00C0375A" w:rsidRDefault="00C0375A">
      <w:pPr>
        <w:jc w:val="both"/>
        <w:rPr>
          <w:rFonts w:ascii="Times New Roman" w:hAnsi="Times New Roman" w:cs="Times New Roman"/>
          <w:noProof/>
          <w:sz w:val="24"/>
          <w:szCs w:val="24"/>
        </w:rPr>
        <w:sectPr w:rsidR="00C0375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pPr>
    </w:p>
    <w:p w:rsidR="00C0375A" w:rsidRDefault="00622AF0">
      <w:pPr>
        <w:jc w:val="both"/>
        <w:rPr>
          <w:rFonts w:ascii="Times New Roman" w:hAnsi="Times New Roman" w:cs="Times New Roman"/>
          <w:noProof/>
          <w:sz w:val="24"/>
          <w:szCs w:val="24"/>
        </w:rPr>
      </w:pPr>
      <w:bookmarkStart w:id="145" w:name="_Toc467837768"/>
      <w:r>
        <w:rPr>
          <w:rFonts w:ascii="Times New Roman" w:hAnsi="Times New Roman"/>
          <w:noProof/>
          <w:sz w:val="24"/>
        </w:rPr>
        <w:t>Figure 4: Répartition de la participation de l’Union entre les États membres pour la campagne apicole 2015</w:t>
      </w:r>
      <w:bookmarkEnd w:id="145"/>
    </w:p>
    <w:p w:rsidR="00C0375A" w:rsidRDefault="00622AF0">
      <w:pPr>
        <w:jc w:val="both"/>
        <w:rPr>
          <w:rFonts w:ascii="Times New Roman" w:hAnsi="Times New Roman" w:cs="Times New Roman"/>
          <w:noProof/>
          <w:sz w:val="24"/>
          <w:szCs w:val="24"/>
        </w:rPr>
      </w:pPr>
      <w:bookmarkStart w:id="146" w:name="_Toc467837769"/>
      <w:r>
        <w:rPr>
          <w:rFonts w:ascii="Times New Roman" w:hAnsi="Times New Roman" w:cs="Times New Roman"/>
          <w:noProof/>
          <w:sz w:val="24"/>
          <w:szCs w:val="24"/>
        </w:rPr>
        <w:pict>
          <v:shape id="_x0000_i1029" type="#_x0000_t75" style="width:506.25pt;height:356.25pt">
            <v:imagedata r:id="rId25" o:title=""/>
          </v:shape>
        </w:pict>
      </w:r>
      <w:bookmarkEnd w:id="146"/>
    </w:p>
    <w:p w:rsidR="00C0375A" w:rsidRDefault="00C0375A">
      <w:pPr>
        <w:jc w:val="both"/>
        <w:rPr>
          <w:rFonts w:ascii="Times New Roman" w:hAnsi="Times New Roman" w:cs="Times New Roman"/>
          <w:noProof/>
          <w:sz w:val="24"/>
          <w:szCs w:val="24"/>
        </w:rPr>
      </w:pPr>
    </w:p>
    <w:p w:rsidR="00C0375A" w:rsidRDefault="00622AF0">
      <w:pPr>
        <w:pStyle w:val="ManualHeading2"/>
        <w:rPr>
          <w:noProof/>
        </w:rPr>
      </w:pPr>
      <w:bookmarkStart w:id="147" w:name="_Toc466556585"/>
      <w:bookmarkStart w:id="148" w:name="_Toc467836894"/>
      <w:bookmarkStart w:id="149" w:name="_Toc467837235"/>
      <w:bookmarkStart w:id="150" w:name="_Toc467837397"/>
      <w:bookmarkStart w:id="151" w:name="_Toc467837770"/>
      <w:r>
        <w:tab/>
      </w:r>
      <w:r>
        <w:rPr>
          <w:noProof/>
        </w:rPr>
        <w:t>4.5</w:t>
      </w:r>
      <w:r>
        <w:rPr>
          <w:noProof/>
        </w:rPr>
        <w:tab/>
        <w:t>Dépenses exposées par type de mesures</w:t>
      </w:r>
      <w:bookmarkEnd w:id="147"/>
      <w:bookmarkEnd w:id="148"/>
      <w:bookmarkEnd w:id="149"/>
      <w:bookmarkEnd w:id="150"/>
      <w:bookmarkEnd w:id="151"/>
    </w:p>
    <w:p w:rsidR="00C0375A" w:rsidRDefault="00C0375A">
      <w:pPr>
        <w:rPr>
          <w:noProof/>
        </w:rPr>
      </w:pPr>
    </w:p>
    <w:p w:rsidR="00C0375A" w:rsidRDefault="00622AF0">
      <w:pPr>
        <w:jc w:val="both"/>
        <w:rPr>
          <w:rFonts w:ascii="Times New Roman" w:hAnsi="Times New Roman" w:cs="Times New Roman"/>
          <w:noProof/>
          <w:sz w:val="24"/>
          <w:szCs w:val="24"/>
        </w:rPr>
      </w:pPr>
      <w:bookmarkStart w:id="152" w:name="_Toc467837771"/>
      <w:r>
        <w:rPr>
          <w:rFonts w:ascii="Times New Roman" w:hAnsi="Times New Roman"/>
          <w:noProof/>
          <w:sz w:val="24"/>
        </w:rPr>
        <w:t>Au terme de chaque campagne apicole, conformément à l’article 6 du règlement (CE) nº 917/2004, les Éta</w:t>
      </w:r>
      <w:r>
        <w:rPr>
          <w:rFonts w:ascii="Times New Roman" w:hAnsi="Times New Roman"/>
          <w:noProof/>
          <w:sz w:val="24"/>
        </w:rPr>
        <w:t>ts membres communiquent à la Commission leurs dépenses par type de mesures.</w:t>
      </w:r>
      <w:bookmarkEnd w:id="152"/>
    </w:p>
    <w:p w:rsidR="00C0375A" w:rsidRDefault="00622AF0">
      <w:pPr>
        <w:jc w:val="both"/>
        <w:rPr>
          <w:rFonts w:ascii="Times New Roman" w:hAnsi="Times New Roman" w:cs="Times New Roman"/>
          <w:noProof/>
          <w:sz w:val="24"/>
          <w:szCs w:val="24"/>
        </w:rPr>
      </w:pPr>
      <w:bookmarkStart w:id="153" w:name="_Toc467837772"/>
      <w:r>
        <w:rPr>
          <w:rFonts w:ascii="Times New Roman" w:hAnsi="Times New Roman"/>
          <w:noProof/>
          <w:sz w:val="24"/>
        </w:rPr>
        <w:t>La ventilation des dépenses par type de mesures pour les campagnes apicoles 2013, 2014 et 2015 n’a pas subi de modifications importantes par rapport au dernier rapport de la Commis</w:t>
      </w:r>
      <w:r>
        <w:rPr>
          <w:rFonts w:ascii="Times New Roman" w:hAnsi="Times New Roman"/>
          <w:noProof/>
          <w:sz w:val="24"/>
        </w:rPr>
        <w:t>sion.</w:t>
      </w:r>
      <w:bookmarkEnd w:id="153"/>
    </w:p>
    <w:p w:rsidR="00C0375A" w:rsidRDefault="00622AF0">
      <w:pPr>
        <w:jc w:val="both"/>
        <w:rPr>
          <w:rFonts w:ascii="Times New Roman" w:hAnsi="Times New Roman" w:cs="Times New Roman"/>
          <w:noProof/>
          <w:sz w:val="24"/>
          <w:szCs w:val="24"/>
        </w:rPr>
      </w:pPr>
      <w:bookmarkStart w:id="154" w:name="_Toc467837773"/>
      <w:r>
        <w:rPr>
          <w:rFonts w:ascii="Times New Roman" w:hAnsi="Times New Roman"/>
          <w:b/>
          <w:noProof/>
          <w:sz w:val="24"/>
        </w:rPr>
        <w:t>La lutte contre la varroose et l’assistance technique aux apiculteurs et aux organisations d’apiculteurs</w:t>
      </w:r>
      <w:r>
        <w:rPr>
          <w:rFonts w:ascii="Times New Roman" w:hAnsi="Times New Roman"/>
          <w:noProof/>
          <w:sz w:val="24"/>
        </w:rPr>
        <w:t xml:space="preserve"> (qui représentaient chacune environ 29 % du total des dépenses) étaient les deux principales mesures utilisées, ce qui reflète la nécessité pour le secteur de continuer à investir dans du matériel apicole, de constamment mettre à jour ses pratiques afin d</w:t>
      </w:r>
      <w:r>
        <w:rPr>
          <w:rFonts w:ascii="Times New Roman" w:hAnsi="Times New Roman"/>
          <w:noProof/>
          <w:sz w:val="24"/>
        </w:rPr>
        <w:t>e lutter contre les maladies et les agresseurs de la ruche et de former de nouveaux apiculteurs.</w:t>
      </w:r>
      <w:bookmarkEnd w:id="154"/>
    </w:p>
    <w:p w:rsidR="00C0375A" w:rsidRDefault="00622AF0">
      <w:pPr>
        <w:jc w:val="both"/>
        <w:rPr>
          <w:rFonts w:ascii="Times New Roman" w:hAnsi="Times New Roman" w:cs="Times New Roman"/>
          <w:noProof/>
          <w:sz w:val="24"/>
          <w:szCs w:val="24"/>
        </w:rPr>
      </w:pPr>
      <w:bookmarkStart w:id="155" w:name="_Toc467837774"/>
      <w:r>
        <w:rPr>
          <w:rFonts w:ascii="Times New Roman" w:hAnsi="Times New Roman"/>
          <w:noProof/>
          <w:sz w:val="24"/>
        </w:rPr>
        <w:t xml:space="preserve">La </w:t>
      </w:r>
      <w:r>
        <w:rPr>
          <w:rFonts w:ascii="Times New Roman" w:hAnsi="Times New Roman"/>
          <w:b/>
          <w:noProof/>
          <w:sz w:val="24"/>
        </w:rPr>
        <w:t>rationalisation de la transhumance</w:t>
      </w:r>
      <w:r>
        <w:rPr>
          <w:rFonts w:ascii="Times New Roman" w:hAnsi="Times New Roman"/>
          <w:noProof/>
          <w:sz w:val="24"/>
        </w:rPr>
        <w:t xml:space="preserve"> représentait environ 19 % des dépenses totales et constituait donc la troisième mesure la plus utilisée. Dans plusieurs É</w:t>
      </w:r>
      <w:r>
        <w:rPr>
          <w:rFonts w:ascii="Times New Roman" w:hAnsi="Times New Roman"/>
          <w:noProof/>
          <w:sz w:val="24"/>
        </w:rPr>
        <w:t>tats membres, la transhumance est une pratique apicole essentielle qui est nécessaire pour couvrir les besoins nutritionnels des abeilles durant toute la saison apicole et pour fournir des services de pollinisation.</w:t>
      </w:r>
      <w:bookmarkEnd w:id="155"/>
    </w:p>
    <w:p w:rsidR="00C0375A" w:rsidRDefault="00622AF0">
      <w:pPr>
        <w:jc w:val="both"/>
        <w:rPr>
          <w:rFonts w:ascii="Times New Roman" w:hAnsi="Times New Roman" w:cs="Times New Roman"/>
          <w:noProof/>
          <w:sz w:val="24"/>
          <w:szCs w:val="24"/>
        </w:rPr>
      </w:pPr>
      <w:bookmarkStart w:id="156" w:name="_Toc467837775"/>
      <w:r>
        <w:rPr>
          <w:rFonts w:ascii="Times New Roman" w:hAnsi="Times New Roman"/>
          <w:noProof/>
          <w:sz w:val="24"/>
        </w:rPr>
        <w:t xml:space="preserve">Le </w:t>
      </w:r>
      <w:r>
        <w:rPr>
          <w:rFonts w:ascii="Times New Roman" w:hAnsi="Times New Roman"/>
          <w:b/>
          <w:noProof/>
          <w:sz w:val="24"/>
        </w:rPr>
        <w:t>repeuplement du cheptel agricole</w:t>
      </w:r>
      <w:r>
        <w:rPr>
          <w:rFonts w:ascii="Times New Roman" w:hAnsi="Times New Roman"/>
          <w:noProof/>
          <w:sz w:val="24"/>
        </w:rPr>
        <w:t xml:space="preserve"> repr</w:t>
      </w:r>
      <w:r>
        <w:rPr>
          <w:rFonts w:ascii="Times New Roman" w:hAnsi="Times New Roman"/>
          <w:noProof/>
          <w:sz w:val="24"/>
        </w:rPr>
        <w:t xml:space="preserve">ésentait environ 15 % des dépenses totales et venait donc en quatrième position, suivi à la cinquième position par la </w:t>
      </w:r>
      <w:r>
        <w:rPr>
          <w:rFonts w:ascii="Times New Roman" w:hAnsi="Times New Roman"/>
          <w:b/>
          <w:noProof/>
          <w:sz w:val="24"/>
        </w:rPr>
        <w:t>recherche appliquée</w:t>
      </w:r>
      <w:r>
        <w:rPr>
          <w:rFonts w:ascii="Times New Roman" w:hAnsi="Times New Roman"/>
          <w:noProof/>
          <w:sz w:val="24"/>
        </w:rPr>
        <w:t xml:space="preserve"> (environ 5 % des dépenses totales) et à la sixième par l’</w:t>
      </w:r>
      <w:r>
        <w:rPr>
          <w:rFonts w:ascii="Times New Roman" w:hAnsi="Times New Roman"/>
          <w:b/>
          <w:noProof/>
          <w:sz w:val="24"/>
        </w:rPr>
        <w:t>analyse du miel</w:t>
      </w:r>
      <w:r>
        <w:rPr>
          <w:rFonts w:ascii="Times New Roman" w:hAnsi="Times New Roman"/>
          <w:noProof/>
          <w:sz w:val="24"/>
        </w:rPr>
        <w:t xml:space="preserve"> (environ 3 % des dépenses totales).</w:t>
      </w:r>
      <w:bookmarkEnd w:id="156"/>
    </w:p>
    <w:p w:rsidR="00C0375A" w:rsidRDefault="00C0375A">
      <w:pPr>
        <w:jc w:val="both"/>
        <w:rPr>
          <w:rFonts w:ascii="Times New Roman" w:hAnsi="Times New Roman" w:cs="Times New Roman"/>
          <w:noProof/>
          <w:sz w:val="24"/>
          <w:szCs w:val="24"/>
        </w:rPr>
      </w:pPr>
    </w:p>
    <w:p w:rsidR="00C0375A" w:rsidRDefault="00622AF0">
      <w:pPr>
        <w:jc w:val="center"/>
        <w:rPr>
          <w:rFonts w:ascii="Times New Roman" w:hAnsi="Times New Roman" w:cs="Times New Roman"/>
          <w:noProof/>
          <w:sz w:val="24"/>
          <w:szCs w:val="24"/>
        </w:rPr>
      </w:pPr>
      <w:bookmarkStart w:id="157" w:name="_Toc467837776"/>
      <w:r>
        <w:rPr>
          <w:rFonts w:ascii="Times New Roman" w:hAnsi="Times New Roman"/>
          <w:noProof/>
          <w:sz w:val="24"/>
        </w:rPr>
        <w:t>Figure 5</w:t>
      </w:r>
      <w:r>
        <w:rPr>
          <w:rFonts w:ascii="Times New Roman" w:hAnsi="Times New Roman"/>
          <w:noProof/>
          <w:sz w:val="24"/>
        </w:rPr>
        <w:t>: Dépenses exposées par type de mesures pour la campagne apicole 2015</w:t>
      </w:r>
      <w:bookmarkEnd w:id="157"/>
    </w:p>
    <w:p w:rsidR="00C0375A" w:rsidRDefault="00622AF0">
      <w:pPr>
        <w:jc w:val="center"/>
        <w:rPr>
          <w:rFonts w:ascii="Times New Roman" w:hAnsi="Times New Roman" w:cs="Times New Roman"/>
          <w:noProof/>
          <w:sz w:val="24"/>
          <w:szCs w:val="24"/>
        </w:rPr>
      </w:pPr>
      <w:bookmarkStart w:id="158" w:name="_Toc467837777"/>
      <w:r>
        <w:rPr>
          <w:rFonts w:ascii="Times New Roman" w:hAnsi="Times New Roman" w:cs="Times New Roman"/>
          <w:noProof/>
          <w:sz w:val="24"/>
          <w:szCs w:val="24"/>
        </w:rPr>
        <w:pict>
          <v:shape id="_x0000_i1030" type="#_x0000_t75" style="width:491.25pt;height:320.25pt">
            <v:imagedata r:id="rId26" o:title=""/>
          </v:shape>
        </w:pict>
      </w:r>
      <w:bookmarkEnd w:id="158"/>
    </w:p>
    <w:p w:rsidR="00C0375A" w:rsidRDefault="00622AF0">
      <w:pPr>
        <w:pStyle w:val="ManualHeading1"/>
        <w:rPr>
          <w:rStyle w:val="Heading1Char"/>
          <w:noProof/>
        </w:rPr>
      </w:pPr>
      <w:bookmarkStart w:id="159" w:name="_Toc261355720"/>
      <w:bookmarkStart w:id="160" w:name="_Toc466556586"/>
      <w:bookmarkStart w:id="161" w:name="_Toc467836895"/>
      <w:bookmarkStart w:id="162" w:name="_Toc467837236"/>
      <w:bookmarkStart w:id="163" w:name="_Toc467837398"/>
      <w:bookmarkStart w:id="164" w:name="_Toc467837778"/>
      <w:r>
        <w:rPr>
          <w:noProof/>
        </w:rPr>
        <w:t>5.</w:t>
      </w:r>
      <w:r>
        <w:rPr>
          <w:noProof/>
        </w:rPr>
        <w:tab/>
      </w:r>
      <w:bookmarkEnd w:id="159"/>
      <w:r>
        <w:rPr>
          <w:rStyle w:val="Heading1Char"/>
          <w:b/>
          <w:noProof/>
          <w:color w:val="auto"/>
        </w:rPr>
        <w:t>PRINCIPAUX CHANGEMENTS INTRODUITS PAR LA RÉFORME DE LA PAC EN 2013</w:t>
      </w:r>
      <w:bookmarkEnd w:id="160"/>
      <w:bookmarkEnd w:id="161"/>
      <w:bookmarkEnd w:id="162"/>
      <w:bookmarkEnd w:id="163"/>
      <w:bookmarkEnd w:id="164"/>
    </w:p>
    <w:p w:rsidR="00C0375A" w:rsidRDefault="00C0375A">
      <w:pPr>
        <w:pStyle w:val="Text1"/>
        <w:rPr>
          <w:noProof/>
        </w:rPr>
      </w:pPr>
    </w:p>
    <w:p w:rsidR="00C0375A" w:rsidRDefault="00622AF0">
      <w:pPr>
        <w:jc w:val="both"/>
        <w:rPr>
          <w:rFonts w:ascii="Times New Roman" w:hAnsi="Times New Roman" w:cs="Times New Roman"/>
          <w:noProof/>
          <w:sz w:val="24"/>
          <w:szCs w:val="24"/>
        </w:rPr>
      </w:pPr>
      <w:bookmarkStart w:id="165" w:name="_Toc467837779"/>
      <w:r>
        <w:rPr>
          <w:rFonts w:ascii="Times New Roman" w:hAnsi="Times New Roman"/>
          <w:noProof/>
          <w:sz w:val="24"/>
        </w:rPr>
        <w:t xml:space="preserve">La réforme de la PAC menée en 2013 a introduit des changements importants en matière de programmes apicoles. Ces </w:t>
      </w:r>
      <w:r>
        <w:rPr>
          <w:rFonts w:ascii="Times New Roman" w:hAnsi="Times New Roman"/>
          <w:noProof/>
          <w:sz w:val="24"/>
        </w:rPr>
        <w:t>changements sont reflétés aux articles 55 à 57 relatifs à l’aide dans le secteur de l’apiculture du règlement (UE) nº 1308/2013, qui remplacent les articles 105 à 110 relatifs à l’apiculture du règlement (CE) nº 1234/2007. Le règlement délégué (UE) 2015/13</w:t>
      </w:r>
      <w:r>
        <w:rPr>
          <w:rFonts w:ascii="Times New Roman" w:hAnsi="Times New Roman"/>
          <w:noProof/>
          <w:sz w:val="24"/>
        </w:rPr>
        <w:t>66</w:t>
      </w:r>
      <w:r>
        <w:rPr>
          <w:rStyle w:val="FootnoteReference"/>
          <w:rFonts w:ascii="Times New Roman" w:hAnsi="Times New Roman"/>
          <w:noProof/>
          <w:sz w:val="24"/>
        </w:rPr>
        <w:footnoteReference w:id="13"/>
      </w:r>
      <w:r>
        <w:rPr>
          <w:rFonts w:ascii="Times New Roman" w:hAnsi="Times New Roman"/>
          <w:noProof/>
          <w:sz w:val="24"/>
        </w:rPr>
        <w:t xml:space="preserve"> de la Commission complète le règlement (UE) nº 1308/2013 relatif à l’apiculture et le règlement d’exécution (UE) 2015/1368 de la Commission</w:t>
      </w:r>
      <w:r>
        <w:rPr>
          <w:rStyle w:val="FootnoteReference"/>
          <w:rFonts w:ascii="Times New Roman" w:hAnsi="Times New Roman"/>
          <w:noProof/>
          <w:sz w:val="24"/>
        </w:rPr>
        <w:footnoteReference w:id="14"/>
      </w:r>
      <w:r>
        <w:rPr>
          <w:rFonts w:ascii="Times New Roman" w:hAnsi="Times New Roman"/>
          <w:noProof/>
          <w:sz w:val="24"/>
        </w:rPr>
        <w:t xml:space="preserve"> porte modalités d’application du règlement (UE) nº 1308/2013 en ce qui concerne l’aide dans le secteur de l’api</w:t>
      </w:r>
      <w:r>
        <w:rPr>
          <w:rFonts w:ascii="Times New Roman" w:hAnsi="Times New Roman"/>
          <w:noProof/>
          <w:sz w:val="24"/>
        </w:rPr>
        <w:t>culture.</w:t>
      </w:r>
      <w:bookmarkEnd w:id="165"/>
    </w:p>
    <w:p w:rsidR="00C0375A" w:rsidRDefault="00622AF0">
      <w:pPr>
        <w:spacing w:after="0"/>
        <w:jc w:val="both"/>
        <w:rPr>
          <w:rFonts w:ascii="Times New Roman" w:hAnsi="Times New Roman" w:cs="Times New Roman"/>
          <w:noProof/>
          <w:sz w:val="24"/>
          <w:szCs w:val="24"/>
        </w:rPr>
      </w:pPr>
      <w:bookmarkStart w:id="166" w:name="_Toc467837780"/>
      <w:r>
        <w:rPr>
          <w:rFonts w:ascii="Times New Roman" w:hAnsi="Times New Roman"/>
          <w:noProof/>
          <w:sz w:val="24"/>
        </w:rPr>
        <w:t>Les principaux objectifs de la réforme de la PAC pour le secteur de l’apiculture étaient les suivants:</w:t>
      </w:r>
      <w:bookmarkEnd w:id="166"/>
    </w:p>
    <w:p w:rsidR="00C0375A" w:rsidRDefault="00622AF0">
      <w:pPr>
        <w:spacing w:after="0"/>
        <w:jc w:val="both"/>
        <w:rPr>
          <w:rFonts w:ascii="Times New Roman" w:hAnsi="Times New Roman" w:cs="Times New Roman"/>
          <w:noProof/>
          <w:sz w:val="24"/>
          <w:szCs w:val="24"/>
        </w:rPr>
      </w:pPr>
      <w:bookmarkStart w:id="167" w:name="_Toc467837781"/>
      <w:r>
        <w:rPr>
          <w:rFonts w:ascii="Times New Roman" w:hAnsi="Times New Roman"/>
          <w:noProof/>
          <w:sz w:val="24"/>
        </w:rPr>
        <w:t>- adapter les mesures éligibles aux besoins du secteur;</w:t>
      </w:r>
      <w:bookmarkEnd w:id="167"/>
    </w:p>
    <w:p w:rsidR="00C0375A" w:rsidRDefault="00622AF0">
      <w:pPr>
        <w:spacing w:after="0"/>
        <w:jc w:val="both"/>
        <w:rPr>
          <w:rFonts w:ascii="Times New Roman" w:hAnsi="Times New Roman" w:cs="Times New Roman"/>
          <w:noProof/>
          <w:sz w:val="24"/>
          <w:szCs w:val="24"/>
        </w:rPr>
      </w:pPr>
      <w:bookmarkStart w:id="168" w:name="_Toc467837782"/>
      <w:r>
        <w:rPr>
          <w:rFonts w:ascii="Times New Roman" w:hAnsi="Times New Roman"/>
          <w:noProof/>
          <w:sz w:val="24"/>
        </w:rPr>
        <w:t>- garantir une meilleure affectation du budget de l’UE en améliorant les méthodes utilis</w:t>
      </w:r>
      <w:r>
        <w:rPr>
          <w:rFonts w:ascii="Times New Roman" w:hAnsi="Times New Roman"/>
          <w:noProof/>
          <w:sz w:val="24"/>
        </w:rPr>
        <w:t>ées par les États membres pour déterminer le nombre de ruches présentes sur leur territoire.</w:t>
      </w:r>
      <w:bookmarkEnd w:id="168"/>
    </w:p>
    <w:p w:rsidR="00C0375A" w:rsidRDefault="00C0375A">
      <w:pPr>
        <w:spacing w:after="0"/>
        <w:jc w:val="both"/>
        <w:rPr>
          <w:rFonts w:ascii="Times New Roman" w:hAnsi="Times New Roman" w:cs="Times New Roman"/>
          <w:noProof/>
          <w:sz w:val="24"/>
          <w:szCs w:val="24"/>
        </w:rPr>
      </w:pPr>
    </w:p>
    <w:p w:rsidR="00C0375A" w:rsidRDefault="00622AF0">
      <w:pPr>
        <w:pStyle w:val="ManualHeading2"/>
        <w:rPr>
          <w:noProof/>
        </w:rPr>
      </w:pPr>
      <w:bookmarkStart w:id="169" w:name="_Toc466556587"/>
      <w:bookmarkStart w:id="170" w:name="_Toc467836896"/>
      <w:bookmarkStart w:id="171" w:name="_Toc467837237"/>
      <w:bookmarkStart w:id="172" w:name="_Toc467837399"/>
      <w:bookmarkStart w:id="173" w:name="_Toc467837783"/>
      <w:r>
        <w:tab/>
      </w:r>
      <w:r>
        <w:rPr>
          <w:noProof/>
        </w:rPr>
        <w:t>5.1</w:t>
      </w:r>
      <w:r>
        <w:rPr>
          <w:noProof/>
        </w:rPr>
        <w:tab/>
        <w:t>Mesures éligibles</w:t>
      </w:r>
      <w:bookmarkEnd w:id="169"/>
      <w:bookmarkEnd w:id="170"/>
      <w:bookmarkEnd w:id="171"/>
      <w:bookmarkEnd w:id="172"/>
      <w:bookmarkEnd w:id="173"/>
    </w:p>
    <w:p w:rsidR="00C0375A" w:rsidRDefault="00C0375A">
      <w:pPr>
        <w:spacing w:after="0"/>
        <w:jc w:val="both"/>
        <w:rPr>
          <w:rFonts w:ascii="Times New Roman" w:hAnsi="Times New Roman" w:cs="Times New Roman"/>
          <w:b/>
          <w:noProof/>
          <w:sz w:val="24"/>
          <w:szCs w:val="24"/>
        </w:rPr>
      </w:pPr>
    </w:p>
    <w:p w:rsidR="00C0375A" w:rsidRDefault="00622AF0">
      <w:pPr>
        <w:jc w:val="both"/>
        <w:rPr>
          <w:rFonts w:ascii="Times New Roman" w:hAnsi="Times New Roman" w:cs="Times New Roman"/>
          <w:noProof/>
          <w:sz w:val="24"/>
          <w:szCs w:val="24"/>
        </w:rPr>
      </w:pPr>
      <w:bookmarkStart w:id="174" w:name="_Toc467837784"/>
      <w:r>
        <w:rPr>
          <w:rFonts w:ascii="Times New Roman" w:hAnsi="Times New Roman"/>
          <w:noProof/>
          <w:sz w:val="24"/>
        </w:rPr>
        <w:t>L’article 55, paragraphe 4, du règlement (UE) nº 1308/2013 modifie la liste des mesures apicoles éligibles; il étend le champ d’applicatio</w:t>
      </w:r>
      <w:r>
        <w:rPr>
          <w:rFonts w:ascii="Times New Roman" w:hAnsi="Times New Roman"/>
          <w:noProof/>
          <w:sz w:val="24"/>
        </w:rPr>
        <w:t>n de plusieurs mesures et ajoute deux nouvelles mesures.</w:t>
      </w:r>
      <w:bookmarkEnd w:id="174"/>
    </w:p>
    <w:p w:rsidR="00C0375A" w:rsidRDefault="00622AF0">
      <w:pPr>
        <w:jc w:val="both"/>
        <w:rPr>
          <w:rFonts w:ascii="Times New Roman" w:hAnsi="Times New Roman" w:cs="Times New Roman"/>
          <w:noProof/>
          <w:sz w:val="24"/>
          <w:szCs w:val="24"/>
        </w:rPr>
      </w:pPr>
      <w:bookmarkStart w:id="175" w:name="_Toc467837785"/>
      <w:r>
        <w:rPr>
          <w:rFonts w:ascii="Times New Roman" w:hAnsi="Times New Roman"/>
          <w:noProof/>
          <w:sz w:val="24"/>
        </w:rPr>
        <w:t>Avec la réforme de la PAC, il existe à présent huit mesures éligibles dans le secteur de l’apiculture:</w:t>
      </w:r>
      <w:bookmarkEnd w:id="175"/>
    </w:p>
    <w:p w:rsidR="00C0375A" w:rsidRDefault="00622AF0">
      <w:pPr>
        <w:spacing w:after="0"/>
        <w:jc w:val="both"/>
        <w:rPr>
          <w:rFonts w:ascii="Times New Roman" w:hAnsi="Times New Roman" w:cs="Times New Roman"/>
          <w:noProof/>
          <w:sz w:val="24"/>
          <w:szCs w:val="24"/>
        </w:rPr>
      </w:pPr>
      <w:bookmarkStart w:id="176" w:name="_Toc467837786"/>
      <w:r>
        <w:rPr>
          <w:rFonts w:ascii="Times New Roman" w:hAnsi="Times New Roman"/>
          <w:noProof/>
          <w:sz w:val="24"/>
        </w:rPr>
        <w:t xml:space="preserve">a) </w:t>
      </w:r>
      <w:r>
        <w:rPr>
          <w:rFonts w:ascii="Times New Roman" w:hAnsi="Times New Roman"/>
          <w:b/>
          <w:noProof/>
          <w:sz w:val="24"/>
        </w:rPr>
        <w:t>assistance technique aux apiculteurs et aux organisations d’apiculteurs</w:t>
      </w:r>
      <w:r>
        <w:rPr>
          <w:rFonts w:ascii="Times New Roman" w:hAnsi="Times New Roman"/>
          <w:noProof/>
          <w:sz w:val="24"/>
        </w:rPr>
        <w:t>;</w:t>
      </w:r>
      <w:bookmarkEnd w:id="176"/>
    </w:p>
    <w:p w:rsidR="00C0375A" w:rsidRDefault="00622AF0">
      <w:pPr>
        <w:spacing w:after="0"/>
        <w:jc w:val="both"/>
        <w:rPr>
          <w:rFonts w:ascii="Times New Roman" w:hAnsi="Times New Roman" w:cs="Times New Roman"/>
          <w:noProof/>
          <w:sz w:val="24"/>
          <w:szCs w:val="24"/>
        </w:rPr>
      </w:pPr>
      <w:bookmarkStart w:id="177" w:name="_Toc467837787"/>
      <w:r>
        <w:rPr>
          <w:rFonts w:ascii="Times New Roman" w:hAnsi="Times New Roman"/>
          <w:noProof/>
          <w:sz w:val="24"/>
        </w:rPr>
        <w:t xml:space="preserve">b) </w:t>
      </w:r>
      <w:r>
        <w:rPr>
          <w:rFonts w:ascii="Times New Roman" w:hAnsi="Times New Roman"/>
          <w:b/>
          <w:noProof/>
          <w:sz w:val="24"/>
        </w:rPr>
        <w:t xml:space="preserve">lutte contre les </w:t>
      </w:r>
      <w:r>
        <w:rPr>
          <w:rFonts w:ascii="Times New Roman" w:hAnsi="Times New Roman"/>
          <w:b/>
          <w:noProof/>
          <w:sz w:val="24"/>
        </w:rPr>
        <w:t>agresseurs et les maladies de la ruche, en particulier la varroose</w:t>
      </w:r>
      <w:r>
        <w:rPr>
          <w:rFonts w:ascii="Times New Roman" w:hAnsi="Times New Roman"/>
          <w:noProof/>
          <w:sz w:val="24"/>
        </w:rPr>
        <w:t>: le champ d’application de cette mesure a été étendu pour tenir compte des besoins du secteur en matière de lutte contre la progression du frelon asiatique (</w:t>
      </w:r>
      <w:r>
        <w:rPr>
          <w:rFonts w:ascii="Times New Roman" w:hAnsi="Times New Roman"/>
          <w:i/>
          <w:noProof/>
          <w:sz w:val="24"/>
        </w:rPr>
        <w:t>Vespa velutina</w:t>
      </w:r>
      <w:r>
        <w:rPr>
          <w:rStyle w:val="FootnoteReference"/>
          <w:rFonts w:ascii="Times New Roman" w:hAnsi="Times New Roman"/>
          <w:noProof/>
          <w:sz w:val="24"/>
        </w:rPr>
        <w:footnoteReference w:id="15"/>
      </w:r>
      <w:r>
        <w:rPr>
          <w:rFonts w:ascii="Times New Roman" w:hAnsi="Times New Roman"/>
          <w:noProof/>
          <w:sz w:val="24"/>
        </w:rPr>
        <w:t>), du petit coléo</w:t>
      </w:r>
      <w:r>
        <w:rPr>
          <w:rFonts w:ascii="Times New Roman" w:hAnsi="Times New Roman"/>
          <w:noProof/>
          <w:sz w:val="24"/>
        </w:rPr>
        <w:t>ptère des ruches (</w:t>
      </w:r>
      <w:r>
        <w:rPr>
          <w:rFonts w:ascii="Times New Roman" w:hAnsi="Times New Roman"/>
          <w:i/>
          <w:noProof/>
          <w:sz w:val="24"/>
        </w:rPr>
        <w:t>Aethina tumida</w:t>
      </w:r>
      <w:r>
        <w:rPr>
          <w:rStyle w:val="FootnoteReference"/>
          <w:rFonts w:ascii="Times New Roman" w:hAnsi="Times New Roman"/>
          <w:noProof/>
          <w:sz w:val="24"/>
        </w:rPr>
        <w:footnoteReference w:id="16"/>
      </w:r>
      <w:r>
        <w:rPr>
          <w:rFonts w:ascii="Times New Roman" w:hAnsi="Times New Roman"/>
          <w:noProof/>
          <w:sz w:val="24"/>
        </w:rPr>
        <w:t>), mais aussi de maladies affectant les abeilles autres que la varroose, telles que la nosémose et la loque;</w:t>
      </w:r>
      <w:bookmarkEnd w:id="177"/>
      <w:r>
        <w:rPr>
          <w:rFonts w:ascii="Times New Roman" w:hAnsi="Times New Roman"/>
          <w:noProof/>
          <w:sz w:val="24"/>
        </w:rPr>
        <w:t xml:space="preserve"> </w:t>
      </w:r>
    </w:p>
    <w:p w:rsidR="00C0375A" w:rsidRDefault="00622AF0">
      <w:pPr>
        <w:spacing w:after="0"/>
        <w:jc w:val="both"/>
        <w:rPr>
          <w:rFonts w:ascii="Times New Roman" w:hAnsi="Times New Roman" w:cs="Times New Roman"/>
          <w:noProof/>
          <w:sz w:val="24"/>
          <w:szCs w:val="24"/>
        </w:rPr>
      </w:pPr>
      <w:bookmarkStart w:id="178" w:name="_Toc467837788"/>
      <w:r>
        <w:rPr>
          <w:rFonts w:ascii="Times New Roman" w:hAnsi="Times New Roman"/>
          <w:noProof/>
          <w:sz w:val="24"/>
        </w:rPr>
        <w:t xml:space="preserve">c) </w:t>
      </w:r>
      <w:r>
        <w:rPr>
          <w:rFonts w:ascii="Times New Roman" w:hAnsi="Times New Roman"/>
          <w:b/>
          <w:noProof/>
          <w:sz w:val="24"/>
        </w:rPr>
        <w:t>rationalisation de la transhumance</w:t>
      </w:r>
      <w:r>
        <w:rPr>
          <w:rFonts w:ascii="Times New Roman" w:hAnsi="Times New Roman"/>
          <w:noProof/>
          <w:sz w:val="24"/>
        </w:rPr>
        <w:t>;</w:t>
      </w:r>
      <w:bookmarkEnd w:id="178"/>
    </w:p>
    <w:p w:rsidR="00C0375A" w:rsidRDefault="00622AF0">
      <w:pPr>
        <w:spacing w:after="0"/>
        <w:jc w:val="both"/>
        <w:rPr>
          <w:rFonts w:ascii="Times New Roman" w:hAnsi="Times New Roman" w:cs="Times New Roman"/>
          <w:noProof/>
          <w:sz w:val="24"/>
          <w:szCs w:val="24"/>
        </w:rPr>
      </w:pPr>
      <w:bookmarkStart w:id="179" w:name="_Toc467837789"/>
      <w:r>
        <w:rPr>
          <w:rFonts w:ascii="Times New Roman" w:hAnsi="Times New Roman"/>
          <w:noProof/>
          <w:sz w:val="24"/>
        </w:rPr>
        <w:t xml:space="preserve">d) </w:t>
      </w:r>
      <w:r>
        <w:rPr>
          <w:rFonts w:ascii="Times New Roman" w:hAnsi="Times New Roman"/>
          <w:b/>
          <w:noProof/>
          <w:sz w:val="24"/>
        </w:rPr>
        <w:t>mesures de soutien des laboratoires d’analyses des produits de la ruche</w:t>
      </w:r>
      <w:r>
        <w:rPr>
          <w:rFonts w:ascii="Times New Roman" w:hAnsi="Times New Roman"/>
          <w:b/>
          <w:noProof/>
          <w:sz w:val="24"/>
        </w:rPr>
        <w:t xml:space="preserve"> en vue d’aider les apiculteurs à commercialiser et valoriser leurs produits</w:t>
      </w:r>
      <w:r>
        <w:rPr>
          <w:rFonts w:ascii="Times New Roman" w:hAnsi="Times New Roman"/>
          <w:noProof/>
          <w:sz w:val="24"/>
        </w:rPr>
        <w:t>: le champ d’application de cette mesure a été étendu à l’analyse d’autres produits de l’apiculture</w:t>
      </w:r>
      <w:r>
        <w:rPr>
          <w:rStyle w:val="FootnoteReference"/>
          <w:rFonts w:ascii="Times New Roman" w:hAnsi="Times New Roman"/>
          <w:noProof/>
          <w:sz w:val="24"/>
        </w:rPr>
        <w:footnoteReference w:id="17"/>
      </w:r>
      <w:r>
        <w:rPr>
          <w:rFonts w:ascii="Times New Roman" w:hAnsi="Times New Roman"/>
          <w:noProof/>
          <w:sz w:val="24"/>
        </w:rPr>
        <w:t>, tels que la gelée royale, le pollen, la propolis et la cire d’abeille. Cette e</w:t>
      </w:r>
      <w:r>
        <w:rPr>
          <w:rFonts w:ascii="Times New Roman" w:hAnsi="Times New Roman"/>
          <w:noProof/>
          <w:sz w:val="24"/>
        </w:rPr>
        <w:t>xtension est importante pour soutenir le développement de produits de l’apiculture de qualité et offrir aux apiculteurs une source de revenus supplémentaires;</w:t>
      </w:r>
      <w:bookmarkEnd w:id="179"/>
    </w:p>
    <w:p w:rsidR="00C0375A" w:rsidRDefault="00622AF0">
      <w:pPr>
        <w:spacing w:after="0"/>
        <w:jc w:val="both"/>
        <w:rPr>
          <w:rFonts w:ascii="Times New Roman" w:hAnsi="Times New Roman" w:cs="Times New Roman"/>
          <w:noProof/>
          <w:sz w:val="24"/>
          <w:szCs w:val="24"/>
        </w:rPr>
      </w:pPr>
      <w:bookmarkStart w:id="180" w:name="_Toc467837790"/>
      <w:r>
        <w:rPr>
          <w:rFonts w:ascii="Times New Roman" w:hAnsi="Times New Roman"/>
          <w:noProof/>
          <w:sz w:val="24"/>
        </w:rPr>
        <w:t xml:space="preserve">e) </w:t>
      </w:r>
      <w:r>
        <w:rPr>
          <w:rFonts w:ascii="Times New Roman" w:hAnsi="Times New Roman"/>
          <w:b/>
          <w:noProof/>
          <w:sz w:val="24"/>
        </w:rPr>
        <w:t>aide au repeuplement du cheptel apicole de l’Union</w:t>
      </w:r>
      <w:r>
        <w:rPr>
          <w:rFonts w:ascii="Times New Roman" w:hAnsi="Times New Roman"/>
          <w:noProof/>
          <w:sz w:val="24"/>
        </w:rPr>
        <w:t>;</w:t>
      </w:r>
      <w:bookmarkEnd w:id="180"/>
    </w:p>
    <w:p w:rsidR="00C0375A" w:rsidRDefault="00622AF0">
      <w:pPr>
        <w:spacing w:after="0"/>
        <w:jc w:val="both"/>
        <w:rPr>
          <w:rFonts w:ascii="Times New Roman" w:hAnsi="Times New Roman" w:cs="Times New Roman"/>
          <w:noProof/>
          <w:sz w:val="24"/>
          <w:szCs w:val="24"/>
        </w:rPr>
      </w:pPr>
      <w:bookmarkStart w:id="181" w:name="_Toc467837791"/>
      <w:r>
        <w:rPr>
          <w:rFonts w:ascii="Times New Roman" w:hAnsi="Times New Roman"/>
          <w:noProof/>
          <w:sz w:val="24"/>
        </w:rPr>
        <w:t xml:space="preserve">f) </w:t>
      </w:r>
      <w:r>
        <w:rPr>
          <w:rFonts w:ascii="Times New Roman" w:hAnsi="Times New Roman"/>
          <w:b/>
          <w:noProof/>
          <w:sz w:val="24"/>
        </w:rPr>
        <w:t>coopération avec des organismes spécial</w:t>
      </w:r>
      <w:r>
        <w:rPr>
          <w:rFonts w:ascii="Times New Roman" w:hAnsi="Times New Roman"/>
          <w:b/>
          <w:noProof/>
          <w:sz w:val="24"/>
        </w:rPr>
        <w:t>isés en vue de la mise en œuvre de programmes de recherche appliquée dans le domaine de l’apiculture et des produits issus de l’apiculture</w:t>
      </w:r>
      <w:r>
        <w:rPr>
          <w:rFonts w:ascii="Times New Roman" w:hAnsi="Times New Roman"/>
          <w:noProof/>
          <w:sz w:val="24"/>
        </w:rPr>
        <w:t>;</w:t>
      </w:r>
      <w:bookmarkEnd w:id="181"/>
    </w:p>
    <w:p w:rsidR="00C0375A" w:rsidRDefault="00622AF0">
      <w:pPr>
        <w:spacing w:after="0"/>
        <w:jc w:val="both"/>
        <w:rPr>
          <w:rFonts w:ascii="Times New Roman" w:hAnsi="Times New Roman" w:cs="Times New Roman"/>
          <w:noProof/>
          <w:sz w:val="24"/>
          <w:szCs w:val="24"/>
        </w:rPr>
      </w:pPr>
      <w:bookmarkStart w:id="182" w:name="_Toc467837792"/>
      <w:r>
        <w:rPr>
          <w:rFonts w:ascii="Times New Roman" w:hAnsi="Times New Roman"/>
          <w:noProof/>
          <w:sz w:val="24"/>
        </w:rPr>
        <w:t xml:space="preserve">g) </w:t>
      </w:r>
      <w:r>
        <w:rPr>
          <w:rFonts w:ascii="Times New Roman" w:hAnsi="Times New Roman"/>
          <w:b/>
          <w:noProof/>
          <w:sz w:val="24"/>
        </w:rPr>
        <w:t>suivi du marché</w:t>
      </w:r>
      <w:r>
        <w:rPr>
          <w:rFonts w:ascii="Times New Roman" w:hAnsi="Times New Roman"/>
          <w:noProof/>
          <w:sz w:val="24"/>
        </w:rPr>
        <w:t>: il s’agit d’une nouvelle mesure qui peut par exemple être utilisée pour surveiller la production</w:t>
      </w:r>
      <w:r>
        <w:rPr>
          <w:rFonts w:ascii="Times New Roman" w:hAnsi="Times New Roman"/>
          <w:noProof/>
          <w:sz w:val="24"/>
        </w:rPr>
        <w:t xml:space="preserve"> et les prix du miel et des produits de l’apiculture;</w:t>
      </w:r>
      <w:bookmarkEnd w:id="182"/>
    </w:p>
    <w:p w:rsidR="00C0375A" w:rsidRDefault="00622AF0">
      <w:pPr>
        <w:spacing w:after="0"/>
        <w:jc w:val="both"/>
        <w:rPr>
          <w:rFonts w:ascii="Times New Roman" w:hAnsi="Times New Roman" w:cs="Times New Roman"/>
          <w:noProof/>
          <w:sz w:val="24"/>
          <w:szCs w:val="24"/>
        </w:rPr>
      </w:pPr>
      <w:bookmarkStart w:id="183" w:name="_Toc467837793"/>
      <w:r>
        <w:rPr>
          <w:rFonts w:ascii="Times New Roman" w:hAnsi="Times New Roman"/>
          <w:noProof/>
          <w:sz w:val="24"/>
        </w:rPr>
        <w:t xml:space="preserve">h) </w:t>
      </w:r>
      <w:r>
        <w:rPr>
          <w:rFonts w:ascii="Times New Roman" w:hAnsi="Times New Roman"/>
          <w:b/>
          <w:noProof/>
          <w:sz w:val="24"/>
        </w:rPr>
        <w:t>amélioration de la qualité des produits en vue d’une meilleure mise en valeur des produits sur le marché</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il s’agit d’une nouvelle mesure qui peut par exemple être utilisée pour exploiter le potentie</w:t>
      </w:r>
      <w:r>
        <w:rPr>
          <w:rFonts w:ascii="Times New Roman" w:hAnsi="Times New Roman"/>
          <w:noProof/>
          <w:sz w:val="24"/>
        </w:rPr>
        <w:t>l de la gelée royale ou du pollen.</w:t>
      </w:r>
      <w:bookmarkEnd w:id="183"/>
    </w:p>
    <w:p w:rsidR="00C0375A" w:rsidRDefault="00C0375A">
      <w:pPr>
        <w:spacing w:after="0"/>
        <w:jc w:val="both"/>
        <w:rPr>
          <w:rFonts w:ascii="Times New Roman" w:hAnsi="Times New Roman" w:cs="Times New Roman"/>
          <w:noProof/>
          <w:sz w:val="24"/>
          <w:szCs w:val="24"/>
        </w:rPr>
      </w:pPr>
    </w:p>
    <w:p w:rsidR="00C0375A" w:rsidRDefault="00622AF0">
      <w:pPr>
        <w:pStyle w:val="ManualHeading2"/>
        <w:rPr>
          <w:noProof/>
        </w:rPr>
      </w:pPr>
      <w:bookmarkStart w:id="184" w:name="_Toc466556588"/>
      <w:bookmarkStart w:id="185" w:name="_Toc467836897"/>
      <w:bookmarkStart w:id="186" w:name="_Toc467837238"/>
      <w:bookmarkStart w:id="187" w:name="_Toc467837400"/>
      <w:bookmarkStart w:id="188" w:name="_Toc467837794"/>
      <w:r>
        <w:tab/>
      </w:r>
      <w:r>
        <w:rPr>
          <w:noProof/>
        </w:rPr>
        <w:t>5.2</w:t>
      </w:r>
      <w:r>
        <w:rPr>
          <w:noProof/>
        </w:rPr>
        <w:tab/>
        <w:t>Méthode de détermination du nombre de ruches et de l’affectation du budget de l’UE</w:t>
      </w:r>
      <w:bookmarkEnd w:id="184"/>
      <w:bookmarkEnd w:id="185"/>
      <w:bookmarkEnd w:id="186"/>
      <w:bookmarkEnd w:id="187"/>
      <w:bookmarkEnd w:id="188"/>
    </w:p>
    <w:p w:rsidR="00C0375A" w:rsidRDefault="00C0375A">
      <w:pPr>
        <w:rPr>
          <w:noProof/>
        </w:rPr>
      </w:pPr>
    </w:p>
    <w:p w:rsidR="00C0375A" w:rsidRDefault="00622AF0">
      <w:pPr>
        <w:jc w:val="both"/>
        <w:rPr>
          <w:rFonts w:ascii="Times New Roman" w:hAnsi="Times New Roman" w:cs="Times New Roman"/>
          <w:noProof/>
          <w:sz w:val="24"/>
          <w:szCs w:val="24"/>
        </w:rPr>
      </w:pPr>
      <w:bookmarkStart w:id="189" w:name="_Toc467837795"/>
      <w:r>
        <w:rPr>
          <w:rFonts w:ascii="Times New Roman" w:hAnsi="Times New Roman"/>
          <w:noProof/>
          <w:sz w:val="24"/>
        </w:rPr>
        <w:t xml:space="preserve">Comme indiqué précédemment, le </w:t>
      </w:r>
      <w:r>
        <w:rPr>
          <w:rFonts w:ascii="Times New Roman" w:hAnsi="Times New Roman"/>
          <w:b/>
          <w:noProof/>
          <w:sz w:val="24"/>
        </w:rPr>
        <w:t>facteur clé pour la répartition de la participation de l’Union entre les États membres</w:t>
      </w:r>
      <w:r>
        <w:rPr>
          <w:rFonts w:ascii="Times New Roman" w:hAnsi="Times New Roman"/>
          <w:noProof/>
          <w:sz w:val="24"/>
        </w:rPr>
        <w:t xml:space="preserve"> est le </w:t>
      </w:r>
      <w:r>
        <w:rPr>
          <w:rFonts w:ascii="Times New Roman" w:hAnsi="Times New Roman"/>
          <w:b/>
          <w:noProof/>
          <w:sz w:val="24"/>
        </w:rPr>
        <w:t>nombre</w:t>
      </w:r>
      <w:r>
        <w:rPr>
          <w:rFonts w:ascii="Times New Roman" w:hAnsi="Times New Roman"/>
          <w:b/>
          <w:noProof/>
          <w:sz w:val="24"/>
        </w:rPr>
        <w:t xml:space="preserve"> de ruches</w:t>
      </w:r>
      <w:r>
        <w:rPr>
          <w:rFonts w:ascii="Times New Roman" w:hAnsi="Times New Roman"/>
          <w:noProof/>
          <w:sz w:val="24"/>
        </w:rPr>
        <w:t xml:space="preserve"> présentes sur le territoire de cet État.</w:t>
      </w:r>
      <w:bookmarkEnd w:id="189"/>
    </w:p>
    <w:p w:rsidR="00C0375A" w:rsidRDefault="00622AF0">
      <w:pPr>
        <w:jc w:val="both"/>
        <w:rPr>
          <w:rFonts w:ascii="Times New Roman" w:hAnsi="Times New Roman" w:cs="Times New Roman"/>
          <w:caps/>
          <w:noProof/>
          <w:sz w:val="24"/>
          <w:szCs w:val="24"/>
        </w:rPr>
      </w:pPr>
      <w:bookmarkStart w:id="190" w:name="_Toc467837796"/>
      <w:r>
        <w:rPr>
          <w:rFonts w:ascii="Times New Roman" w:hAnsi="Times New Roman"/>
          <w:noProof/>
          <w:sz w:val="24"/>
        </w:rPr>
        <w:t>La réforme de la PAC menée en 2013 a maintenu ce principe, mais les règles pour déterminer le nombre de ruches ont été harmonisées (dans la mesure du possible au vu des différences considérables qui exist</w:t>
      </w:r>
      <w:r>
        <w:rPr>
          <w:rFonts w:ascii="Times New Roman" w:hAnsi="Times New Roman"/>
          <w:noProof/>
          <w:sz w:val="24"/>
        </w:rPr>
        <w:t xml:space="preserve">ent entre les États membres dans le secteur de l’apiculture). Conformément à l’article 4 du règlement délégué (UE) 2015/1366 de la Commission, la participation de l’Union au financement des programmes apicoles est attribuée proportionnellement au </w:t>
      </w:r>
      <w:r>
        <w:rPr>
          <w:rFonts w:ascii="Times New Roman" w:hAnsi="Times New Roman"/>
          <w:b/>
          <w:noProof/>
          <w:sz w:val="24"/>
        </w:rPr>
        <w:t>nombre to</w:t>
      </w:r>
      <w:r>
        <w:rPr>
          <w:rFonts w:ascii="Times New Roman" w:hAnsi="Times New Roman"/>
          <w:b/>
          <w:noProof/>
          <w:sz w:val="24"/>
        </w:rPr>
        <w:t>tal moyen de ruches notifié au cours des deux années civiles précédant immédiatement la notification à la Commission des programmes apicoles</w:t>
      </w:r>
      <w:r>
        <w:rPr>
          <w:rFonts w:ascii="Times New Roman" w:hAnsi="Times New Roman"/>
          <w:noProof/>
          <w:sz w:val="24"/>
        </w:rPr>
        <w:t>.</w:t>
      </w:r>
      <w:bookmarkEnd w:id="190"/>
    </w:p>
    <w:p w:rsidR="00C0375A" w:rsidRDefault="00622AF0">
      <w:pPr>
        <w:jc w:val="both"/>
        <w:rPr>
          <w:rFonts w:ascii="Times New Roman" w:hAnsi="Times New Roman" w:cs="Times New Roman"/>
          <w:noProof/>
          <w:sz w:val="24"/>
          <w:szCs w:val="24"/>
        </w:rPr>
      </w:pPr>
      <w:bookmarkStart w:id="191" w:name="_Toc467837797"/>
      <w:r>
        <w:rPr>
          <w:rFonts w:ascii="Times New Roman" w:hAnsi="Times New Roman"/>
          <w:noProof/>
          <w:sz w:val="24"/>
        </w:rPr>
        <w:t>Jusqu’aux programmes 2014-2016, les États membres devaient uniquement communiquer à la Commission tous les trois a</w:t>
      </w:r>
      <w:r>
        <w:rPr>
          <w:rFonts w:ascii="Times New Roman" w:hAnsi="Times New Roman"/>
          <w:noProof/>
          <w:sz w:val="24"/>
        </w:rPr>
        <w:t>ns, au moment de la soumission de leur programme apicole national, le nombre de ruches présentes sur leur territoire. Il existait d’importantes différences dans la façon dont les États membres collectaient les informations sur le nombre de ruches, en parti</w:t>
      </w:r>
      <w:r>
        <w:rPr>
          <w:rFonts w:ascii="Times New Roman" w:hAnsi="Times New Roman"/>
          <w:noProof/>
          <w:sz w:val="24"/>
        </w:rPr>
        <w:t>culier en ce qui concerne les types de ruches prises en compte, la période et les campagnes au cours desquelles les informations étaient collectées et, enfin, la méthode utilisée pour calculer ce chiffre. Une harmonisation était nécessaire afin de garantir</w:t>
      </w:r>
      <w:r>
        <w:rPr>
          <w:rFonts w:ascii="Times New Roman" w:hAnsi="Times New Roman"/>
          <w:noProof/>
          <w:sz w:val="24"/>
        </w:rPr>
        <w:t xml:space="preserve"> une meilleure affection des fonds de l’Union.</w:t>
      </w:r>
      <w:bookmarkEnd w:id="191"/>
    </w:p>
    <w:p w:rsidR="00C0375A" w:rsidRDefault="00622AF0">
      <w:pPr>
        <w:jc w:val="both"/>
        <w:rPr>
          <w:rFonts w:ascii="Times New Roman" w:hAnsi="Times New Roman" w:cs="Times New Roman"/>
          <w:noProof/>
          <w:sz w:val="24"/>
          <w:szCs w:val="24"/>
        </w:rPr>
      </w:pPr>
      <w:bookmarkStart w:id="192" w:name="_Toc467837798"/>
      <w:r>
        <w:rPr>
          <w:rFonts w:ascii="Times New Roman" w:hAnsi="Times New Roman"/>
          <w:noProof/>
          <w:sz w:val="24"/>
        </w:rPr>
        <w:t xml:space="preserve">Les articles 1, 2 et 3 du règlement délégué (UE) 2015/1366 de la Commission définissent le terme «ruches», exigent des États membres qu’ils disposent d’une </w:t>
      </w:r>
      <w:r>
        <w:rPr>
          <w:rFonts w:ascii="Times New Roman" w:hAnsi="Times New Roman"/>
          <w:b/>
          <w:noProof/>
          <w:sz w:val="24"/>
        </w:rPr>
        <w:t>méthode fiable pour déterminer, chaque année entre le</w:t>
      </w:r>
      <w:r>
        <w:rPr>
          <w:rFonts w:ascii="Times New Roman" w:hAnsi="Times New Roman"/>
          <w:b/>
          <w:noProof/>
          <w:sz w:val="24"/>
        </w:rPr>
        <w:t xml:space="preserve"> 1</w:t>
      </w:r>
      <w:r>
        <w:rPr>
          <w:rFonts w:ascii="Times New Roman" w:hAnsi="Times New Roman"/>
          <w:b/>
          <w:noProof/>
          <w:sz w:val="24"/>
          <w:vertAlign w:val="superscript"/>
        </w:rPr>
        <w:t>er</w:t>
      </w:r>
      <w:r>
        <w:rPr>
          <w:rFonts w:ascii="Times New Roman" w:hAnsi="Times New Roman"/>
          <w:b/>
          <w:noProof/>
          <w:sz w:val="24"/>
        </w:rPr>
        <w:t> septembre et le 31 décembre, le nombre de ruches prêtes pour l’hivernage présentes sur leur territoire</w:t>
      </w:r>
      <w:r>
        <w:rPr>
          <w:rFonts w:ascii="Times New Roman" w:hAnsi="Times New Roman"/>
          <w:noProof/>
          <w:sz w:val="24"/>
        </w:rPr>
        <w:t xml:space="preserve"> et, enfin, obligent ceux-ci à notifier chaque année le nombre de ruches à partir de 2017.</w:t>
      </w:r>
      <w:bookmarkEnd w:id="192"/>
    </w:p>
    <w:p w:rsidR="00C0375A" w:rsidRDefault="00622AF0">
      <w:pPr>
        <w:jc w:val="both"/>
        <w:rPr>
          <w:rFonts w:ascii="Times New Roman" w:hAnsi="Times New Roman" w:cs="Times New Roman"/>
          <w:noProof/>
          <w:sz w:val="24"/>
          <w:szCs w:val="24"/>
        </w:rPr>
      </w:pPr>
      <w:bookmarkStart w:id="193" w:name="_Toc467837799"/>
      <w:r>
        <w:rPr>
          <w:rFonts w:ascii="Times New Roman" w:hAnsi="Times New Roman"/>
          <w:noProof/>
          <w:sz w:val="24"/>
        </w:rPr>
        <w:t xml:space="preserve">Conformément à l’article 2 et au point 2) de l’annexe du </w:t>
      </w:r>
      <w:r>
        <w:rPr>
          <w:rFonts w:ascii="Times New Roman" w:hAnsi="Times New Roman"/>
          <w:noProof/>
          <w:sz w:val="24"/>
        </w:rPr>
        <w:t>règlement d’exécution (UE) 2015/1368 de la Commission, dans leur programme apicole national 2017-2019, les États membres ont soumis une description de la méthode utilisée pour déterminer le nombre de ruches présentes sur leur territoire.</w:t>
      </w:r>
      <w:bookmarkEnd w:id="193"/>
    </w:p>
    <w:p w:rsidR="00C0375A" w:rsidRDefault="00622AF0">
      <w:pPr>
        <w:jc w:val="both"/>
        <w:rPr>
          <w:rFonts w:ascii="Times New Roman" w:hAnsi="Times New Roman" w:cs="Times New Roman"/>
          <w:noProof/>
          <w:sz w:val="24"/>
          <w:szCs w:val="24"/>
        </w:rPr>
      </w:pPr>
      <w:bookmarkStart w:id="194" w:name="_Toc467837800"/>
      <w:r>
        <w:rPr>
          <w:rFonts w:ascii="Times New Roman" w:hAnsi="Times New Roman"/>
          <w:noProof/>
          <w:sz w:val="24"/>
        </w:rPr>
        <w:t xml:space="preserve">La description de </w:t>
      </w:r>
      <w:r>
        <w:rPr>
          <w:rFonts w:ascii="Times New Roman" w:hAnsi="Times New Roman"/>
          <w:noProof/>
          <w:sz w:val="24"/>
        </w:rPr>
        <w:t>la méthode utilisée dans chaque État membre est disponible dans les programmes apicoles 2017-2019 publiés sur le site web de la Commission. Le tableau 2 présente un résumé de ces méthodes. Dix-huit États membres utiliseront un système d’enregistrement obli</w:t>
      </w:r>
      <w:r>
        <w:rPr>
          <w:rFonts w:ascii="Times New Roman" w:hAnsi="Times New Roman"/>
          <w:noProof/>
          <w:sz w:val="24"/>
        </w:rPr>
        <w:t>gatoire tandis que les dix autres utiliseront une méthode statistique pour estimer le nombre de ruches sur la base d’échantillons d’apiculteurs membres d’organisations d’apiculteurs.</w:t>
      </w:r>
      <w:bookmarkEnd w:id="194"/>
    </w:p>
    <w:p w:rsidR="00C0375A" w:rsidRDefault="00622AF0">
      <w:pPr>
        <w:jc w:val="both"/>
        <w:rPr>
          <w:rFonts w:ascii="Times New Roman" w:hAnsi="Times New Roman" w:cs="Times New Roman"/>
          <w:noProof/>
          <w:sz w:val="24"/>
          <w:szCs w:val="24"/>
        </w:rPr>
      </w:pPr>
      <w:bookmarkStart w:id="195" w:name="_Toc467837801"/>
      <w:r>
        <w:rPr>
          <w:rFonts w:ascii="Times New Roman" w:hAnsi="Times New Roman"/>
          <w:noProof/>
          <w:sz w:val="24"/>
        </w:rPr>
        <w:t>En général, l’enregistrement obligatoire des ruches est considéré comme l</w:t>
      </w:r>
      <w:r>
        <w:rPr>
          <w:rFonts w:ascii="Times New Roman" w:hAnsi="Times New Roman"/>
          <w:noProof/>
          <w:sz w:val="24"/>
        </w:rPr>
        <w:t>a méthode la plus fiable, mais elle crée une charge administrative plus lourde pour les États membres et les apiculteurs, ces derniers étant obligés par la législation nationale d’enregistrer leur activité et de déclarer le nombre de ruches qu’ils détienne</w:t>
      </w:r>
      <w:r>
        <w:rPr>
          <w:rFonts w:ascii="Times New Roman" w:hAnsi="Times New Roman"/>
          <w:noProof/>
          <w:sz w:val="24"/>
        </w:rPr>
        <w:t>nt à une administration. Il importe de noter que les six États membres comptant le plus grand nombre de ruches (ES, FR, EL, RO, IT, PL) ont choisi la méthode de l’enregistrement obligatoire, tandis que les États membres possédant un secteur de l’apiculture</w:t>
      </w:r>
      <w:r>
        <w:rPr>
          <w:rFonts w:ascii="Times New Roman" w:hAnsi="Times New Roman"/>
          <w:noProof/>
          <w:sz w:val="24"/>
        </w:rPr>
        <w:t xml:space="preserve"> de moindre importance ont opté pour une méthode d’estimation statistique.</w:t>
      </w:r>
      <w:bookmarkEnd w:id="195"/>
    </w:p>
    <w:p w:rsidR="00C0375A" w:rsidRDefault="00622AF0">
      <w:pPr>
        <w:jc w:val="both"/>
        <w:rPr>
          <w:rFonts w:ascii="Times New Roman" w:hAnsi="Times New Roman" w:cs="Times New Roman"/>
          <w:noProof/>
          <w:sz w:val="24"/>
          <w:szCs w:val="24"/>
        </w:rPr>
      </w:pPr>
      <w:bookmarkStart w:id="196" w:name="_Toc467837802"/>
      <w:r>
        <w:rPr>
          <w:rFonts w:ascii="Times New Roman" w:hAnsi="Times New Roman"/>
          <w:noProof/>
          <w:sz w:val="24"/>
        </w:rPr>
        <w:t xml:space="preserve">La fiabilité des méthodes statistiques pour l’estimation du nombre de ruches dépend de la qualité de la base de données des organisations d’apiculteurs et de la représentativité de </w:t>
      </w:r>
      <w:r>
        <w:rPr>
          <w:rFonts w:ascii="Times New Roman" w:hAnsi="Times New Roman"/>
          <w:noProof/>
          <w:sz w:val="24"/>
        </w:rPr>
        <w:t>l’échantillon d’apiculteurs sélectionné pour obtenir des informations sur le nombre de ruches qu’ils détiennent.</w:t>
      </w:r>
      <w:bookmarkEnd w:id="196"/>
    </w:p>
    <w:p w:rsidR="00C0375A" w:rsidRDefault="00622AF0">
      <w:pPr>
        <w:jc w:val="both"/>
        <w:rPr>
          <w:rFonts w:ascii="Times New Roman" w:hAnsi="Times New Roman" w:cs="Times New Roman"/>
          <w:noProof/>
          <w:sz w:val="24"/>
          <w:szCs w:val="24"/>
        </w:rPr>
      </w:pPr>
      <w:bookmarkStart w:id="197" w:name="_Toc467837803"/>
      <w:r>
        <w:rPr>
          <w:rFonts w:ascii="Times New Roman" w:hAnsi="Times New Roman"/>
          <w:noProof/>
          <w:sz w:val="24"/>
        </w:rPr>
        <w:t>Le 15 mars 2017, les États membres communiqueront pour la première fois à la Commission le nombre de ruches présentes sur leur territoire en ap</w:t>
      </w:r>
      <w:r>
        <w:rPr>
          <w:rFonts w:ascii="Times New Roman" w:hAnsi="Times New Roman"/>
          <w:noProof/>
          <w:sz w:val="24"/>
        </w:rPr>
        <w:t>pliquant les nouvelles méthodes. Conformément à l’article 13 du règlement d’exécution (UE) 2015/1368 de la Commission, la Commission rendra publiques sur son site internet des données agrégées sur le nombre de ruches notifiées par les États membres. Ces do</w:t>
      </w:r>
      <w:r>
        <w:rPr>
          <w:rFonts w:ascii="Times New Roman" w:hAnsi="Times New Roman"/>
          <w:noProof/>
          <w:sz w:val="24"/>
        </w:rPr>
        <w:t>nnées seront actualisées chaque année, ce qui permettra d’assurer un meilleur suivi du nombre de ruches dans l’Union.</w:t>
      </w:r>
      <w:bookmarkEnd w:id="197"/>
    </w:p>
    <w:p w:rsidR="00C0375A" w:rsidRDefault="00622AF0">
      <w:pPr>
        <w:jc w:val="both"/>
        <w:rPr>
          <w:rFonts w:ascii="Times New Roman" w:hAnsi="Times New Roman" w:cs="Times New Roman"/>
          <w:noProof/>
          <w:sz w:val="24"/>
          <w:szCs w:val="24"/>
        </w:rPr>
      </w:pPr>
      <w:bookmarkStart w:id="198" w:name="_Toc467837804"/>
      <w:r>
        <w:rPr>
          <w:rFonts w:ascii="Times New Roman" w:hAnsi="Times New Roman"/>
          <w:noProof/>
          <w:sz w:val="24"/>
        </w:rPr>
        <w:t>Tableau 2: Résumé des méthodes utilisées par les États membres pour déterminer le nombre de ruches présentes sur leur territoire dans le c</w:t>
      </w:r>
      <w:r>
        <w:rPr>
          <w:rFonts w:ascii="Times New Roman" w:hAnsi="Times New Roman"/>
          <w:noProof/>
          <w:sz w:val="24"/>
        </w:rPr>
        <w:t>adre des programmes apicoles nationaux 2017-2019</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050"/>
        <w:gridCol w:w="3076"/>
      </w:tblGrid>
      <w:tr w:rsidR="00C0375A">
        <w:tc>
          <w:tcPr>
            <w:tcW w:w="1765" w:type="dxa"/>
          </w:tcPr>
          <w:p w:rsidR="00C0375A" w:rsidRDefault="00622AF0">
            <w:pPr>
              <w:spacing w:after="0" w:line="240" w:lineRule="auto"/>
              <w:jc w:val="both"/>
              <w:rPr>
                <w:rFonts w:ascii="Times New Roman" w:hAnsi="Times New Roman" w:cs="Times New Roman"/>
                <w:b/>
                <w:noProof/>
              </w:rPr>
            </w:pPr>
            <w:bookmarkStart w:id="199" w:name="_Toc467837805"/>
            <w:r>
              <w:rPr>
                <w:rFonts w:ascii="Times New Roman" w:hAnsi="Times New Roman"/>
                <w:b/>
                <w:noProof/>
              </w:rPr>
              <w:t>État membre</w:t>
            </w:r>
            <w:bookmarkEnd w:id="199"/>
          </w:p>
        </w:tc>
        <w:tc>
          <w:tcPr>
            <w:tcW w:w="2050" w:type="dxa"/>
          </w:tcPr>
          <w:p w:rsidR="00C0375A" w:rsidRDefault="00622AF0">
            <w:pPr>
              <w:spacing w:after="0" w:line="240" w:lineRule="auto"/>
              <w:jc w:val="both"/>
              <w:rPr>
                <w:rFonts w:ascii="Times New Roman" w:hAnsi="Times New Roman" w:cs="Times New Roman"/>
                <w:b/>
                <w:noProof/>
              </w:rPr>
            </w:pPr>
            <w:bookmarkStart w:id="200" w:name="_Toc467837806"/>
            <w:r>
              <w:rPr>
                <w:rFonts w:ascii="Times New Roman" w:hAnsi="Times New Roman"/>
                <w:b/>
                <w:noProof/>
              </w:rPr>
              <w:t>Enregistrement</w:t>
            </w:r>
            <w:bookmarkEnd w:id="200"/>
            <w:r>
              <w:rPr>
                <w:rFonts w:ascii="Times New Roman" w:hAnsi="Times New Roman"/>
                <w:b/>
                <w:noProof/>
              </w:rPr>
              <w:t xml:space="preserve"> </w:t>
            </w:r>
          </w:p>
          <w:p w:rsidR="00C0375A" w:rsidRDefault="00622AF0">
            <w:pPr>
              <w:spacing w:after="0" w:line="240" w:lineRule="auto"/>
              <w:jc w:val="both"/>
              <w:rPr>
                <w:rFonts w:ascii="Times New Roman" w:hAnsi="Times New Roman" w:cs="Times New Roman"/>
                <w:b/>
                <w:noProof/>
              </w:rPr>
            </w:pPr>
            <w:bookmarkStart w:id="201" w:name="_Toc467837807"/>
            <w:r>
              <w:rPr>
                <w:rFonts w:ascii="Times New Roman" w:hAnsi="Times New Roman"/>
                <w:b/>
                <w:noProof/>
              </w:rPr>
              <w:t>par les autorités compétentes des États membres</w:t>
            </w:r>
            <w:bookmarkEnd w:id="201"/>
            <w:r>
              <w:rPr>
                <w:rFonts w:ascii="Times New Roman" w:hAnsi="Times New Roman"/>
                <w:b/>
                <w:noProof/>
              </w:rPr>
              <w:t xml:space="preserve"> </w:t>
            </w:r>
          </w:p>
        </w:tc>
        <w:tc>
          <w:tcPr>
            <w:tcW w:w="3076" w:type="dxa"/>
          </w:tcPr>
          <w:p w:rsidR="00C0375A" w:rsidRDefault="00622AF0">
            <w:pPr>
              <w:spacing w:after="0" w:line="240" w:lineRule="auto"/>
              <w:jc w:val="both"/>
              <w:rPr>
                <w:rFonts w:ascii="Times New Roman" w:hAnsi="Times New Roman" w:cs="Times New Roman"/>
                <w:b/>
                <w:noProof/>
              </w:rPr>
            </w:pPr>
            <w:bookmarkStart w:id="202" w:name="_Toc467837808"/>
            <w:r>
              <w:rPr>
                <w:rFonts w:ascii="Times New Roman" w:hAnsi="Times New Roman"/>
                <w:b/>
                <w:noProof/>
              </w:rPr>
              <w:t xml:space="preserve">Méthode statistique/Échantillonnage fondé sur les bases de données des organisations d’apiculteurs ou sur l’enregistrement </w:t>
            </w:r>
            <w:r>
              <w:rPr>
                <w:rFonts w:ascii="Times New Roman" w:hAnsi="Times New Roman"/>
                <w:b/>
                <w:noProof/>
              </w:rPr>
              <w:t>volontaire</w:t>
            </w:r>
            <w:bookmarkEnd w:id="202"/>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03" w:name="_Toc467837809"/>
            <w:r>
              <w:rPr>
                <w:rFonts w:ascii="Times New Roman" w:hAnsi="Times New Roman"/>
                <w:noProof/>
              </w:rPr>
              <w:t>Belgique</w:t>
            </w:r>
            <w:bookmarkEnd w:id="203"/>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04" w:name="_Toc467837810"/>
            <w:r>
              <w:rPr>
                <w:rFonts w:ascii="Times New Roman" w:hAnsi="Times New Roman"/>
                <w:noProof/>
              </w:rPr>
              <w:t>X</w:t>
            </w:r>
            <w:bookmarkEnd w:id="204"/>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05" w:name="_Toc467837811"/>
            <w:r>
              <w:rPr>
                <w:rFonts w:ascii="Times New Roman" w:hAnsi="Times New Roman"/>
                <w:noProof/>
              </w:rPr>
              <w:t>Bulgarie</w:t>
            </w:r>
            <w:bookmarkEnd w:id="205"/>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06" w:name="_Toc467837812"/>
            <w:r>
              <w:rPr>
                <w:rFonts w:ascii="Times New Roman" w:hAnsi="Times New Roman"/>
                <w:noProof/>
              </w:rPr>
              <w:t>X</w:t>
            </w:r>
            <w:bookmarkEnd w:id="206"/>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07" w:name="_Toc467837813"/>
            <w:r>
              <w:rPr>
                <w:rFonts w:ascii="Times New Roman" w:hAnsi="Times New Roman"/>
                <w:noProof/>
              </w:rPr>
              <w:t>République tchèque</w:t>
            </w:r>
            <w:bookmarkEnd w:id="207"/>
          </w:p>
        </w:tc>
        <w:tc>
          <w:tcPr>
            <w:tcW w:w="2050" w:type="dxa"/>
          </w:tcPr>
          <w:p w:rsidR="00C0375A" w:rsidRDefault="00622AF0">
            <w:pPr>
              <w:spacing w:after="0" w:line="240" w:lineRule="auto"/>
              <w:jc w:val="both"/>
              <w:rPr>
                <w:rFonts w:ascii="Times New Roman" w:hAnsi="Times New Roman" w:cs="Times New Roman"/>
                <w:noProof/>
              </w:rPr>
            </w:pPr>
            <w:bookmarkStart w:id="208" w:name="_Toc467837814"/>
            <w:r>
              <w:rPr>
                <w:rFonts w:ascii="Times New Roman" w:hAnsi="Times New Roman"/>
                <w:noProof/>
              </w:rPr>
              <w:t>X</w:t>
            </w:r>
            <w:bookmarkEnd w:id="208"/>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09" w:name="_Toc467837815"/>
            <w:r>
              <w:rPr>
                <w:rFonts w:ascii="Times New Roman" w:hAnsi="Times New Roman"/>
                <w:noProof/>
              </w:rPr>
              <w:t>Danemark</w:t>
            </w:r>
            <w:bookmarkEnd w:id="209"/>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10" w:name="_Toc467837816"/>
            <w:r>
              <w:rPr>
                <w:rFonts w:ascii="Times New Roman" w:hAnsi="Times New Roman"/>
                <w:noProof/>
              </w:rPr>
              <w:t>X</w:t>
            </w:r>
            <w:bookmarkEnd w:id="210"/>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11" w:name="_Toc467837817"/>
            <w:r>
              <w:rPr>
                <w:rFonts w:ascii="Times New Roman" w:hAnsi="Times New Roman"/>
                <w:noProof/>
              </w:rPr>
              <w:t>Allemagne</w:t>
            </w:r>
            <w:bookmarkEnd w:id="211"/>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12" w:name="_Toc467837818"/>
            <w:r>
              <w:rPr>
                <w:rFonts w:ascii="Times New Roman" w:hAnsi="Times New Roman"/>
                <w:noProof/>
              </w:rPr>
              <w:t>X</w:t>
            </w:r>
            <w:bookmarkEnd w:id="212"/>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13" w:name="_Toc467837819"/>
            <w:r>
              <w:rPr>
                <w:rFonts w:ascii="Times New Roman" w:hAnsi="Times New Roman"/>
                <w:noProof/>
              </w:rPr>
              <w:t>Estonie</w:t>
            </w:r>
            <w:bookmarkEnd w:id="213"/>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14" w:name="_Toc467837820"/>
            <w:r>
              <w:rPr>
                <w:rFonts w:ascii="Times New Roman" w:hAnsi="Times New Roman"/>
                <w:noProof/>
              </w:rPr>
              <w:t>X</w:t>
            </w:r>
            <w:bookmarkEnd w:id="214"/>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15" w:name="_Toc467837821"/>
            <w:r>
              <w:rPr>
                <w:rFonts w:ascii="Times New Roman" w:hAnsi="Times New Roman"/>
                <w:noProof/>
              </w:rPr>
              <w:t>Irlande</w:t>
            </w:r>
            <w:bookmarkEnd w:id="215"/>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16" w:name="_Toc467837822"/>
            <w:r>
              <w:rPr>
                <w:rFonts w:ascii="Times New Roman" w:hAnsi="Times New Roman"/>
                <w:noProof/>
              </w:rPr>
              <w:t>X</w:t>
            </w:r>
            <w:bookmarkEnd w:id="216"/>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17" w:name="_Toc467837823"/>
            <w:r>
              <w:rPr>
                <w:rFonts w:ascii="Times New Roman" w:hAnsi="Times New Roman"/>
                <w:noProof/>
              </w:rPr>
              <w:t>Grèce</w:t>
            </w:r>
            <w:bookmarkEnd w:id="217"/>
          </w:p>
        </w:tc>
        <w:tc>
          <w:tcPr>
            <w:tcW w:w="2050" w:type="dxa"/>
          </w:tcPr>
          <w:p w:rsidR="00C0375A" w:rsidRDefault="00622AF0">
            <w:pPr>
              <w:spacing w:after="0" w:line="240" w:lineRule="auto"/>
              <w:jc w:val="both"/>
              <w:rPr>
                <w:rFonts w:ascii="Times New Roman" w:hAnsi="Times New Roman" w:cs="Times New Roman"/>
                <w:noProof/>
              </w:rPr>
            </w:pPr>
            <w:bookmarkStart w:id="218" w:name="_Toc467837824"/>
            <w:r>
              <w:rPr>
                <w:rFonts w:ascii="Times New Roman" w:hAnsi="Times New Roman"/>
                <w:noProof/>
              </w:rPr>
              <w:t>X</w:t>
            </w:r>
            <w:bookmarkEnd w:id="218"/>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19" w:name="_Toc467837825"/>
            <w:r>
              <w:rPr>
                <w:rFonts w:ascii="Times New Roman" w:hAnsi="Times New Roman"/>
                <w:noProof/>
              </w:rPr>
              <w:t>Espagne</w:t>
            </w:r>
            <w:bookmarkEnd w:id="219"/>
          </w:p>
        </w:tc>
        <w:tc>
          <w:tcPr>
            <w:tcW w:w="2050" w:type="dxa"/>
          </w:tcPr>
          <w:p w:rsidR="00C0375A" w:rsidRDefault="00622AF0">
            <w:pPr>
              <w:spacing w:after="0" w:line="240" w:lineRule="auto"/>
              <w:jc w:val="both"/>
              <w:rPr>
                <w:rFonts w:ascii="Times New Roman" w:hAnsi="Times New Roman" w:cs="Times New Roman"/>
                <w:noProof/>
              </w:rPr>
            </w:pPr>
            <w:bookmarkStart w:id="220" w:name="_Toc467837826"/>
            <w:r>
              <w:rPr>
                <w:rFonts w:ascii="Times New Roman" w:hAnsi="Times New Roman"/>
                <w:noProof/>
              </w:rPr>
              <w:t>X</w:t>
            </w:r>
            <w:bookmarkEnd w:id="220"/>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21" w:name="_Toc467837827"/>
            <w:r>
              <w:rPr>
                <w:rFonts w:ascii="Times New Roman" w:hAnsi="Times New Roman"/>
                <w:noProof/>
              </w:rPr>
              <w:t>France</w:t>
            </w:r>
            <w:bookmarkEnd w:id="221"/>
          </w:p>
        </w:tc>
        <w:tc>
          <w:tcPr>
            <w:tcW w:w="2050" w:type="dxa"/>
          </w:tcPr>
          <w:p w:rsidR="00C0375A" w:rsidRDefault="00622AF0">
            <w:pPr>
              <w:spacing w:after="0" w:line="240" w:lineRule="auto"/>
              <w:jc w:val="both"/>
              <w:rPr>
                <w:rFonts w:ascii="Times New Roman" w:hAnsi="Times New Roman" w:cs="Times New Roman"/>
                <w:noProof/>
              </w:rPr>
            </w:pPr>
            <w:bookmarkStart w:id="222" w:name="_Toc467837828"/>
            <w:r>
              <w:rPr>
                <w:rFonts w:ascii="Times New Roman" w:hAnsi="Times New Roman"/>
                <w:noProof/>
              </w:rPr>
              <w:t>X</w:t>
            </w:r>
            <w:bookmarkEnd w:id="222"/>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23" w:name="_Toc467837829"/>
            <w:r>
              <w:rPr>
                <w:rFonts w:ascii="Times New Roman" w:hAnsi="Times New Roman"/>
                <w:noProof/>
              </w:rPr>
              <w:t>Croatie</w:t>
            </w:r>
            <w:bookmarkEnd w:id="223"/>
          </w:p>
        </w:tc>
        <w:tc>
          <w:tcPr>
            <w:tcW w:w="2050" w:type="dxa"/>
          </w:tcPr>
          <w:p w:rsidR="00C0375A" w:rsidRDefault="00622AF0">
            <w:pPr>
              <w:spacing w:after="0" w:line="240" w:lineRule="auto"/>
              <w:jc w:val="both"/>
              <w:rPr>
                <w:rFonts w:ascii="Times New Roman" w:hAnsi="Times New Roman" w:cs="Times New Roman"/>
                <w:noProof/>
              </w:rPr>
            </w:pPr>
            <w:bookmarkStart w:id="224" w:name="_Toc467837830"/>
            <w:r>
              <w:rPr>
                <w:rFonts w:ascii="Times New Roman" w:hAnsi="Times New Roman"/>
                <w:noProof/>
              </w:rPr>
              <w:t>X</w:t>
            </w:r>
            <w:bookmarkEnd w:id="224"/>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25" w:name="_Toc467837831"/>
            <w:r>
              <w:rPr>
                <w:rFonts w:ascii="Times New Roman" w:hAnsi="Times New Roman"/>
                <w:noProof/>
              </w:rPr>
              <w:t>Italie</w:t>
            </w:r>
            <w:bookmarkEnd w:id="225"/>
          </w:p>
        </w:tc>
        <w:tc>
          <w:tcPr>
            <w:tcW w:w="2050" w:type="dxa"/>
          </w:tcPr>
          <w:p w:rsidR="00C0375A" w:rsidRDefault="00622AF0">
            <w:pPr>
              <w:spacing w:after="0" w:line="240" w:lineRule="auto"/>
              <w:jc w:val="both"/>
              <w:rPr>
                <w:rFonts w:ascii="Times New Roman" w:hAnsi="Times New Roman" w:cs="Times New Roman"/>
                <w:noProof/>
              </w:rPr>
            </w:pPr>
            <w:bookmarkStart w:id="226" w:name="_Toc467837832"/>
            <w:r>
              <w:rPr>
                <w:rFonts w:ascii="Times New Roman" w:hAnsi="Times New Roman"/>
                <w:noProof/>
              </w:rPr>
              <w:t>X</w:t>
            </w:r>
            <w:bookmarkEnd w:id="226"/>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27" w:name="_Toc467837833"/>
            <w:r>
              <w:rPr>
                <w:rFonts w:ascii="Times New Roman" w:hAnsi="Times New Roman"/>
                <w:noProof/>
              </w:rPr>
              <w:t>Chypre</w:t>
            </w:r>
            <w:bookmarkEnd w:id="227"/>
          </w:p>
        </w:tc>
        <w:tc>
          <w:tcPr>
            <w:tcW w:w="2050" w:type="dxa"/>
          </w:tcPr>
          <w:p w:rsidR="00C0375A" w:rsidRDefault="00622AF0">
            <w:pPr>
              <w:spacing w:after="0" w:line="240" w:lineRule="auto"/>
              <w:jc w:val="both"/>
              <w:rPr>
                <w:rFonts w:ascii="Times New Roman" w:hAnsi="Times New Roman" w:cs="Times New Roman"/>
                <w:noProof/>
              </w:rPr>
            </w:pPr>
            <w:bookmarkStart w:id="228" w:name="_Toc467837834"/>
            <w:r>
              <w:rPr>
                <w:rFonts w:ascii="Times New Roman" w:hAnsi="Times New Roman"/>
                <w:noProof/>
              </w:rPr>
              <w:t>X</w:t>
            </w:r>
            <w:bookmarkEnd w:id="228"/>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29" w:name="_Toc467837835"/>
            <w:r>
              <w:rPr>
                <w:rFonts w:ascii="Times New Roman" w:hAnsi="Times New Roman"/>
                <w:noProof/>
              </w:rPr>
              <w:t>Lettonie</w:t>
            </w:r>
            <w:bookmarkEnd w:id="229"/>
          </w:p>
        </w:tc>
        <w:tc>
          <w:tcPr>
            <w:tcW w:w="2050" w:type="dxa"/>
          </w:tcPr>
          <w:p w:rsidR="00C0375A" w:rsidRDefault="00622AF0">
            <w:pPr>
              <w:spacing w:after="0" w:line="240" w:lineRule="auto"/>
              <w:jc w:val="both"/>
              <w:rPr>
                <w:rFonts w:ascii="Times New Roman" w:hAnsi="Times New Roman" w:cs="Times New Roman"/>
                <w:noProof/>
              </w:rPr>
            </w:pPr>
            <w:bookmarkStart w:id="230" w:name="_Toc467837836"/>
            <w:r>
              <w:rPr>
                <w:rFonts w:ascii="Times New Roman" w:hAnsi="Times New Roman"/>
                <w:noProof/>
              </w:rPr>
              <w:t>X</w:t>
            </w:r>
            <w:bookmarkEnd w:id="230"/>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31" w:name="_Toc467837837"/>
            <w:r>
              <w:rPr>
                <w:rFonts w:ascii="Times New Roman" w:hAnsi="Times New Roman"/>
                <w:noProof/>
              </w:rPr>
              <w:t>Lituanie</w:t>
            </w:r>
            <w:bookmarkEnd w:id="231"/>
          </w:p>
        </w:tc>
        <w:tc>
          <w:tcPr>
            <w:tcW w:w="2050" w:type="dxa"/>
          </w:tcPr>
          <w:p w:rsidR="00C0375A" w:rsidRDefault="00622AF0">
            <w:pPr>
              <w:spacing w:after="0" w:line="240" w:lineRule="auto"/>
              <w:jc w:val="both"/>
              <w:rPr>
                <w:rFonts w:ascii="Times New Roman" w:hAnsi="Times New Roman" w:cs="Times New Roman"/>
                <w:noProof/>
              </w:rPr>
            </w:pPr>
            <w:bookmarkStart w:id="232" w:name="_Toc467837838"/>
            <w:r>
              <w:rPr>
                <w:rFonts w:ascii="Times New Roman" w:hAnsi="Times New Roman"/>
                <w:noProof/>
              </w:rPr>
              <w:t>X</w:t>
            </w:r>
            <w:bookmarkEnd w:id="232"/>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33" w:name="_Toc467837839"/>
            <w:r>
              <w:rPr>
                <w:rFonts w:ascii="Times New Roman" w:hAnsi="Times New Roman"/>
                <w:noProof/>
              </w:rPr>
              <w:t>Luxembourg</w:t>
            </w:r>
            <w:bookmarkEnd w:id="233"/>
          </w:p>
        </w:tc>
        <w:tc>
          <w:tcPr>
            <w:tcW w:w="2050" w:type="dxa"/>
          </w:tcPr>
          <w:p w:rsidR="00C0375A" w:rsidRDefault="00622AF0">
            <w:pPr>
              <w:spacing w:after="0" w:line="240" w:lineRule="auto"/>
              <w:jc w:val="both"/>
              <w:rPr>
                <w:rFonts w:ascii="Times New Roman" w:hAnsi="Times New Roman" w:cs="Times New Roman"/>
                <w:noProof/>
              </w:rPr>
            </w:pPr>
            <w:bookmarkStart w:id="234" w:name="_Toc467837840"/>
            <w:r>
              <w:rPr>
                <w:rFonts w:ascii="Times New Roman" w:hAnsi="Times New Roman"/>
                <w:noProof/>
              </w:rPr>
              <w:t>X</w:t>
            </w:r>
            <w:bookmarkEnd w:id="234"/>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35" w:name="_Toc467837841"/>
            <w:r>
              <w:rPr>
                <w:rFonts w:ascii="Times New Roman" w:hAnsi="Times New Roman"/>
                <w:noProof/>
              </w:rPr>
              <w:t>Hongrie</w:t>
            </w:r>
            <w:bookmarkEnd w:id="235"/>
          </w:p>
        </w:tc>
        <w:tc>
          <w:tcPr>
            <w:tcW w:w="2050" w:type="dxa"/>
          </w:tcPr>
          <w:p w:rsidR="00C0375A" w:rsidRDefault="00622AF0">
            <w:pPr>
              <w:spacing w:after="0" w:line="240" w:lineRule="auto"/>
              <w:jc w:val="both"/>
              <w:rPr>
                <w:rFonts w:ascii="Times New Roman" w:hAnsi="Times New Roman" w:cs="Times New Roman"/>
                <w:noProof/>
              </w:rPr>
            </w:pPr>
            <w:bookmarkStart w:id="236" w:name="_Toc467837842"/>
            <w:r>
              <w:rPr>
                <w:rFonts w:ascii="Times New Roman" w:hAnsi="Times New Roman"/>
                <w:noProof/>
              </w:rPr>
              <w:t>X</w:t>
            </w:r>
            <w:bookmarkEnd w:id="236"/>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37" w:name="_Toc467837843"/>
            <w:r>
              <w:rPr>
                <w:rFonts w:ascii="Times New Roman" w:hAnsi="Times New Roman"/>
                <w:noProof/>
              </w:rPr>
              <w:t>Malte</w:t>
            </w:r>
            <w:bookmarkEnd w:id="237"/>
          </w:p>
        </w:tc>
        <w:tc>
          <w:tcPr>
            <w:tcW w:w="2050" w:type="dxa"/>
          </w:tcPr>
          <w:p w:rsidR="00C0375A" w:rsidRDefault="00622AF0">
            <w:pPr>
              <w:spacing w:after="0" w:line="240" w:lineRule="auto"/>
              <w:jc w:val="both"/>
              <w:rPr>
                <w:rFonts w:ascii="Times New Roman" w:hAnsi="Times New Roman" w:cs="Times New Roman"/>
                <w:noProof/>
              </w:rPr>
            </w:pPr>
            <w:bookmarkStart w:id="238" w:name="_Toc467837844"/>
            <w:r>
              <w:rPr>
                <w:rFonts w:ascii="Times New Roman" w:hAnsi="Times New Roman"/>
                <w:noProof/>
              </w:rPr>
              <w:t xml:space="preserve">Recensement </w:t>
            </w:r>
            <w:r>
              <w:rPr>
                <w:rFonts w:ascii="Times New Roman" w:hAnsi="Times New Roman"/>
                <w:noProof/>
              </w:rPr>
              <w:t>exhaustif</w:t>
            </w:r>
            <w:bookmarkEnd w:id="238"/>
            <w:r>
              <w:rPr>
                <w:rFonts w:ascii="Times New Roman" w:hAnsi="Times New Roman"/>
                <w:noProof/>
              </w:rPr>
              <w:t xml:space="preserve"> </w:t>
            </w:r>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39" w:name="_Toc467837845"/>
            <w:r>
              <w:rPr>
                <w:rFonts w:ascii="Times New Roman" w:hAnsi="Times New Roman"/>
                <w:noProof/>
              </w:rPr>
              <w:t>Pays-Bas</w:t>
            </w:r>
            <w:bookmarkEnd w:id="239"/>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40" w:name="_Toc467837846"/>
            <w:r>
              <w:rPr>
                <w:rFonts w:ascii="Times New Roman" w:hAnsi="Times New Roman"/>
                <w:noProof/>
              </w:rPr>
              <w:t>X</w:t>
            </w:r>
            <w:bookmarkEnd w:id="240"/>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41" w:name="_Toc467837847"/>
            <w:r>
              <w:rPr>
                <w:rFonts w:ascii="Times New Roman" w:hAnsi="Times New Roman"/>
                <w:noProof/>
              </w:rPr>
              <w:t>Autriche</w:t>
            </w:r>
            <w:bookmarkEnd w:id="241"/>
          </w:p>
        </w:tc>
        <w:tc>
          <w:tcPr>
            <w:tcW w:w="2050" w:type="dxa"/>
          </w:tcPr>
          <w:p w:rsidR="00C0375A" w:rsidRDefault="00622AF0">
            <w:pPr>
              <w:spacing w:after="0" w:line="240" w:lineRule="auto"/>
              <w:jc w:val="both"/>
              <w:rPr>
                <w:rFonts w:ascii="Times New Roman" w:hAnsi="Times New Roman" w:cs="Times New Roman"/>
                <w:noProof/>
              </w:rPr>
            </w:pPr>
            <w:bookmarkStart w:id="242" w:name="_Toc467837848"/>
            <w:r>
              <w:rPr>
                <w:rFonts w:ascii="Times New Roman" w:hAnsi="Times New Roman"/>
                <w:noProof/>
              </w:rPr>
              <w:t>X</w:t>
            </w:r>
            <w:bookmarkEnd w:id="242"/>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43" w:name="_Toc467837849"/>
            <w:r>
              <w:rPr>
                <w:rFonts w:ascii="Times New Roman" w:hAnsi="Times New Roman"/>
                <w:noProof/>
              </w:rPr>
              <w:t>Pologne</w:t>
            </w:r>
            <w:bookmarkEnd w:id="243"/>
          </w:p>
        </w:tc>
        <w:tc>
          <w:tcPr>
            <w:tcW w:w="2050" w:type="dxa"/>
          </w:tcPr>
          <w:p w:rsidR="00C0375A" w:rsidRDefault="00622AF0">
            <w:pPr>
              <w:spacing w:after="0" w:line="240" w:lineRule="auto"/>
              <w:jc w:val="both"/>
              <w:rPr>
                <w:rFonts w:ascii="Times New Roman" w:hAnsi="Times New Roman" w:cs="Times New Roman"/>
                <w:noProof/>
              </w:rPr>
            </w:pPr>
            <w:bookmarkStart w:id="244" w:name="_Toc467837850"/>
            <w:r>
              <w:rPr>
                <w:rFonts w:ascii="Times New Roman" w:hAnsi="Times New Roman"/>
                <w:noProof/>
              </w:rPr>
              <w:t>X</w:t>
            </w:r>
            <w:bookmarkEnd w:id="244"/>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45" w:name="_Toc467837851"/>
            <w:r>
              <w:rPr>
                <w:rFonts w:ascii="Times New Roman" w:hAnsi="Times New Roman"/>
                <w:noProof/>
              </w:rPr>
              <w:t>Portugal</w:t>
            </w:r>
            <w:bookmarkEnd w:id="245"/>
          </w:p>
        </w:tc>
        <w:tc>
          <w:tcPr>
            <w:tcW w:w="2050" w:type="dxa"/>
          </w:tcPr>
          <w:p w:rsidR="00C0375A" w:rsidRDefault="00622AF0">
            <w:pPr>
              <w:spacing w:after="0" w:line="240" w:lineRule="auto"/>
              <w:jc w:val="both"/>
              <w:rPr>
                <w:rFonts w:ascii="Times New Roman" w:hAnsi="Times New Roman" w:cs="Times New Roman"/>
                <w:noProof/>
              </w:rPr>
            </w:pPr>
            <w:bookmarkStart w:id="246" w:name="_Toc467837852"/>
            <w:r>
              <w:rPr>
                <w:rFonts w:ascii="Times New Roman" w:hAnsi="Times New Roman"/>
                <w:noProof/>
              </w:rPr>
              <w:t>X</w:t>
            </w:r>
            <w:bookmarkEnd w:id="246"/>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47" w:name="_Toc467837853"/>
            <w:r>
              <w:rPr>
                <w:rFonts w:ascii="Times New Roman" w:hAnsi="Times New Roman"/>
                <w:noProof/>
              </w:rPr>
              <w:t>Roumanie</w:t>
            </w:r>
            <w:bookmarkEnd w:id="247"/>
          </w:p>
        </w:tc>
        <w:tc>
          <w:tcPr>
            <w:tcW w:w="2050" w:type="dxa"/>
          </w:tcPr>
          <w:p w:rsidR="00C0375A" w:rsidRDefault="00622AF0">
            <w:pPr>
              <w:spacing w:after="0" w:line="240" w:lineRule="auto"/>
              <w:jc w:val="both"/>
              <w:rPr>
                <w:rFonts w:ascii="Times New Roman" w:hAnsi="Times New Roman" w:cs="Times New Roman"/>
                <w:noProof/>
              </w:rPr>
            </w:pPr>
            <w:bookmarkStart w:id="248" w:name="_Toc467837854"/>
            <w:r>
              <w:rPr>
                <w:rFonts w:ascii="Times New Roman" w:hAnsi="Times New Roman"/>
                <w:noProof/>
              </w:rPr>
              <w:t>X</w:t>
            </w:r>
            <w:bookmarkEnd w:id="248"/>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49" w:name="_Toc467837855"/>
            <w:r>
              <w:rPr>
                <w:rFonts w:ascii="Times New Roman" w:hAnsi="Times New Roman"/>
                <w:noProof/>
              </w:rPr>
              <w:t>Slovénie</w:t>
            </w:r>
            <w:bookmarkEnd w:id="249"/>
          </w:p>
        </w:tc>
        <w:tc>
          <w:tcPr>
            <w:tcW w:w="2050" w:type="dxa"/>
          </w:tcPr>
          <w:p w:rsidR="00C0375A" w:rsidRDefault="00622AF0">
            <w:pPr>
              <w:spacing w:after="0" w:line="240" w:lineRule="auto"/>
              <w:jc w:val="both"/>
              <w:rPr>
                <w:rFonts w:ascii="Times New Roman" w:hAnsi="Times New Roman" w:cs="Times New Roman"/>
                <w:noProof/>
              </w:rPr>
            </w:pPr>
            <w:bookmarkStart w:id="250" w:name="_Toc467837856"/>
            <w:r>
              <w:rPr>
                <w:rFonts w:ascii="Times New Roman" w:hAnsi="Times New Roman"/>
                <w:noProof/>
              </w:rPr>
              <w:t>X</w:t>
            </w:r>
            <w:bookmarkEnd w:id="250"/>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51" w:name="_Toc467837857"/>
            <w:r>
              <w:rPr>
                <w:rFonts w:ascii="Times New Roman" w:hAnsi="Times New Roman"/>
                <w:noProof/>
              </w:rPr>
              <w:t>Slovaquie</w:t>
            </w:r>
            <w:bookmarkEnd w:id="251"/>
          </w:p>
        </w:tc>
        <w:tc>
          <w:tcPr>
            <w:tcW w:w="2050" w:type="dxa"/>
          </w:tcPr>
          <w:p w:rsidR="00C0375A" w:rsidRDefault="00622AF0">
            <w:pPr>
              <w:spacing w:after="0" w:line="240" w:lineRule="auto"/>
              <w:jc w:val="both"/>
              <w:rPr>
                <w:rFonts w:ascii="Times New Roman" w:hAnsi="Times New Roman" w:cs="Times New Roman"/>
                <w:noProof/>
              </w:rPr>
            </w:pPr>
            <w:bookmarkStart w:id="252" w:name="_Toc467837858"/>
            <w:r>
              <w:rPr>
                <w:rFonts w:ascii="Times New Roman" w:hAnsi="Times New Roman"/>
                <w:noProof/>
              </w:rPr>
              <w:t>X</w:t>
            </w:r>
            <w:bookmarkEnd w:id="252"/>
          </w:p>
        </w:tc>
        <w:tc>
          <w:tcPr>
            <w:tcW w:w="3076" w:type="dxa"/>
          </w:tcPr>
          <w:p w:rsidR="00C0375A" w:rsidRDefault="00C0375A">
            <w:pPr>
              <w:spacing w:after="0" w:line="240" w:lineRule="auto"/>
              <w:jc w:val="both"/>
              <w:rPr>
                <w:rFonts w:ascii="Times New Roman" w:hAnsi="Times New Roman" w:cs="Times New Roman"/>
                <w:noProof/>
              </w:rPr>
            </w:pPr>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53" w:name="_Toc467837859"/>
            <w:r>
              <w:rPr>
                <w:rFonts w:ascii="Times New Roman" w:hAnsi="Times New Roman"/>
                <w:noProof/>
              </w:rPr>
              <w:t>Finlande</w:t>
            </w:r>
            <w:bookmarkEnd w:id="253"/>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54" w:name="_Toc467837860"/>
            <w:r>
              <w:rPr>
                <w:rFonts w:ascii="Times New Roman" w:hAnsi="Times New Roman"/>
                <w:noProof/>
              </w:rPr>
              <w:t>X</w:t>
            </w:r>
            <w:bookmarkEnd w:id="254"/>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55" w:name="_Toc467837861"/>
            <w:r>
              <w:rPr>
                <w:rFonts w:ascii="Times New Roman" w:hAnsi="Times New Roman"/>
                <w:noProof/>
              </w:rPr>
              <w:t>Suède</w:t>
            </w:r>
            <w:bookmarkEnd w:id="255"/>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56" w:name="_Toc467837862"/>
            <w:r>
              <w:rPr>
                <w:rFonts w:ascii="Times New Roman" w:hAnsi="Times New Roman"/>
                <w:noProof/>
              </w:rPr>
              <w:t>X</w:t>
            </w:r>
            <w:bookmarkEnd w:id="256"/>
          </w:p>
        </w:tc>
      </w:tr>
      <w:tr w:rsidR="00C0375A">
        <w:tc>
          <w:tcPr>
            <w:tcW w:w="1765" w:type="dxa"/>
          </w:tcPr>
          <w:p w:rsidR="00C0375A" w:rsidRDefault="00622AF0">
            <w:pPr>
              <w:spacing w:after="0" w:line="240" w:lineRule="auto"/>
              <w:jc w:val="both"/>
              <w:rPr>
                <w:rFonts w:ascii="Times New Roman" w:hAnsi="Times New Roman" w:cs="Times New Roman"/>
                <w:noProof/>
              </w:rPr>
            </w:pPr>
            <w:bookmarkStart w:id="257" w:name="_Toc467837863"/>
            <w:r>
              <w:rPr>
                <w:rFonts w:ascii="Times New Roman" w:hAnsi="Times New Roman"/>
                <w:noProof/>
              </w:rPr>
              <w:t>Royaume-Uni</w:t>
            </w:r>
            <w:bookmarkEnd w:id="257"/>
          </w:p>
        </w:tc>
        <w:tc>
          <w:tcPr>
            <w:tcW w:w="2050" w:type="dxa"/>
          </w:tcPr>
          <w:p w:rsidR="00C0375A" w:rsidRDefault="00C0375A">
            <w:pPr>
              <w:spacing w:after="0" w:line="240" w:lineRule="auto"/>
              <w:jc w:val="both"/>
              <w:rPr>
                <w:rFonts w:ascii="Times New Roman" w:hAnsi="Times New Roman" w:cs="Times New Roman"/>
                <w:noProof/>
              </w:rPr>
            </w:pPr>
          </w:p>
        </w:tc>
        <w:tc>
          <w:tcPr>
            <w:tcW w:w="3076" w:type="dxa"/>
          </w:tcPr>
          <w:p w:rsidR="00C0375A" w:rsidRDefault="00622AF0">
            <w:pPr>
              <w:spacing w:after="0" w:line="240" w:lineRule="auto"/>
              <w:jc w:val="both"/>
              <w:rPr>
                <w:rFonts w:ascii="Times New Roman" w:hAnsi="Times New Roman" w:cs="Times New Roman"/>
                <w:noProof/>
              </w:rPr>
            </w:pPr>
            <w:bookmarkStart w:id="258" w:name="_Toc467837864"/>
            <w:r>
              <w:rPr>
                <w:rFonts w:ascii="Times New Roman" w:hAnsi="Times New Roman"/>
                <w:noProof/>
              </w:rPr>
              <w:t>X</w:t>
            </w:r>
            <w:bookmarkEnd w:id="258"/>
          </w:p>
        </w:tc>
      </w:tr>
      <w:tr w:rsidR="00C0375A">
        <w:tc>
          <w:tcPr>
            <w:tcW w:w="1765" w:type="dxa"/>
          </w:tcPr>
          <w:p w:rsidR="00C0375A" w:rsidRDefault="00622AF0">
            <w:pPr>
              <w:spacing w:after="0" w:line="240" w:lineRule="auto"/>
              <w:jc w:val="both"/>
              <w:rPr>
                <w:rFonts w:ascii="Times New Roman" w:hAnsi="Times New Roman" w:cs="Times New Roman"/>
                <w:noProof/>
                <w:sz w:val="24"/>
                <w:szCs w:val="24"/>
              </w:rPr>
            </w:pPr>
            <w:bookmarkStart w:id="259" w:name="_Toc467837865"/>
            <w:r>
              <w:rPr>
                <w:rFonts w:ascii="Times New Roman" w:hAnsi="Times New Roman"/>
                <w:noProof/>
                <w:sz w:val="24"/>
              </w:rPr>
              <w:t>EU-28</w:t>
            </w:r>
            <w:bookmarkEnd w:id="259"/>
          </w:p>
        </w:tc>
        <w:tc>
          <w:tcPr>
            <w:tcW w:w="2050" w:type="dxa"/>
          </w:tcPr>
          <w:p w:rsidR="00C0375A" w:rsidRDefault="00622AF0">
            <w:pPr>
              <w:spacing w:after="0" w:line="240" w:lineRule="auto"/>
              <w:jc w:val="both"/>
              <w:rPr>
                <w:rFonts w:ascii="Times New Roman" w:hAnsi="Times New Roman" w:cs="Times New Roman"/>
                <w:noProof/>
                <w:sz w:val="24"/>
                <w:szCs w:val="24"/>
              </w:rPr>
            </w:pPr>
            <w:bookmarkStart w:id="260" w:name="_Toc467837866"/>
            <w:r>
              <w:rPr>
                <w:rFonts w:ascii="Times New Roman" w:hAnsi="Times New Roman"/>
                <w:noProof/>
                <w:sz w:val="24"/>
              </w:rPr>
              <w:t>18 États membres</w:t>
            </w:r>
            <w:bookmarkEnd w:id="260"/>
          </w:p>
        </w:tc>
        <w:tc>
          <w:tcPr>
            <w:tcW w:w="3076" w:type="dxa"/>
          </w:tcPr>
          <w:p w:rsidR="00C0375A" w:rsidRDefault="00622AF0">
            <w:pPr>
              <w:spacing w:after="0" w:line="240" w:lineRule="auto"/>
              <w:jc w:val="both"/>
              <w:rPr>
                <w:rFonts w:ascii="Times New Roman" w:hAnsi="Times New Roman" w:cs="Times New Roman"/>
                <w:noProof/>
                <w:sz w:val="24"/>
                <w:szCs w:val="24"/>
              </w:rPr>
            </w:pPr>
            <w:bookmarkStart w:id="261" w:name="_Toc467837867"/>
            <w:r>
              <w:rPr>
                <w:rFonts w:ascii="Times New Roman" w:hAnsi="Times New Roman"/>
                <w:noProof/>
                <w:sz w:val="24"/>
              </w:rPr>
              <w:t>10 États membres</w:t>
            </w:r>
            <w:bookmarkEnd w:id="261"/>
          </w:p>
        </w:tc>
      </w:tr>
    </w:tbl>
    <w:p w:rsidR="00C0375A" w:rsidRDefault="00622AF0">
      <w:pPr>
        <w:pStyle w:val="ManualHeading1"/>
        <w:ind w:left="851" w:hanging="851"/>
        <w:rPr>
          <w:rStyle w:val="Heading1Char"/>
          <w:b/>
          <w:noProof/>
          <w:color w:val="auto"/>
        </w:rPr>
      </w:pPr>
      <w:bookmarkStart w:id="262" w:name="_Toc261355721"/>
      <w:bookmarkStart w:id="263" w:name="_Toc466556589"/>
      <w:bookmarkStart w:id="264" w:name="_Toc467836898"/>
      <w:bookmarkStart w:id="265" w:name="_Toc467837239"/>
      <w:bookmarkStart w:id="266" w:name="_Toc467837401"/>
      <w:bookmarkStart w:id="267" w:name="_Toc467837868"/>
      <w:r>
        <w:rPr>
          <w:rStyle w:val="Heading1Char"/>
          <w:b/>
          <w:noProof/>
          <w:color w:val="auto"/>
        </w:rPr>
        <w:t>6.</w:t>
      </w:r>
      <w:r>
        <w:rPr>
          <w:noProof/>
        </w:rPr>
        <w:tab/>
      </w:r>
      <w:r>
        <w:rPr>
          <w:rStyle w:val="Heading1Char"/>
          <w:b/>
          <w:noProof/>
          <w:color w:val="auto"/>
        </w:rPr>
        <w:t>CONCLUSION</w:t>
      </w:r>
      <w:bookmarkEnd w:id="262"/>
      <w:bookmarkEnd w:id="263"/>
      <w:bookmarkEnd w:id="264"/>
      <w:bookmarkEnd w:id="265"/>
      <w:bookmarkEnd w:id="266"/>
      <w:bookmarkEnd w:id="267"/>
    </w:p>
    <w:p w:rsidR="00C0375A" w:rsidRDefault="00622AF0">
      <w:pPr>
        <w:jc w:val="both"/>
        <w:rPr>
          <w:rFonts w:ascii="Times New Roman" w:hAnsi="Times New Roman" w:cs="Times New Roman"/>
          <w:noProof/>
          <w:sz w:val="24"/>
          <w:szCs w:val="24"/>
        </w:rPr>
      </w:pPr>
      <w:bookmarkStart w:id="268" w:name="_Toc467837869"/>
      <w:r>
        <w:rPr>
          <w:rFonts w:ascii="Times New Roman" w:hAnsi="Times New Roman"/>
          <w:noProof/>
          <w:sz w:val="24"/>
        </w:rPr>
        <w:t>La réforme de la PAC menée en 2013 a permis d’améliorer la</w:t>
      </w:r>
      <w:r>
        <w:rPr>
          <w:rFonts w:ascii="Times New Roman" w:hAnsi="Times New Roman"/>
          <w:noProof/>
          <w:sz w:val="24"/>
        </w:rPr>
        <w:t xml:space="preserve"> base juridique sous-tendant l’aide apportée au secteur de l’apiculture dans l’UE par l’intermédiaire des programmes apicoles nationaux. Les mesures éligibles ont été adaptées à l’évolution des besoins du secteur et les méthodes d’affectation des fonds de </w:t>
      </w:r>
      <w:r>
        <w:rPr>
          <w:rFonts w:ascii="Times New Roman" w:hAnsi="Times New Roman"/>
          <w:noProof/>
          <w:sz w:val="24"/>
        </w:rPr>
        <w:t xml:space="preserve">l’UE aux États membres sur la base du nombre de ruches présentes sur leur territoire ont été harmonisées. Les premiers effets tangibles de la réforme seront visibles dès la mise en œuvre des programmes apicoles 2017-2019, qui a débuté en août 2016. Aucune </w:t>
      </w:r>
      <w:r>
        <w:rPr>
          <w:rFonts w:ascii="Times New Roman" w:hAnsi="Times New Roman"/>
          <w:noProof/>
          <w:sz w:val="24"/>
        </w:rPr>
        <w:t>autre proposition juridique n’est jointe à ce rapport.</w:t>
      </w:r>
      <w:bookmarkEnd w:id="268"/>
    </w:p>
    <w:p w:rsidR="00C0375A" w:rsidRDefault="00622AF0">
      <w:pPr>
        <w:jc w:val="both"/>
        <w:rPr>
          <w:rFonts w:ascii="Times New Roman" w:hAnsi="Times New Roman" w:cs="Times New Roman"/>
          <w:noProof/>
          <w:sz w:val="24"/>
          <w:szCs w:val="24"/>
        </w:rPr>
      </w:pPr>
      <w:bookmarkStart w:id="269" w:name="_Toc467837870"/>
      <w:r>
        <w:rPr>
          <w:rFonts w:ascii="Times New Roman" w:hAnsi="Times New Roman"/>
          <w:noProof/>
          <w:sz w:val="24"/>
        </w:rPr>
        <w:t xml:space="preserve">Sur la base des constatations factuelles du présent rapport, qui montrent que tous les États membres ont mis en œuvre des programmes apicoles nationaux et que plus de 90 % des fonds de l’Union alloués </w:t>
      </w:r>
      <w:r>
        <w:rPr>
          <w:rFonts w:ascii="Times New Roman" w:hAnsi="Times New Roman"/>
          <w:noProof/>
          <w:sz w:val="24"/>
        </w:rPr>
        <w:t>ont été utilisés, on peut conclure que les mesures de marché mises en place par l’UE en faveur du secteur de l’apiculture sont efficaces. Le prochain rapport, attendu dans trois ans, sera l’occasion d’évaluer l’effet des nouvelles dispositions réglementair</w:t>
      </w:r>
      <w:r>
        <w:rPr>
          <w:rFonts w:ascii="Times New Roman" w:hAnsi="Times New Roman"/>
          <w:noProof/>
          <w:sz w:val="24"/>
        </w:rPr>
        <w:t>es introduites par la réforme de la PAC menée en 2013.</w:t>
      </w:r>
      <w:bookmarkEnd w:id="269"/>
    </w:p>
    <w:sectPr w:rsidR="00C0375A">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5A" w:rsidRDefault="00622AF0">
      <w:pPr>
        <w:spacing w:after="0" w:line="240" w:lineRule="auto"/>
      </w:pPr>
      <w:r>
        <w:separator/>
      </w:r>
    </w:p>
  </w:endnote>
  <w:endnote w:type="continuationSeparator" w:id="0">
    <w:p w:rsidR="00C0375A" w:rsidRDefault="0062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622AF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46154"/>
      <w:docPartObj>
        <w:docPartGallery w:val="Page Numbers (Bottom of Page)"/>
        <w:docPartUnique/>
      </w:docPartObj>
    </w:sdtPr>
    <w:sdtEndPr>
      <w:rPr>
        <w:noProof/>
      </w:rPr>
    </w:sdtEndPr>
    <w:sdtContent>
      <w:p w:rsidR="00C0375A" w:rsidRDefault="00622A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375A" w:rsidRDefault="00C0375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21010"/>
      <w:docPartObj>
        <w:docPartGallery w:val="Page Numbers (Bottom of Page)"/>
        <w:docPartUnique/>
      </w:docPartObj>
    </w:sdtPr>
    <w:sdtEndPr>
      <w:rPr>
        <w:noProof/>
      </w:rPr>
    </w:sdtEndPr>
    <w:sdtContent>
      <w:p w:rsidR="00C0375A" w:rsidRDefault="00622AF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C0375A" w:rsidRDefault="00C0375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5A" w:rsidRDefault="00622AF0">
      <w:pPr>
        <w:spacing w:after="0" w:line="240" w:lineRule="auto"/>
      </w:pPr>
      <w:r>
        <w:separator/>
      </w:r>
    </w:p>
  </w:footnote>
  <w:footnote w:type="continuationSeparator" w:id="0">
    <w:p w:rsidR="00C0375A" w:rsidRDefault="00622AF0">
      <w:pPr>
        <w:spacing w:after="0" w:line="240" w:lineRule="auto"/>
      </w:pPr>
      <w:r>
        <w:continuationSeparator/>
      </w:r>
    </w:p>
  </w:footnote>
  <w:footnote w:id="1">
    <w:p w:rsidR="00C0375A" w:rsidRDefault="00622AF0">
      <w:pPr>
        <w:pStyle w:val="FootnoteText"/>
      </w:pPr>
      <w:r>
        <w:rPr>
          <w:rStyle w:val="FootnoteReference"/>
        </w:rPr>
        <w:footnoteRef/>
      </w:r>
      <w:r>
        <w:tab/>
        <w:t>Règlement (CE) nº 1221/97 du Conseil du 25 juin 1997 portant règles générales d’application pour les actions visant à l’amélioration de la production et de la</w:t>
      </w:r>
      <w:r>
        <w:t xml:space="preserve"> commercialisation du miel, JO L 173 du 1.7.97, p. 1.</w:t>
      </w:r>
    </w:p>
  </w:footnote>
  <w:footnote w:id="2">
    <w:p w:rsidR="00C0375A" w:rsidRDefault="00622AF0">
      <w:pPr>
        <w:pStyle w:val="FootnoteText"/>
        <w:rPr>
          <w:szCs w:val="24"/>
        </w:rPr>
      </w:pPr>
      <w:r>
        <w:rPr>
          <w:rStyle w:val="FootnoteReference"/>
        </w:rPr>
        <w:footnoteRef/>
      </w:r>
      <w:r>
        <w:tab/>
        <w:t>JO L 347 du 20.12.2013, p. 671.</w:t>
      </w:r>
    </w:p>
  </w:footnote>
  <w:footnote w:id="3">
    <w:p w:rsidR="00C0375A" w:rsidRDefault="00622AF0">
      <w:pPr>
        <w:pStyle w:val="FootnoteText"/>
      </w:pPr>
      <w:r>
        <w:rPr>
          <w:rStyle w:val="FootnoteReference"/>
        </w:rPr>
        <w:footnoteRef/>
      </w:r>
      <w:r>
        <w:tab/>
        <w:t>Les campagnes apicoles 2013, 2014, et 2015 correspondent respectivement aux périodes de douze mois s’étendant du 1</w:t>
      </w:r>
      <w:r>
        <w:rPr>
          <w:vertAlign w:val="superscript"/>
        </w:rPr>
        <w:t>er</w:t>
      </w:r>
      <w:r>
        <w:t> septembre 2012 au 31 août 2013, du 1</w:t>
      </w:r>
      <w:r>
        <w:rPr>
          <w:vertAlign w:val="superscript"/>
        </w:rPr>
        <w:t>er</w:t>
      </w:r>
      <w:r>
        <w:t> septembre 2013 au 31 août 2014 et du 1</w:t>
      </w:r>
      <w:r>
        <w:rPr>
          <w:vertAlign w:val="superscript"/>
        </w:rPr>
        <w:t>er</w:t>
      </w:r>
      <w:r>
        <w:t> septembre 2014 au 31 août 2015.</w:t>
      </w:r>
    </w:p>
  </w:footnote>
  <w:footnote w:id="4">
    <w:p w:rsidR="00C0375A" w:rsidRDefault="00622AF0">
      <w:pPr>
        <w:pStyle w:val="FootnoteText"/>
      </w:pPr>
      <w:r>
        <w:rPr>
          <w:rStyle w:val="FootnoteReference"/>
        </w:rPr>
        <w:footnoteRef/>
      </w:r>
      <w:r>
        <w:tab/>
        <w:t>Le rapport précédent a été publié le 16 août 2013 [COM(2013) 593 final].</w:t>
      </w:r>
    </w:p>
  </w:footnote>
  <w:footnote w:id="5">
    <w:p w:rsidR="00C0375A" w:rsidRDefault="00622AF0">
      <w:pPr>
        <w:pStyle w:val="FootnoteText"/>
      </w:pPr>
      <w:r>
        <w:rPr>
          <w:rStyle w:val="FootnoteReference"/>
        </w:rPr>
        <w:footnoteRef/>
      </w:r>
      <w:r>
        <w:tab/>
        <w:t>JO L 299 du 16.11.2007, p. 1.</w:t>
      </w:r>
    </w:p>
  </w:footnote>
  <w:footnote w:id="6">
    <w:p w:rsidR="00C0375A" w:rsidRDefault="00622AF0">
      <w:pPr>
        <w:pStyle w:val="FootnoteText"/>
      </w:pPr>
      <w:r>
        <w:rPr>
          <w:rStyle w:val="FootnoteReference"/>
        </w:rPr>
        <w:footnoteRef/>
      </w:r>
      <w:r>
        <w:tab/>
        <w:t>Telles que notifiées par les États membres à la Commission conformément à</w:t>
      </w:r>
      <w:r>
        <w:t xml:space="preserve"> l’article 6 du règlement (CE) nº 917/2004 de la Commission du 29 avril 2004 portant modalités d’application du règlement (CE) nº 797/2004 du Conseil relatif aux actions visant à améliorer les conditions de la production et de la commercialisation des prod</w:t>
      </w:r>
      <w:r>
        <w:t>uits de l’apiculture, JO L 163 du 30.4.2004, p. 83.</w:t>
      </w:r>
    </w:p>
  </w:footnote>
  <w:footnote w:id="7">
    <w:p w:rsidR="00C0375A" w:rsidRDefault="00622AF0">
      <w:pPr>
        <w:pStyle w:val="FootnoteText"/>
      </w:pPr>
      <w:r>
        <w:rPr>
          <w:rStyle w:val="FootnoteReference"/>
        </w:rPr>
        <w:footnoteRef/>
      </w:r>
      <w:r>
        <w:tab/>
      </w:r>
      <w:hyperlink r:id="rId1">
        <w:r>
          <w:rPr>
            <w:rStyle w:val="Hyperlink"/>
          </w:rPr>
          <w:t>http://ec.europa.eu/agriculture/honey/index_en.htm</w:t>
        </w:r>
      </w:hyperlink>
    </w:p>
    <w:p w:rsidR="00C0375A" w:rsidRDefault="00C0375A">
      <w:pPr>
        <w:pStyle w:val="FootnoteText"/>
      </w:pPr>
    </w:p>
  </w:footnote>
  <w:footnote w:id="8">
    <w:p w:rsidR="00C0375A" w:rsidRDefault="00622AF0">
      <w:pPr>
        <w:pStyle w:val="FootnoteText"/>
      </w:pPr>
      <w:r>
        <w:rPr>
          <w:rStyle w:val="FootnoteReference"/>
        </w:rPr>
        <w:footnoteRef/>
      </w:r>
      <w:r>
        <w:tab/>
        <w:t xml:space="preserve">Taux d’autoapprovisionnement = rapport entre la production intérieure de miel </w:t>
      </w:r>
      <w:r>
        <w:t>et la consommation totale de miel</w:t>
      </w:r>
    </w:p>
    <w:p w:rsidR="00C0375A" w:rsidRDefault="00622AF0">
      <w:pPr>
        <w:pStyle w:val="FootnoteText"/>
        <w:ind w:firstLine="0"/>
      </w:pPr>
      <w:r>
        <w:t>= Production de l’UE sur une année divisée par (Importations de l’UE sur une année + Production de l’UE sur une année – Exportations de l’UE sur une année)</w:t>
      </w:r>
    </w:p>
  </w:footnote>
  <w:footnote w:id="9">
    <w:p w:rsidR="00C0375A" w:rsidRDefault="00622AF0">
      <w:pPr>
        <w:pStyle w:val="FootnoteText"/>
      </w:pPr>
      <w:r>
        <w:rPr>
          <w:rStyle w:val="FootnoteReference"/>
        </w:rPr>
        <w:footnoteRef/>
      </w:r>
      <w:r>
        <w:tab/>
        <w:t>JO L 163 du 30.4.2004, p. 83.</w:t>
      </w:r>
    </w:p>
  </w:footnote>
  <w:footnote w:id="10">
    <w:p w:rsidR="00C0375A" w:rsidRDefault="00622AF0">
      <w:pPr>
        <w:pStyle w:val="FootnoteText"/>
      </w:pPr>
      <w:r>
        <w:rPr>
          <w:rStyle w:val="FootnoteReference"/>
        </w:rPr>
        <w:footnoteRef/>
      </w:r>
      <w:r>
        <w:tab/>
        <w:t>JO L 10 du 12.1.2002, p. 47.</w:t>
      </w:r>
    </w:p>
  </w:footnote>
  <w:footnote w:id="11">
    <w:p w:rsidR="00C0375A" w:rsidRDefault="00622AF0">
      <w:pPr>
        <w:pStyle w:val="FootnoteText"/>
      </w:pPr>
      <w:r>
        <w:rPr>
          <w:rStyle w:val="FootnoteReference"/>
        </w:rPr>
        <w:footnoteRef/>
      </w:r>
      <w:r>
        <w:tab/>
        <w:t>2</w:t>
      </w:r>
      <w:r>
        <w:t>7 États membres avaient élaboré un programme apicole national pour 2011-2013. À la suite de l’adhésion de la Croatie à l’Union européenne le 1</w:t>
      </w:r>
      <w:r>
        <w:rPr>
          <w:vertAlign w:val="superscript"/>
        </w:rPr>
        <w:t>er</w:t>
      </w:r>
      <w:r>
        <w:t> juillet 2013, 28 États membres avaient élaboré un programme apicole national pour 2014-2016.</w:t>
      </w:r>
    </w:p>
    <w:p w:rsidR="00C0375A" w:rsidRDefault="00C0375A">
      <w:pPr>
        <w:pStyle w:val="FootnoteText"/>
      </w:pPr>
    </w:p>
  </w:footnote>
  <w:footnote w:id="12">
    <w:p w:rsidR="00C0375A" w:rsidRDefault="00622AF0">
      <w:pPr>
        <w:pStyle w:val="FootnoteText"/>
      </w:pPr>
      <w:r>
        <w:rPr>
          <w:rStyle w:val="FootnoteReference"/>
        </w:rPr>
        <w:footnoteRef/>
      </w:r>
      <w:r>
        <w:tab/>
        <w:t>Pour les progra</w:t>
      </w:r>
      <w:r>
        <w:t>mmes 2014-2016, voir le règlement d’exécution (UE) nº 768/2013 de la Commission modifiant le règlement (CE) nº 917/2004 portant modalités d’application du règlement (CE) nº 797/2004 du Conseil relatif aux actions visant à améliorer les conditions de la pro</w:t>
      </w:r>
      <w:r>
        <w:t>duction et de la commercialisation des produits de l’apiculture, JO L 214 du 9.8.2013, p. 7.</w:t>
      </w:r>
    </w:p>
    <w:p w:rsidR="00C0375A" w:rsidRDefault="00622AF0">
      <w:pPr>
        <w:pStyle w:val="FootnoteText"/>
        <w:ind w:firstLine="0"/>
      </w:pPr>
      <w:r>
        <w:t>Pour les programmes 2011-2013, voir le règlement (UE) nº 726/2010 de la Commission du 12 août 2010 modifiant le règlement (CE) nº 917/2004 portant modalités d’appl</w:t>
      </w:r>
      <w:r>
        <w:t>ication du règlement (CE) nº 797/2004 du Conseil relatif aux actions visant à améliorer les conditions de la production et de la commercialisation des produits de l’apiculture, JO L 213 du 13.8.2010, p. 29.</w:t>
      </w:r>
    </w:p>
  </w:footnote>
  <w:footnote w:id="13">
    <w:p w:rsidR="00C0375A" w:rsidRDefault="00622AF0">
      <w:pPr>
        <w:pStyle w:val="FootnoteText"/>
      </w:pPr>
      <w:r>
        <w:rPr>
          <w:rStyle w:val="FootnoteReference"/>
        </w:rPr>
        <w:footnoteRef/>
      </w:r>
      <w:r>
        <w:t xml:space="preserve"> JO L 211 du 8.8.2015, p. 3.</w:t>
      </w:r>
    </w:p>
  </w:footnote>
  <w:footnote w:id="14">
    <w:p w:rsidR="00C0375A" w:rsidRDefault="00622AF0">
      <w:pPr>
        <w:pStyle w:val="FootnoteText"/>
      </w:pPr>
      <w:r>
        <w:rPr>
          <w:rStyle w:val="FootnoteReference"/>
        </w:rPr>
        <w:footnoteRef/>
      </w:r>
      <w:r>
        <w:t xml:space="preserve"> JO L 211 du 8.8.2</w:t>
      </w:r>
      <w:r>
        <w:t>015, p. 9.</w:t>
      </w:r>
    </w:p>
  </w:footnote>
  <w:footnote w:id="15">
    <w:p w:rsidR="00C0375A" w:rsidRDefault="00622AF0">
      <w:pPr>
        <w:pStyle w:val="FootnoteText"/>
      </w:pPr>
      <w:r>
        <w:rPr>
          <w:rStyle w:val="FootnoteReference"/>
        </w:rPr>
        <w:footnoteRef/>
      </w:r>
      <w:r>
        <w:t xml:space="preserve"> </w:t>
      </w:r>
      <w:hyperlink r:id="rId2">
        <w:r>
          <w:rPr>
            <w:rStyle w:val="Hyperlink"/>
          </w:rPr>
          <w:t>http://presse.inra.fr/Ressources/Communiques-de-presse/expansion-fulgurante-du-frelon-asiatique</w:t>
        </w:r>
      </w:hyperlink>
    </w:p>
    <w:p w:rsidR="00C0375A" w:rsidRDefault="00C0375A">
      <w:pPr>
        <w:pStyle w:val="FootnoteText"/>
      </w:pPr>
    </w:p>
  </w:footnote>
  <w:footnote w:id="16">
    <w:p w:rsidR="00C0375A" w:rsidRDefault="00622AF0">
      <w:pPr>
        <w:pStyle w:val="FootnoteText"/>
      </w:pPr>
      <w:r>
        <w:rPr>
          <w:rStyle w:val="FootnoteReference"/>
        </w:rPr>
        <w:footnoteRef/>
      </w:r>
      <w:r>
        <w:t xml:space="preserve"> </w:t>
      </w:r>
      <w:hyperlink r:id="rId3">
        <w:r>
          <w:rPr>
            <w:rStyle w:val="Hyperlink"/>
          </w:rPr>
          <w:t>http://ec.europa.eu/food/animals/live_animals/bees/small_hive_beetle_outbreaks/index_en.htm</w:t>
        </w:r>
      </w:hyperlink>
    </w:p>
    <w:p w:rsidR="00C0375A" w:rsidRDefault="00C0375A">
      <w:pPr>
        <w:pStyle w:val="FootnoteText"/>
      </w:pPr>
    </w:p>
  </w:footnote>
  <w:footnote w:id="17">
    <w:p w:rsidR="00C0375A" w:rsidRDefault="00622AF0">
      <w:pPr>
        <w:pStyle w:val="FootnoteText"/>
      </w:pPr>
      <w:r>
        <w:rPr>
          <w:rStyle w:val="FootnoteReference"/>
        </w:rPr>
        <w:footnoteRef/>
      </w:r>
      <w:r>
        <w:tab/>
        <w:t>Les produits de l’apiculture couverts par les programmes apicoles sont énumérés</w:t>
      </w:r>
      <w:r>
        <w:t xml:space="preserve"> à la partie XXII de l’annexe I du règlement (UE) nº 1308/2013. Il s’agit du miel, de la gelée royale, de la propolis et de la cire d’abeille.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5A" w:rsidRDefault="00C03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804DAFECBD4E12A816AA0182D96113"/>
    <w:docVar w:name="LW_CROSSREFERENCE" w:val="&lt;UNUSED&gt;"/>
    <w:docVar w:name="LW_DocType" w:val="NORMAL"/>
    <w:docVar w:name="LW_EMISSION" w:val="7.12.2016"/>
    <w:docVar w:name="LW_EMISSION_ISODATE" w:val="2016-12-0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76"/>
    <w:docVar w:name="LW_REF.INTERNE" w:val="&lt;UNUSED&gt;"/>
    <w:docVar w:name="LW_SOUS.TITRE.OBJ.CP" w:val="&lt;UNUSED&gt;"/>
    <w:docVar w:name="LW_SUPERTITRE" w:val="&lt;UNUSED&gt;"/>
    <w:docVar w:name="LW_TITRE.OBJ.CP" w:val="concernant la mise en \u339?uvre des mesures relatives au secteur de l'apiculture du règlement (UE) n° 1308/2013 du Parlement européen et du Conseil portant organisation commune des marchés des produits agricoles"/>
    <w:docVar w:name="LW_TYPE.DOC.CP" w:val="RAPPORT DE LA COMMISSION AU PARLEMENT EUROPÉEN ET AU CONSEIL"/>
  </w:docVars>
  <w:rsids>
    <w:rsidRoot w:val="00C0375A"/>
    <w:rsid w:val="00622AF0"/>
    <w:rsid w:val="00C03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autoRedefine/>
    <w:uiPriority w:val="39"/>
    <w:unhideWhenUsed/>
    <w:pPr>
      <w:tabs>
        <w:tab w:val="right" w:leader="dot" w:pos="9071"/>
      </w:tabs>
      <w:spacing w:before="300" w:after="12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autoRedefine/>
    <w:uiPriority w:val="39"/>
    <w:unhideWhenUsed/>
    <w:pPr>
      <w:tabs>
        <w:tab w:val="right" w:leader="dot" w:pos="9071"/>
      </w:tabs>
      <w:spacing w:before="300" w:after="12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animals/live_animals/bees/small_hive_beetle_outbreaks/index_en.htm" TargetMode="External"/><Relationship Id="rId2" Type="http://schemas.openxmlformats.org/officeDocument/2006/relationships/hyperlink" Target="http://presse.inra.fr/Ressources/Communiques-de-presse/expansion-fulgurante-du-frelon-asiatique" TargetMode="External"/><Relationship Id="rId1" Type="http://schemas.openxmlformats.org/officeDocument/2006/relationships/hyperlink" Target="http://ec.europa.eu/agriculture/hone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B94F-64DF-4F98-8BAE-3D3F24DB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17</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31</cp:revision>
  <cp:lastPrinted>2016-11-10T13:15:00Z</cp:lastPrinted>
  <dcterms:created xsi:type="dcterms:W3CDTF">2016-11-08T14:24:00Z</dcterms:created>
  <dcterms:modified xsi:type="dcterms:W3CDTF">2016-11-28T14:19:00Z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