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41" w:rsidRDefault="00FB6719" w:rsidP="00FB6719">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F7F903CE7444524ADAEF7A1C8A615A7" style="width:450.6pt;height:377.4pt">
            <v:imagedata r:id="rId9" o:title=""/>
          </v:shape>
        </w:pict>
      </w:r>
    </w:p>
    <w:bookmarkEnd w:id="0"/>
    <w:p w:rsidR="00A5268D" w:rsidRDefault="00A5268D" w:rsidP="00A5268D">
      <w:pPr>
        <w:sectPr w:rsidR="00A5268D" w:rsidSect="00FB671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10506" w:type="dxa"/>
        <w:jc w:val="center"/>
        <w:tblInd w:w="-318" w:type="dxa"/>
        <w:tblLook w:val="01E0" w:firstRow="1" w:lastRow="1" w:firstColumn="1" w:lastColumn="1" w:noHBand="0" w:noVBand="0"/>
      </w:tblPr>
      <w:tblGrid>
        <w:gridCol w:w="318"/>
        <w:gridCol w:w="9747"/>
        <w:gridCol w:w="441"/>
      </w:tblGrid>
      <w:tr w:rsidR="003331EA" w:rsidTr="003331EA">
        <w:trPr>
          <w:gridBefore w:val="1"/>
          <w:wBefore w:w="318" w:type="dxa"/>
          <w:jc w:val="center"/>
        </w:trPr>
        <w:tc>
          <w:tcPr>
            <w:tcW w:w="10188" w:type="dxa"/>
            <w:gridSpan w:val="2"/>
            <w:tcBorders>
              <w:bottom w:val="single" w:sz="4" w:space="0" w:color="auto"/>
            </w:tcBorders>
            <w:shd w:val="clear" w:color="auto" w:fill="CCCCCC"/>
          </w:tcPr>
          <w:p w:rsidR="003331EA" w:rsidRPr="00C22EC4" w:rsidRDefault="003331EA" w:rsidP="00D04C04">
            <w:pPr>
              <w:spacing w:before="60" w:after="60"/>
              <w:jc w:val="center"/>
              <w:rPr>
                <w:rFonts w:ascii="Tahoma" w:hAnsi="Tahoma" w:cs="Tahoma"/>
                <w:b/>
                <w:sz w:val="22"/>
                <w:szCs w:val="22"/>
              </w:rPr>
            </w:pPr>
            <w:bookmarkStart w:id="1" w:name="_GoBack"/>
            <w:bookmarkEnd w:id="1"/>
            <w:r>
              <w:rPr>
                <w:rFonts w:ascii="Tahoma" w:hAnsi="Tahoma"/>
                <w:b/>
                <w:sz w:val="22"/>
              </w:rPr>
              <w:lastRenderedPageBreak/>
              <w:t>Обобщена оценка на въздействието</w:t>
            </w:r>
          </w:p>
        </w:tc>
      </w:tr>
      <w:tr w:rsidR="003331EA" w:rsidRPr="001B2DAE" w:rsidTr="003331EA">
        <w:trPr>
          <w:gridBefore w:val="1"/>
          <w:wBefore w:w="318" w:type="dxa"/>
          <w:jc w:val="center"/>
        </w:trPr>
        <w:tc>
          <w:tcPr>
            <w:tcW w:w="10188"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rsidR="003331EA" w:rsidRPr="00C22EC4" w:rsidRDefault="003331EA" w:rsidP="00857467">
            <w:pPr>
              <w:spacing w:before="120" w:after="120"/>
              <w:jc w:val="both"/>
              <w:rPr>
                <w:rFonts w:ascii="Tahoma" w:hAnsi="Tahoma" w:cs="Tahoma"/>
                <w:sz w:val="20"/>
                <w:szCs w:val="20"/>
              </w:rPr>
            </w:pPr>
            <w:r>
              <w:rPr>
                <w:rFonts w:ascii="Tahoma" w:hAnsi="Tahoma"/>
                <w:color w:val="FFFFFF" w:themeColor="background1"/>
                <w:sz w:val="20"/>
              </w:rPr>
              <w:t xml:space="preserve">Оценка на въздействието към предложение за Директива на Европейския парламент и на Съвета за изменение на Директива 2012/27/ЕС относно енергийната ефективност </w:t>
            </w:r>
          </w:p>
        </w:tc>
      </w:tr>
      <w:tr w:rsidR="003331EA" w:rsidRPr="001239CB" w:rsidTr="003331EA">
        <w:trPr>
          <w:gridBefore w:val="1"/>
          <w:wBefore w:w="318" w:type="dxa"/>
          <w:jc w:val="center"/>
        </w:trPr>
        <w:tc>
          <w:tcPr>
            <w:tcW w:w="10188" w:type="dxa"/>
            <w:gridSpan w:val="2"/>
            <w:tcBorders>
              <w:bottom w:val="single" w:sz="4" w:space="0" w:color="auto"/>
            </w:tcBorders>
            <w:shd w:val="clear" w:color="auto" w:fill="CCCCCC"/>
          </w:tcPr>
          <w:p w:rsidR="003331EA" w:rsidRPr="00B72557" w:rsidRDefault="003331EA" w:rsidP="00D04C04">
            <w:pPr>
              <w:spacing w:before="60" w:after="60"/>
              <w:jc w:val="center"/>
              <w:rPr>
                <w:rFonts w:ascii="Tahoma" w:hAnsi="Tahoma" w:cs="Tahoma"/>
                <w:b/>
                <w:sz w:val="22"/>
                <w:szCs w:val="22"/>
              </w:rPr>
            </w:pPr>
            <w:r>
              <w:rPr>
                <w:rFonts w:ascii="Tahoma" w:hAnsi="Tahoma"/>
                <w:b/>
                <w:sz w:val="22"/>
              </w:rPr>
              <w:t>A. Потребност от действия</w:t>
            </w:r>
          </w:p>
        </w:tc>
      </w:tr>
      <w:tr w:rsidR="003331EA" w:rsidRPr="00501394" w:rsidTr="003331EA">
        <w:trPr>
          <w:gridBefore w:val="1"/>
          <w:wBefore w:w="318" w:type="dxa"/>
          <w:jc w:val="center"/>
        </w:trPr>
        <w:tc>
          <w:tcPr>
            <w:tcW w:w="10188" w:type="dxa"/>
            <w:gridSpan w:val="2"/>
            <w:tcBorders>
              <w:bottom w:val="single" w:sz="4" w:space="0" w:color="auto"/>
            </w:tcBorders>
            <w:shd w:val="clear" w:color="auto" w:fill="E0E0E0"/>
          </w:tcPr>
          <w:p w:rsidR="003331EA" w:rsidRPr="00CD4871" w:rsidRDefault="003331EA" w:rsidP="00CC2027">
            <w:pPr>
              <w:spacing w:before="60" w:after="60"/>
              <w:jc w:val="both"/>
              <w:rPr>
                <w:rFonts w:ascii="Tahoma" w:hAnsi="Tahoma" w:cs="Tahoma"/>
                <w:sz w:val="20"/>
                <w:szCs w:val="20"/>
              </w:rPr>
            </w:pPr>
            <w:r>
              <w:rPr>
                <w:rFonts w:ascii="Tahoma" w:hAnsi="Tahoma"/>
                <w:b/>
                <w:sz w:val="20"/>
              </w:rPr>
              <w:t xml:space="preserve">Защо? Какъв е разглежданият проблем? </w:t>
            </w:r>
          </w:p>
        </w:tc>
      </w:tr>
      <w:tr w:rsidR="003331EA" w:rsidRPr="00555298" w:rsidTr="00576F55">
        <w:trPr>
          <w:gridBefore w:val="1"/>
          <w:wBefore w:w="318" w:type="dxa"/>
          <w:trHeight w:val="4093"/>
          <w:jc w:val="center"/>
        </w:trPr>
        <w:tc>
          <w:tcPr>
            <w:tcW w:w="10188" w:type="dxa"/>
            <w:gridSpan w:val="2"/>
            <w:tcBorders>
              <w:bottom w:val="single" w:sz="4" w:space="0" w:color="auto"/>
            </w:tcBorders>
            <w:shd w:val="clear" w:color="auto" w:fill="auto"/>
          </w:tcPr>
          <w:p w:rsidR="00B01D5F" w:rsidRDefault="00B01D5F" w:rsidP="00B8219C">
            <w:pPr>
              <w:jc w:val="both"/>
            </w:pPr>
            <w:r>
              <w:t>Във връзка със съответните политически ориентации (изразени от Европейския съвет през октомври 2014 г. и от Европейския парламент през декември 2015 г.) е необходимо нормативната уредба на ЕС да бъде адаптирана към перспектива за 2030 г. и да способства за реализиране чрез енергийна ефективност на икономиите на енергия, необходими за постигане на съответните цели на ЕС за 2020 г. и 2030 г.</w:t>
            </w:r>
          </w:p>
          <w:p w:rsidR="003331EA" w:rsidRDefault="003331EA" w:rsidP="00B8219C">
            <w:pPr>
              <w:jc w:val="both"/>
              <w:rPr>
                <w:rFonts w:ascii="Arial" w:hAnsi="Arial" w:cs="Arial"/>
                <w:sz w:val="20"/>
                <w:szCs w:val="20"/>
              </w:rPr>
            </w:pPr>
          </w:p>
          <w:p w:rsidR="003331EA" w:rsidRPr="000525B2" w:rsidRDefault="00B8219C" w:rsidP="00B8219C">
            <w:pPr>
              <w:jc w:val="both"/>
            </w:pPr>
            <w:r>
              <w:t>Основните проблеми, разгледани в настоящата оценка на въздействието, са че в Директива 2012/27/ЕС относно енергийната ефективност („ДЕЕ“) не е посочено ниво на амбициозност по отношение на енергийната ефективност през 2030 г., не е дефиниран характерът на целите (обвързващи или индикативни), както и фактът че при сегашните разпоредби в член 7 (по отношение на задълженията за енергийна ефективност) и в членове 9 —</w:t>
            </w:r>
            <w:r w:rsidR="00436403">
              <w:t> </w:t>
            </w:r>
            <w:r>
              <w:t>11 (измерване и фактуриране) няма да бъдат реализирани значително количество икономически ефективни енергоспестявания. Това е неблагоприятно за всички граждани на ЕС, които ще имат по-малки ползи във връзка със сигурността на енергийните доставки, околната среда, намаляването на разходите за домакинствата и фирмите, работната заетост, икономическия растеж, иновациите и подобряването на здравеопазването. Отсъствието на дългосрочна цел намалява също увереността на инвеститорите при финансиране в проекти за енергийна ефективност.</w:t>
            </w:r>
          </w:p>
          <w:p w:rsidR="003331EA" w:rsidRDefault="003331EA" w:rsidP="00B8219C">
            <w:pPr>
              <w:jc w:val="both"/>
              <w:rPr>
                <w:rFonts w:ascii="Arial" w:hAnsi="Arial" w:cs="Arial"/>
                <w:sz w:val="20"/>
                <w:szCs w:val="20"/>
              </w:rPr>
            </w:pPr>
          </w:p>
          <w:p w:rsidR="003331EA" w:rsidRDefault="003331EA" w:rsidP="00DD2E67">
            <w:pPr>
              <w:jc w:val="both"/>
              <w:rPr>
                <w:rFonts w:ascii="Arial" w:hAnsi="Arial" w:cs="Arial"/>
                <w:sz w:val="20"/>
                <w:szCs w:val="20"/>
              </w:rPr>
            </w:pPr>
            <w:r>
              <w:t xml:space="preserve">Основните констатирани причини, поради които е необходимо изменение, са краткосрочността на перспективата (действието на член 7 изтича в края на 2020 г.) и необходимостта да бъде отразен техническият прогрес в областта на измерванията и фактурирането в интерес на потребителите на енергия. </w:t>
            </w:r>
          </w:p>
        </w:tc>
      </w:tr>
      <w:tr w:rsidR="003331EA" w:rsidRPr="00501394" w:rsidTr="003331EA">
        <w:trPr>
          <w:gridBefore w:val="1"/>
          <w:wBefore w:w="318" w:type="dxa"/>
          <w:jc w:val="center"/>
        </w:trPr>
        <w:tc>
          <w:tcPr>
            <w:tcW w:w="10188" w:type="dxa"/>
            <w:gridSpan w:val="2"/>
            <w:tcBorders>
              <w:bottom w:val="single" w:sz="4" w:space="0" w:color="auto"/>
            </w:tcBorders>
            <w:shd w:val="clear" w:color="auto" w:fill="E6E6E6"/>
          </w:tcPr>
          <w:p w:rsidR="003331EA" w:rsidRPr="00CD4871" w:rsidRDefault="003331EA" w:rsidP="00CC2027">
            <w:pPr>
              <w:spacing w:before="60" w:after="60"/>
              <w:jc w:val="both"/>
              <w:rPr>
                <w:rFonts w:ascii="Tahoma" w:hAnsi="Tahoma" w:cs="Tahoma"/>
                <w:sz w:val="20"/>
                <w:szCs w:val="20"/>
              </w:rPr>
            </w:pPr>
            <w:r>
              <w:rPr>
                <w:rFonts w:ascii="Tahoma" w:hAnsi="Tahoma"/>
                <w:b/>
                <w:sz w:val="20"/>
              </w:rPr>
              <w:t xml:space="preserve">Какво се очаква да бъде постигнато с настоящата инициатива? </w:t>
            </w:r>
          </w:p>
        </w:tc>
      </w:tr>
      <w:tr w:rsidR="003331EA" w:rsidRPr="00555298" w:rsidTr="003331EA">
        <w:trPr>
          <w:gridBefore w:val="1"/>
          <w:wBefore w:w="318" w:type="dxa"/>
          <w:jc w:val="center"/>
        </w:trPr>
        <w:tc>
          <w:tcPr>
            <w:tcW w:w="10188" w:type="dxa"/>
            <w:gridSpan w:val="2"/>
            <w:tcBorders>
              <w:bottom w:val="single" w:sz="4" w:space="0" w:color="auto"/>
            </w:tcBorders>
            <w:shd w:val="clear" w:color="auto" w:fill="auto"/>
          </w:tcPr>
          <w:p w:rsidR="00B8219C" w:rsidRDefault="00B8219C" w:rsidP="00F43B5D">
            <w:pPr>
              <w:pStyle w:val="Default"/>
              <w:spacing w:before="60" w:after="60"/>
              <w:jc w:val="both"/>
              <w:rPr>
                <w:rFonts w:ascii="Times New Roman" w:hAnsi="Times New Roman" w:cs="Times New Roman"/>
              </w:rPr>
            </w:pPr>
            <w:r>
              <w:rPr>
                <w:rFonts w:ascii="Times New Roman" w:hAnsi="Times New Roman"/>
              </w:rPr>
              <w:t xml:space="preserve">С настоящата инициатива ще бъде дефинирано оптимално равнище на енергийната ефективност през 2030 г., на базата на многостранен анализ, показващ какви ще са ефектите върху плащанията за енергия, зависимостта от външни доставчици на нефт и газ, работната заетост и ръста на БВП, околната среда, здравеопазването, замърсяването на въздуха, както и в други области. </w:t>
            </w:r>
          </w:p>
          <w:p w:rsidR="003331EA" w:rsidRPr="00FF230A" w:rsidRDefault="00373BE4" w:rsidP="00F43B5D">
            <w:pPr>
              <w:pStyle w:val="Default"/>
              <w:spacing w:before="60" w:after="60"/>
              <w:jc w:val="both"/>
              <w:rPr>
                <w:rFonts w:ascii="Times New Roman" w:hAnsi="Times New Roman" w:cs="Times New Roman"/>
              </w:rPr>
            </w:pPr>
            <w:r>
              <w:rPr>
                <w:rFonts w:ascii="Times New Roman" w:hAnsi="Times New Roman"/>
              </w:rPr>
              <w:t xml:space="preserve">Също така тя ще осигури принос на ДЕЕ за постигането на оптимално равнище на енергийна ефективност през 2030 г. чрез: </w:t>
            </w:r>
          </w:p>
          <w:p w:rsidR="003331EA" w:rsidRPr="0037317C" w:rsidRDefault="003331EA" w:rsidP="00F43B5D">
            <w:pPr>
              <w:pStyle w:val="ListParagraph"/>
              <w:numPr>
                <w:ilvl w:val="0"/>
                <w:numId w:val="2"/>
              </w:numPr>
              <w:autoSpaceDE w:val="0"/>
              <w:autoSpaceDN w:val="0"/>
              <w:spacing w:before="60" w:after="60"/>
              <w:ind w:left="318" w:hanging="284"/>
              <w:contextualSpacing w:val="0"/>
              <w:jc w:val="both"/>
            </w:pPr>
            <w:r>
              <w:t>Продължаване на действието на член 7 след 2020 г., така че да продължи неговият принос за постигането на целта в областта на енергийната ефективност за 2030 г., както и актуализация и опростяване на разпоредбите, в случаите при които това е необходимо;</w:t>
            </w:r>
          </w:p>
          <w:p w:rsidR="003331EA" w:rsidRDefault="003331EA" w:rsidP="00F43B5D">
            <w:pPr>
              <w:pStyle w:val="ListParagraph"/>
              <w:numPr>
                <w:ilvl w:val="0"/>
                <w:numId w:val="2"/>
              </w:numPr>
              <w:autoSpaceDE w:val="0"/>
              <w:autoSpaceDN w:val="0"/>
              <w:spacing w:before="60" w:after="60"/>
              <w:ind w:left="318" w:hanging="284"/>
              <w:contextualSpacing w:val="0"/>
              <w:jc w:val="both"/>
              <w:rPr>
                <w:rFonts w:ascii="Arial" w:hAnsi="Arial" w:cs="Arial"/>
                <w:sz w:val="20"/>
                <w:szCs w:val="20"/>
              </w:rPr>
            </w:pPr>
            <w:r>
              <w:t>Осигуряване на по-ясни правила за измерването и фактурирането, които да помагат на потребителите да се възползват от възможностите, осигурявани от техническия прогрес.</w:t>
            </w:r>
          </w:p>
        </w:tc>
      </w:tr>
      <w:tr w:rsidR="003331EA" w:rsidRPr="00501394" w:rsidTr="003331EA">
        <w:trPr>
          <w:gridBefore w:val="1"/>
          <w:wBefore w:w="318" w:type="dxa"/>
          <w:jc w:val="center"/>
        </w:trPr>
        <w:tc>
          <w:tcPr>
            <w:tcW w:w="10188" w:type="dxa"/>
            <w:gridSpan w:val="2"/>
            <w:tcBorders>
              <w:bottom w:val="single" w:sz="4" w:space="0" w:color="auto"/>
            </w:tcBorders>
            <w:shd w:val="clear" w:color="auto" w:fill="E6E6E6"/>
          </w:tcPr>
          <w:p w:rsidR="003331EA" w:rsidRPr="00501394" w:rsidRDefault="003331EA" w:rsidP="00CC2027">
            <w:pPr>
              <w:spacing w:before="60" w:after="60"/>
              <w:jc w:val="both"/>
              <w:rPr>
                <w:rFonts w:ascii="Tahoma" w:hAnsi="Tahoma" w:cs="Tahoma"/>
                <w:sz w:val="20"/>
                <w:szCs w:val="20"/>
              </w:rPr>
            </w:pPr>
            <w:r>
              <w:rPr>
                <w:rFonts w:ascii="Tahoma" w:hAnsi="Tahoma"/>
                <w:b/>
                <w:sz w:val="20"/>
              </w:rPr>
              <w:t>Каква е добавената стойност от действията на равнището на ЕС?</w:t>
            </w:r>
            <w:r>
              <w:rPr>
                <w:rFonts w:ascii="Tahoma" w:hAnsi="Tahoma"/>
                <w:sz w:val="20"/>
              </w:rPr>
              <w:t xml:space="preserve"> </w:t>
            </w:r>
          </w:p>
        </w:tc>
      </w:tr>
      <w:tr w:rsidR="003331EA" w:rsidRPr="00555298" w:rsidTr="003331EA">
        <w:trPr>
          <w:gridBefore w:val="1"/>
          <w:wBefore w:w="318" w:type="dxa"/>
          <w:jc w:val="center"/>
        </w:trPr>
        <w:tc>
          <w:tcPr>
            <w:tcW w:w="10188" w:type="dxa"/>
            <w:gridSpan w:val="2"/>
            <w:tcBorders>
              <w:bottom w:val="single" w:sz="4" w:space="0" w:color="auto"/>
            </w:tcBorders>
            <w:shd w:val="clear" w:color="auto" w:fill="auto"/>
          </w:tcPr>
          <w:p w:rsidR="00F43B5D" w:rsidRDefault="00F43B5D" w:rsidP="00BA39D1">
            <w:pPr>
              <w:spacing w:before="100" w:beforeAutospacing="1" w:after="100" w:afterAutospacing="1"/>
              <w:jc w:val="both"/>
            </w:pPr>
            <w:r>
              <w:t xml:space="preserve">Държавите членки могат по-добре да насочват своите национални енергийни политики ако има съгласувани водещи цели в рамките на целия ЕС и ако тези цели са в съответствие с други цели в областта на енергетиката и климата, например във връзка със Системата за търговия с емисии („ETS“), Решението за разпределяне на усилията и целта на ЕС за 2030 г. в областта на </w:t>
            </w:r>
            <w:r>
              <w:lastRenderedPageBreak/>
              <w:t>енергията от възобновяеми източници.</w:t>
            </w:r>
          </w:p>
          <w:p w:rsidR="00FB4535" w:rsidRDefault="00BA39D1" w:rsidP="00FB4535">
            <w:pPr>
              <w:spacing w:before="100" w:beforeAutospacing="1" w:after="100" w:afterAutospacing="1"/>
              <w:jc w:val="both"/>
            </w:pPr>
            <w:r>
              <w:t xml:space="preserve">Актуализацията на съществуващото изискване за икономия на енергия по член 7 е в пълно съответствие с принципа на субсидиарност, тъй като запазва свободата на държавите членки да решават какви политики и мерки да използват за постигане на икономиите на енергия. Също така, тъй като изискването в член 7 е за постигане на фиксирано количество икономии на енергия, то увеличава темпа на прилагане на други мерки за енергийна ефективност, като например саниране на сгради, енергийно етикетиране и екопроектиране, като увеличава тяхната ефикасност. </w:t>
            </w:r>
          </w:p>
          <w:p w:rsidR="003331EA" w:rsidRDefault="00883428" w:rsidP="00883428">
            <w:pPr>
              <w:spacing w:before="100" w:beforeAutospacing="1" w:after="100" w:afterAutospacing="1"/>
              <w:jc w:val="both"/>
              <w:rPr>
                <w:rFonts w:ascii="Arial" w:hAnsi="Arial" w:cs="Arial"/>
                <w:sz w:val="20"/>
                <w:szCs w:val="20"/>
              </w:rPr>
            </w:pPr>
            <w:r>
              <w:t>В рамките на единен енергиен пазар съществуват солидни аргументи доставчиците да подлежат на подобни или дори идентични правила и задължения, както и потребителите да имат еднакви основни права и да получават сравнима и разпознаваема информация.</w:t>
            </w:r>
          </w:p>
        </w:tc>
      </w:tr>
      <w:tr w:rsidR="003331EA" w:rsidRPr="00486AF3" w:rsidTr="003331EA">
        <w:trPr>
          <w:gridBefore w:val="1"/>
          <w:wBefore w:w="318" w:type="dxa"/>
          <w:jc w:val="center"/>
        </w:trPr>
        <w:tc>
          <w:tcPr>
            <w:tcW w:w="10188" w:type="dxa"/>
            <w:gridSpan w:val="2"/>
            <w:tcBorders>
              <w:bottom w:val="single" w:sz="4" w:space="0" w:color="auto"/>
            </w:tcBorders>
            <w:shd w:val="clear" w:color="auto" w:fill="CCCCCC"/>
          </w:tcPr>
          <w:p w:rsidR="003331EA" w:rsidRPr="0040097D" w:rsidRDefault="003331EA" w:rsidP="00D04C04">
            <w:pPr>
              <w:spacing w:before="60" w:after="60"/>
              <w:jc w:val="center"/>
              <w:rPr>
                <w:rFonts w:ascii="Tahoma" w:hAnsi="Tahoma" w:cs="Tahoma"/>
                <w:b/>
                <w:sz w:val="22"/>
                <w:szCs w:val="22"/>
              </w:rPr>
            </w:pPr>
            <w:r>
              <w:rPr>
                <w:rFonts w:ascii="Tahoma" w:hAnsi="Tahoma"/>
                <w:b/>
                <w:sz w:val="22"/>
              </w:rPr>
              <w:lastRenderedPageBreak/>
              <w:t>Б. Решения</w:t>
            </w:r>
          </w:p>
        </w:tc>
      </w:tr>
      <w:tr w:rsidR="003331EA" w:rsidRPr="00501394" w:rsidTr="003331EA">
        <w:trPr>
          <w:gridBefore w:val="1"/>
          <w:wBefore w:w="318" w:type="dxa"/>
          <w:jc w:val="center"/>
        </w:trPr>
        <w:tc>
          <w:tcPr>
            <w:tcW w:w="10188" w:type="dxa"/>
            <w:gridSpan w:val="2"/>
            <w:tcBorders>
              <w:bottom w:val="single" w:sz="4" w:space="0" w:color="auto"/>
            </w:tcBorders>
            <w:shd w:val="clear" w:color="auto" w:fill="E6E6E6"/>
          </w:tcPr>
          <w:p w:rsidR="003331EA" w:rsidRPr="00501394" w:rsidRDefault="003331EA" w:rsidP="00CC2027">
            <w:pPr>
              <w:spacing w:before="60"/>
              <w:jc w:val="both"/>
              <w:rPr>
                <w:rFonts w:ascii="Tahoma" w:hAnsi="Tahoma" w:cs="Tahoma"/>
                <w:sz w:val="20"/>
                <w:szCs w:val="20"/>
              </w:rPr>
            </w:pPr>
            <w:r>
              <w:rPr>
                <w:rFonts w:ascii="Tahoma" w:hAnsi="Tahoma"/>
                <w:b/>
                <w:sz w:val="20"/>
              </w:rPr>
              <w:t>Какви законодателни и незаконодателни варианти на политика са разгледани?</w:t>
            </w:r>
            <w:r>
              <w:rPr>
                <w:rFonts w:ascii="Tahoma" w:hAnsi="Tahoma"/>
                <w:sz w:val="20"/>
              </w:rPr>
              <w:t xml:space="preserve"> </w:t>
            </w:r>
            <w:r>
              <w:rPr>
                <w:rFonts w:ascii="Tahoma" w:hAnsi="Tahoma"/>
                <w:b/>
                <w:sz w:val="20"/>
              </w:rPr>
              <w:t xml:space="preserve">Има ли предпочетени варианти? Защо? </w:t>
            </w:r>
          </w:p>
        </w:tc>
      </w:tr>
      <w:tr w:rsidR="003331EA" w:rsidRPr="00B230F2" w:rsidTr="003331EA">
        <w:trPr>
          <w:gridBefore w:val="1"/>
          <w:wBefore w:w="318" w:type="dxa"/>
          <w:jc w:val="center"/>
        </w:trPr>
        <w:tc>
          <w:tcPr>
            <w:tcW w:w="10188" w:type="dxa"/>
            <w:gridSpan w:val="2"/>
            <w:tcBorders>
              <w:bottom w:val="single" w:sz="4" w:space="0" w:color="auto"/>
            </w:tcBorders>
            <w:shd w:val="clear" w:color="auto" w:fill="auto"/>
          </w:tcPr>
          <w:p w:rsidR="00883428" w:rsidRPr="00883428" w:rsidRDefault="00883428" w:rsidP="00883428">
            <w:pPr>
              <w:pStyle w:val="Default"/>
              <w:jc w:val="both"/>
              <w:rPr>
                <w:rFonts w:ascii="Times New Roman" w:hAnsi="Times New Roman" w:cs="Times New Roman"/>
                <w:bCs/>
              </w:rPr>
            </w:pPr>
            <w:r>
              <w:rPr>
                <w:rFonts w:ascii="Times New Roman" w:hAnsi="Times New Roman"/>
              </w:rPr>
              <w:t>По отношение на стойността на целта бяха разгледани варианти за намаляване на потреблението на първична енергия в сравнение с базова линия от 2007 г. съответно в размер на 27, 30, 33, 35 и 40 %</w:t>
            </w:r>
            <w:r w:rsidR="0095020F">
              <w:rPr>
                <w:rFonts w:ascii="Times New Roman" w:hAnsi="Times New Roman"/>
              </w:rPr>
              <w:t>. Във връзка с формулировката на целта бяха анализирани варианти за изразяване на база на първичното и/или крайното енергийно потребление, на икономиите на енергия или на енергийната интензивност. По отношение на характера на целта бяха о</w:t>
            </w:r>
            <w:r w:rsidR="000D5469">
              <w:rPr>
                <w:rFonts w:ascii="Times New Roman" w:hAnsi="Times New Roman"/>
              </w:rPr>
              <w:t>ценени бяха</w:t>
            </w:r>
            <w:r>
              <w:rPr>
                <w:rFonts w:ascii="Times New Roman" w:hAnsi="Times New Roman"/>
              </w:rPr>
              <w:t xml:space="preserve"> следните варианти:</w:t>
            </w:r>
          </w:p>
          <w:p w:rsidR="0095020F" w:rsidRPr="0095020F" w:rsidRDefault="0095020F" w:rsidP="00DE563C">
            <w:pPr>
              <w:pStyle w:val="Default"/>
              <w:numPr>
                <w:ilvl w:val="0"/>
                <w:numId w:val="7"/>
              </w:numPr>
              <w:jc w:val="both"/>
              <w:rPr>
                <w:rFonts w:ascii="Times New Roman" w:hAnsi="Times New Roman" w:cs="Times New Roman"/>
                <w:bCs/>
              </w:rPr>
            </w:pPr>
            <w:r>
              <w:rPr>
                <w:rFonts w:ascii="Times New Roman" w:hAnsi="Times New Roman"/>
              </w:rPr>
              <w:t>Вариант 1: и</w:t>
            </w:r>
            <w:r w:rsidR="00883428">
              <w:rPr>
                <w:rFonts w:ascii="Times New Roman" w:hAnsi="Times New Roman"/>
              </w:rPr>
              <w:t>ндикативна цел на ЕС и индикативни национални цели</w:t>
            </w:r>
            <w:r>
              <w:rPr>
                <w:rFonts w:ascii="Times New Roman" w:hAnsi="Times New Roman"/>
              </w:rPr>
              <w:t>;</w:t>
            </w:r>
          </w:p>
          <w:p w:rsidR="00883428" w:rsidRPr="0095020F" w:rsidRDefault="0095020F" w:rsidP="00DE563C">
            <w:pPr>
              <w:pStyle w:val="Default"/>
              <w:numPr>
                <w:ilvl w:val="0"/>
                <w:numId w:val="7"/>
              </w:numPr>
              <w:jc w:val="both"/>
              <w:rPr>
                <w:rFonts w:ascii="Times New Roman" w:hAnsi="Times New Roman" w:cs="Times New Roman"/>
                <w:bCs/>
              </w:rPr>
            </w:pPr>
            <w:r>
              <w:rPr>
                <w:rFonts w:ascii="Times New Roman" w:hAnsi="Times New Roman"/>
              </w:rPr>
              <w:t xml:space="preserve">Вариант 2: </w:t>
            </w:r>
            <w:r w:rsidR="00883428">
              <w:rPr>
                <w:rFonts w:ascii="Times New Roman" w:hAnsi="Times New Roman"/>
              </w:rPr>
              <w:t>обвързваща цел на ЕС</w:t>
            </w:r>
            <w:r w:rsidR="000D5469">
              <w:rPr>
                <w:rFonts w:ascii="Times New Roman" w:hAnsi="Times New Roman"/>
              </w:rPr>
              <w:t>;</w:t>
            </w:r>
          </w:p>
          <w:p w:rsidR="000D5469" w:rsidRPr="001A6810" w:rsidRDefault="0095020F" w:rsidP="00DE563C">
            <w:pPr>
              <w:pStyle w:val="Default"/>
              <w:numPr>
                <w:ilvl w:val="0"/>
                <w:numId w:val="7"/>
              </w:numPr>
              <w:jc w:val="both"/>
              <w:rPr>
                <w:rFonts w:ascii="Times New Roman" w:hAnsi="Times New Roman" w:cs="Times New Roman"/>
                <w:bCs/>
              </w:rPr>
            </w:pPr>
            <w:r>
              <w:rPr>
                <w:rFonts w:ascii="Times New Roman" w:hAnsi="Times New Roman"/>
              </w:rPr>
              <w:t>Вариант 3: обвързващи цели на държавите членки</w:t>
            </w:r>
            <w:r w:rsidR="000D5469">
              <w:rPr>
                <w:rFonts w:ascii="Times New Roman" w:hAnsi="Times New Roman"/>
              </w:rPr>
              <w:t>.</w:t>
            </w:r>
          </w:p>
          <w:p w:rsidR="00883428" w:rsidRDefault="00883428" w:rsidP="00883428">
            <w:pPr>
              <w:pStyle w:val="Default"/>
              <w:jc w:val="both"/>
              <w:rPr>
                <w:rFonts w:ascii="Times New Roman" w:hAnsi="Times New Roman" w:cs="Times New Roman"/>
                <w:bCs/>
              </w:rPr>
            </w:pPr>
            <w:r>
              <w:rPr>
                <w:rFonts w:ascii="Times New Roman" w:hAnsi="Times New Roman"/>
              </w:rPr>
              <w:t>Не беше определен предпочитан вариант.</w:t>
            </w:r>
          </w:p>
          <w:p w:rsidR="00883428" w:rsidRDefault="00883428" w:rsidP="00883428">
            <w:pPr>
              <w:pStyle w:val="Default"/>
              <w:tabs>
                <w:tab w:val="left" w:pos="1380"/>
              </w:tabs>
              <w:jc w:val="both"/>
              <w:rPr>
                <w:rFonts w:ascii="Times New Roman" w:hAnsi="Times New Roman" w:cs="Times New Roman"/>
                <w:bCs/>
              </w:rPr>
            </w:pPr>
          </w:p>
          <w:p w:rsidR="004B566A" w:rsidRDefault="003331EA" w:rsidP="003331EA">
            <w:pPr>
              <w:pStyle w:val="Default"/>
              <w:jc w:val="both"/>
              <w:rPr>
                <w:rFonts w:ascii="Times New Roman" w:hAnsi="Times New Roman" w:cs="Times New Roman"/>
                <w:b/>
                <w:bCs/>
              </w:rPr>
            </w:pPr>
            <w:r>
              <w:rPr>
                <w:rFonts w:ascii="Times New Roman" w:hAnsi="Times New Roman"/>
              </w:rPr>
              <w:t>По отношение на член 7 бяха разгледани следните варианти:</w:t>
            </w:r>
            <w:r>
              <w:rPr>
                <w:rFonts w:ascii="Times New Roman" w:hAnsi="Times New Roman"/>
                <w:b/>
              </w:rPr>
              <w:t xml:space="preserve"> </w:t>
            </w:r>
          </w:p>
          <w:p w:rsidR="00680A98" w:rsidRPr="00624B04" w:rsidRDefault="00680A98" w:rsidP="00DE563C">
            <w:pPr>
              <w:pStyle w:val="Default"/>
              <w:numPr>
                <w:ilvl w:val="0"/>
                <w:numId w:val="7"/>
              </w:numPr>
              <w:jc w:val="both"/>
              <w:rPr>
                <w:rFonts w:ascii="Times New Roman" w:hAnsi="Times New Roman" w:cs="Times New Roman"/>
                <w:bCs/>
              </w:rPr>
            </w:pPr>
            <w:r>
              <w:rPr>
                <w:rFonts w:ascii="Times New Roman" w:hAnsi="Times New Roman"/>
              </w:rPr>
              <w:t>Вариант 1: Без нови регулаторни действия на равнището на ЕС; продължение с указания относно регулаторната рамка и дейности по правоприлагането;</w:t>
            </w:r>
          </w:p>
          <w:p w:rsidR="0082074D" w:rsidRPr="0082074D" w:rsidRDefault="004B566A" w:rsidP="00DE563C">
            <w:pPr>
              <w:pStyle w:val="Default"/>
              <w:numPr>
                <w:ilvl w:val="0"/>
                <w:numId w:val="7"/>
              </w:numPr>
              <w:jc w:val="both"/>
              <w:rPr>
                <w:rFonts w:ascii="Times New Roman" w:hAnsi="Times New Roman" w:cs="Times New Roman"/>
                <w:bCs/>
              </w:rPr>
            </w:pPr>
            <w:r>
              <w:rPr>
                <w:rFonts w:ascii="Times New Roman" w:hAnsi="Times New Roman"/>
              </w:rPr>
              <w:t>Вариант 2: продължаване на действието на член 7 до 2030 г.;</w:t>
            </w:r>
          </w:p>
          <w:p w:rsidR="00DE563C" w:rsidRDefault="004B566A" w:rsidP="0082074D">
            <w:pPr>
              <w:pStyle w:val="Default"/>
              <w:numPr>
                <w:ilvl w:val="0"/>
                <w:numId w:val="7"/>
              </w:numPr>
              <w:jc w:val="both"/>
              <w:rPr>
                <w:rFonts w:ascii="Times New Roman" w:hAnsi="Times New Roman" w:cs="Times New Roman"/>
                <w:bCs/>
              </w:rPr>
            </w:pPr>
            <w:r>
              <w:rPr>
                <w:rFonts w:ascii="Times New Roman" w:hAnsi="Times New Roman"/>
              </w:rPr>
              <w:t>Вариант 3:</w:t>
            </w:r>
            <w:r>
              <w:t xml:space="preserve"> </w:t>
            </w:r>
            <w:r>
              <w:rPr>
                <w:rFonts w:ascii="Times New Roman" w:hAnsi="Times New Roman"/>
              </w:rPr>
              <w:t>продължаване на действието на член 7 до 2030 г.; опростяване и актуализация (напр. по въпроса кои икономии на енергия могат да бъдат отчитани и във връзка с енергията от възобновяеми източници);</w:t>
            </w:r>
          </w:p>
          <w:p w:rsidR="0082074D" w:rsidRDefault="004B566A" w:rsidP="0082074D">
            <w:pPr>
              <w:pStyle w:val="Default"/>
              <w:numPr>
                <w:ilvl w:val="0"/>
                <w:numId w:val="7"/>
              </w:numPr>
              <w:jc w:val="both"/>
              <w:rPr>
                <w:rFonts w:ascii="Times New Roman" w:hAnsi="Times New Roman" w:cs="Times New Roman"/>
                <w:bCs/>
              </w:rPr>
            </w:pPr>
            <w:r>
              <w:rPr>
                <w:rFonts w:ascii="Times New Roman" w:hAnsi="Times New Roman"/>
              </w:rPr>
              <w:t>Вариант 4: продължаване на действието на член 7 до 2030 г., актуализация и опростяване и увеличение на годишния процент на икономиите на енергия.</w:t>
            </w:r>
          </w:p>
          <w:p w:rsidR="00DE563C" w:rsidRPr="00DE563C" w:rsidRDefault="00DE563C" w:rsidP="00DE563C">
            <w:pPr>
              <w:pStyle w:val="Default"/>
              <w:ind w:left="720"/>
              <w:jc w:val="both"/>
              <w:rPr>
                <w:rFonts w:ascii="Times New Roman" w:hAnsi="Times New Roman" w:cs="Times New Roman"/>
                <w:bCs/>
              </w:rPr>
            </w:pPr>
          </w:p>
          <w:p w:rsidR="004B566A" w:rsidRDefault="004B566A" w:rsidP="00915A32">
            <w:pPr>
              <w:pStyle w:val="Default"/>
              <w:jc w:val="both"/>
              <w:rPr>
                <w:rFonts w:ascii="Times New Roman" w:hAnsi="Times New Roman" w:cs="Times New Roman"/>
              </w:rPr>
            </w:pPr>
            <w:r>
              <w:rPr>
                <w:rFonts w:ascii="Times New Roman" w:hAnsi="Times New Roman"/>
              </w:rPr>
              <w:t>По отношение на членове 9 — 11</w:t>
            </w:r>
            <w:r>
              <w:t xml:space="preserve"> </w:t>
            </w:r>
            <w:r>
              <w:rPr>
                <w:rFonts w:ascii="Times New Roman" w:hAnsi="Times New Roman"/>
              </w:rPr>
              <w:t>бяха разгледани следните варианти:</w:t>
            </w:r>
          </w:p>
          <w:p w:rsidR="004B566A" w:rsidRDefault="00420C25" w:rsidP="00DE563C">
            <w:pPr>
              <w:pStyle w:val="Default"/>
              <w:numPr>
                <w:ilvl w:val="0"/>
                <w:numId w:val="5"/>
              </w:numPr>
              <w:jc w:val="both"/>
              <w:rPr>
                <w:rFonts w:ascii="Times New Roman" w:hAnsi="Times New Roman" w:cs="Times New Roman"/>
              </w:rPr>
            </w:pPr>
            <w:r>
              <w:rPr>
                <w:rFonts w:ascii="Times New Roman" w:hAnsi="Times New Roman"/>
              </w:rPr>
              <w:t>Вариант 1: по-добро прилагане и допълнителни указания (без регулаторно действие);</w:t>
            </w:r>
          </w:p>
          <w:p w:rsidR="004B566A" w:rsidRDefault="00420C25" w:rsidP="0082074D">
            <w:pPr>
              <w:pStyle w:val="Default"/>
              <w:numPr>
                <w:ilvl w:val="0"/>
                <w:numId w:val="5"/>
              </w:numPr>
              <w:jc w:val="both"/>
              <w:rPr>
                <w:rFonts w:ascii="Times New Roman" w:hAnsi="Times New Roman" w:cs="Times New Roman"/>
              </w:rPr>
            </w:pPr>
            <w:r>
              <w:rPr>
                <w:rFonts w:ascii="Times New Roman" w:hAnsi="Times New Roman"/>
              </w:rPr>
              <w:t>Вариант 2: изясняване и актуализиране на разпоредбите, включително консолидиране на разпоредбите относно електроенергията и природния газ със законодателството за вътрешноевропейския енергиен пазар, така че да се осигури съгласуваност.</w:t>
            </w:r>
          </w:p>
          <w:p w:rsidR="00072EF3" w:rsidRDefault="00072EF3" w:rsidP="0082074D">
            <w:pPr>
              <w:pStyle w:val="Default"/>
              <w:ind w:left="720"/>
              <w:jc w:val="both"/>
              <w:rPr>
                <w:rFonts w:ascii="Times New Roman" w:hAnsi="Times New Roman" w:cs="Times New Roman"/>
              </w:rPr>
            </w:pPr>
          </w:p>
          <w:p w:rsidR="0082074D" w:rsidRDefault="004B566A" w:rsidP="00576F55">
            <w:pPr>
              <w:pStyle w:val="Default"/>
              <w:jc w:val="both"/>
              <w:rPr>
                <w:sz w:val="20"/>
                <w:szCs w:val="20"/>
              </w:rPr>
            </w:pPr>
            <w:r>
              <w:rPr>
                <w:rFonts w:ascii="Times New Roman" w:hAnsi="Times New Roman"/>
              </w:rPr>
              <w:t>Всички варианти бяха оценени в рамките на оценката на въздействието и сравнени спрямо базовия сценарий и помежду си. В резултат от този анализ предпочетените варианти са вариант 3 за член 7 и вариант 2 за членове 9 — 11, тъй като те са най-ефикасни за постигане на очакваните цели, по-ефективни са и са в съответствие с други политики на ЕС в областта на енергетиката и климата.</w:t>
            </w:r>
          </w:p>
        </w:tc>
      </w:tr>
      <w:tr w:rsidR="003331EA" w:rsidRPr="00B230F2" w:rsidTr="003331EA">
        <w:trPr>
          <w:gridBefore w:val="1"/>
          <w:wBefore w:w="318" w:type="dxa"/>
          <w:jc w:val="center"/>
        </w:trPr>
        <w:tc>
          <w:tcPr>
            <w:tcW w:w="10188" w:type="dxa"/>
            <w:gridSpan w:val="2"/>
            <w:shd w:val="clear" w:color="auto" w:fill="CCCCCC"/>
          </w:tcPr>
          <w:p w:rsidR="003331EA" w:rsidRPr="00501394" w:rsidRDefault="003331EA" w:rsidP="00CC2027">
            <w:pPr>
              <w:spacing w:before="60"/>
              <w:jc w:val="both"/>
              <w:rPr>
                <w:rFonts w:ascii="Tahoma" w:hAnsi="Tahoma" w:cs="Tahoma"/>
                <w:sz w:val="20"/>
                <w:szCs w:val="20"/>
              </w:rPr>
            </w:pPr>
            <w:r>
              <w:rPr>
                <w:rFonts w:ascii="Tahoma" w:hAnsi="Tahoma"/>
                <w:b/>
                <w:sz w:val="20"/>
              </w:rPr>
              <w:t xml:space="preserve">Кой подкрепя отделните варианти? </w:t>
            </w:r>
          </w:p>
        </w:tc>
      </w:tr>
      <w:tr w:rsidR="003331EA" w:rsidRPr="00B230F2" w:rsidTr="003331EA">
        <w:trPr>
          <w:gridBefore w:val="1"/>
          <w:wBefore w:w="318" w:type="dxa"/>
          <w:jc w:val="center"/>
        </w:trPr>
        <w:tc>
          <w:tcPr>
            <w:tcW w:w="10188" w:type="dxa"/>
            <w:gridSpan w:val="2"/>
            <w:shd w:val="clear" w:color="auto" w:fill="auto"/>
          </w:tcPr>
          <w:p w:rsidR="00F43B5D" w:rsidRDefault="00F43B5D" w:rsidP="007B7079">
            <w:pPr>
              <w:pStyle w:val="Default"/>
              <w:jc w:val="both"/>
              <w:rPr>
                <w:rFonts w:ascii="Times New Roman" w:hAnsi="Times New Roman" w:cs="Times New Roman"/>
              </w:rPr>
            </w:pPr>
            <w:r>
              <w:rPr>
                <w:rFonts w:ascii="Times New Roman" w:hAnsi="Times New Roman"/>
              </w:rPr>
              <w:lastRenderedPageBreak/>
              <w:t>Отговорите от консултацията със заинтересовани страни не показаха категорични предпочитания по отношение на размера на целта и нейния характер. При организираната среща на заинтересовани страни с 282 участници от европейския промишлен отрасъл, организации от гражданското общество и държави членки, повечето заинтересовани страни, изразили мнение, подкрепиха стойност на целта, достигаща до 40 % за 2030 г., но не се формира окончателно становище дали целта да е с обвързващ или друг вид характер.</w:t>
            </w:r>
          </w:p>
          <w:p w:rsidR="00F43B5D" w:rsidRDefault="00F43B5D" w:rsidP="007B7079">
            <w:pPr>
              <w:pStyle w:val="Default"/>
              <w:jc w:val="both"/>
              <w:rPr>
                <w:rFonts w:ascii="Times New Roman" w:hAnsi="Times New Roman" w:cs="Times New Roman"/>
              </w:rPr>
            </w:pPr>
          </w:p>
          <w:p w:rsidR="003331EA" w:rsidRDefault="00146B26" w:rsidP="007B7079">
            <w:pPr>
              <w:pStyle w:val="Default"/>
              <w:jc w:val="both"/>
              <w:rPr>
                <w:rFonts w:ascii="Times New Roman" w:hAnsi="Times New Roman" w:cs="Times New Roman"/>
              </w:rPr>
            </w:pPr>
            <w:r>
              <w:rPr>
                <w:rFonts w:ascii="Times New Roman" w:hAnsi="Times New Roman"/>
              </w:rPr>
              <w:t>Повечето заинтересовани страни, по-специално неправителствените организации и доставчиците на енергия, участвали в публичната консултация, подкрепиха продължаване на действието на член 7 след 2020 г. При все това 7 от 15-те държави членки, участвали в консултацията, не подкрепиха продължаване на действието на член 7.</w:t>
            </w:r>
          </w:p>
          <w:p w:rsidR="00A6324D" w:rsidRDefault="00A6324D" w:rsidP="007B7079">
            <w:pPr>
              <w:pStyle w:val="Default"/>
              <w:jc w:val="both"/>
              <w:rPr>
                <w:sz w:val="20"/>
                <w:szCs w:val="20"/>
              </w:rPr>
            </w:pPr>
          </w:p>
          <w:p w:rsidR="00576F55" w:rsidRDefault="002E06E3" w:rsidP="00576F55">
            <w:pPr>
              <w:jc w:val="both"/>
              <w:rPr>
                <w:rFonts w:ascii="Arial" w:hAnsi="Arial" w:cs="Arial"/>
                <w:sz w:val="20"/>
                <w:szCs w:val="20"/>
              </w:rPr>
            </w:pPr>
            <w:r>
              <w:t>Приблизително 3 от всеки 5 заинтересовани страни счетоха за адекватни разпоредбите относно измерването и фактурирането и 92 % от респондентите, представляващи енергийни доставчици бяха на такова мнение. Държавите членки също бяха общо взето задоволени от статуквото. От друга страна, 2 от всеки 3 неправителствени организации (включително потребителски организации) счетоха разпоредбите за неадекватни и неспособни да гарантират на потребителите достатъчно честа, подробна и разбираема информация относно тяхната консумация на енергия.</w:t>
            </w:r>
          </w:p>
        </w:tc>
      </w:tr>
      <w:tr w:rsidR="003331EA" w:rsidRPr="00486AF3" w:rsidTr="003331EA">
        <w:tblPrEx>
          <w:jc w:val="left"/>
        </w:tblPrEx>
        <w:trPr>
          <w:gridAfter w:val="1"/>
          <w:wAfter w:w="441" w:type="dxa"/>
        </w:trPr>
        <w:tc>
          <w:tcPr>
            <w:tcW w:w="10065" w:type="dxa"/>
            <w:gridSpan w:val="2"/>
            <w:tcBorders>
              <w:bottom w:val="single" w:sz="4" w:space="0" w:color="auto"/>
            </w:tcBorders>
            <w:shd w:val="clear" w:color="auto" w:fill="CCCCCC"/>
          </w:tcPr>
          <w:p w:rsidR="003331EA" w:rsidRPr="0040097D" w:rsidRDefault="003331EA" w:rsidP="00D04C04">
            <w:pPr>
              <w:spacing w:before="60" w:after="60"/>
              <w:jc w:val="center"/>
              <w:rPr>
                <w:rFonts w:ascii="Tahoma" w:hAnsi="Tahoma" w:cs="Tahoma"/>
                <w:b/>
                <w:sz w:val="22"/>
                <w:szCs w:val="22"/>
              </w:rPr>
            </w:pPr>
            <w:r>
              <w:rPr>
                <w:rFonts w:ascii="Tahoma" w:hAnsi="Tahoma"/>
                <w:b/>
                <w:sz w:val="22"/>
              </w:rPr>
              <w:t>В. Въздействие на избрания вариант</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E6E6E6"/>
          </w:tcPr>
          <w:p w:rsidR="003331EA" w:rsidRPr="005A1A34" w:rsidRDefault="003331EA" w:rsidP="00CC2027">
            <w:pPr>
              <w:spacing w:before="60" w:after="60"/>
              <w:jc w:val="both"/>
              <w:rPr>
                <w:rFonts w:ascii="Tahoma" w:hAnsi="Tahoma" w:cs="Tahoma"/>
                <w:sz w:val="20"/>
                <w:szCs w:val="20"/>
              </w:rPr>
            </w:pPr>
            <w:r>
              <w:rPr>
                <w:rFonts w:ascii="Tahoma" w:hAnsi="Tahoma"/>
                <w:b/>
                <w:sz w:val="20"/>
              </w:rPr>
              <w:t>Какви са ползите от предпочетения вариант (ако има такъв, иначе от основните варианти)?</w:t>
            </w:r>
          </w:p>
        </w:tc>
      </w:tr>
      <w:tr w:rsidR="003331EA" w:rsidRPr="00B230F2" w:rsidTr="003331EA">
        <w:tblPrEx>
          <w:jc w:val="left"/>
        </w:tblPrEx>
        <w:trPr>
          <w:gridAfter w:val="1"/>
          <w:wAfter w:w="441" w:type="dxa"/>
        </w:trPr>
        <w:tc>
          <w:tcPr>
            <w:tcW w:w="10065" w:type="dxa"/>
            <w:gridSpan w:val="2"/>
            <w:tcBorders>
              <w:bottom w:val="single" w:sz="4" w:space="0" w:color="auto"/>
            </w:tcBorders>
            <w:shd w:val="clear" w:color="auto" w:fill="auto"/>
          </w:tcPr>
          <w:p w:rsidR="00F43B5D" w:rsidRDefault="00AC0895" w:rsidP="00D04C04">
            <w:pPr>
              <w:jc w:val="both"/>
            </w:pPr>
            <w:r>
              <w:t xml:space="preserve">Анализът показва, че една по-висока степен на енергийната ефективност в 2030 г. би имала </w:t>
            </w:r>
            <w:r w:rsidR="000D5469">
              <w:t xml:space="preserve">положително въздействие върху ръста на икономиката, работната заетост и конкурентоспособността, </w:t>
            </w:r>
            <w:r>
              <w:t>силно въздействие върху сигурността на енергийните доставки и по-специално върху количеството на внасяния природен газ. Целта за 30 % подобрение на енергийната ефективност би довела до спестяването през периода 2021 — 2030 г. на 69</w:t>
            </w:r>
            <w:r w:rsidR="000D5469">
              <w:t>,6</w:t>
            </w:r>
            <w:r>
              <w:t> милиарда евро разходи за внос на изкопаеми горива, чиято обща стойност при цел за 27 % подобрение на енергийната ефективност би възлязла на 4</w:t>
            </w:r>
            <w:r w:rsidR="000D5469">
              <w:t> </w:t>
            </w:r>
            <w:r>
              <w:t>27</w:t>
            </w:r>
            <w:r w:rsidR="000D5469">
              <w:t>4</w:t>
            </w:r>
            <w:r>
              <w:t> милиарда евро</w:t>
            </w:r>
            <w:r w:rsidR="006B40C5">
              <w:t xml:space="preserve">; също така, при увеличената на цел биха били създадени до 2030 г. между 395 000 и 435 000 работни места на нетна база и би било постигнато увеличение на БВП с между 0,25 % с 0,4 % при централните сценарии. </w:t>
            </w:r>
          </w:p>
          <w:p w:rsidR="00AC0895" w:rsidRDefault="00AC0895" w:rsidP="00D04C04">
            <w:pPr>
              <w:jc w:val="both"/>
            </w:pPr>
          </w:p>
          <w:p w:rsidR="007B7079" w:rsidRDefault="00F43B5D" w:rsidP="00D04C04">
            <w:pPr>
              <w:jc w:val="both"/>
            </w:pPr>
            <w:r>
              <w:t>По отношение на член 7 е предпочетен вариант 3, тъй като при него действието на задължението за енергийна ефективност се продължава след 2020 г. и съответното опростяване ще улесни постигането от страна на държавите членки на необходимите икономии на енергия, особено на тези, които са в резултат от саниране на сгради. Този вариант осигурява също като цяло по-голяма яснота на изискванията относно схемите за задължения за енергийна ефективност и относно алтернативните мерки.</w:t>
            </w:r>
          </w:p>
          <w:p w:rsidR="007B7079" w:rsidRDefault="007B7079" w:rsidP="00D04C04">
            <w:pPr>
              <w:jc w:val="both"/>
            </w:pPr>
          </w:p>
          <w:p w:rsidR="003331EA" w:rsidRPr="00A9203B" w:rsidRDefault="007B7079" w:rsidP="00A36B92">
            <w:pPr>
              <w:jc w:val="both"/>
              <w:rPr>
                <w:rFonts w:ascii="Arial" w:hAnsi="Arial" w:cs="Arial"/>
                <w:i/>
                <w:sz w:val="20"/>
                <w:szCs w:val="20"/>
              </w:rPr>
            </w:pPr>
            <w:r>
              <w:t>При предпочетения вариант 2 за членове 9 — 11 отпадат правните неясноти, които понастоящем затрудняват прилагането на тези разпоредби по отношение на топлинната енергия в многофамилни жилищни сгради и многофункционални сгради, а освен това той би консолидирал и ускорил прехода към интелигентно (даващо възможност за отчитане от разстояние) измерване на топлинната енергия, като по този начин би дал възможност за по-добро и по-често подаване на обратна информация на потребителите.</w:t>
            </w:r>
            <w:r>
              <w:rPr>
                <w:rFonts w:ascii="Arial" w:hAnsi="Arial"/>
                <w:i/>
                <w:sz w:val="20"/>
              </w:rPr>
              <w:t xml:space="preserve"> </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E6E6E6"/>
          </w:tcPr>
          <w:p w:rsidR="003331EA" w:rsidRPr="005A1A34" w:rsidRDefault="003331EA" w:rsidP="00CC2027">
            <w:pPr>
              <w:spacing w:before="60" w:after="60"/>
              <w:jc w:val="both"/>
              <w:rPr>
                <w:rFonts w:ascii="Tahoma" w:hAnsi="Tahoma" w:cs="Tahoma"/>
                <w:sz w:val="20"/>
                <w:szCs w:val="20"/>
              </w:rPr>
            </w:pPr>
            <w:r>
              <w:rPr>
                <w:rFonts w:ascii="Tahoma" w:hAnsi="Tahoma"/>
                <w:b/>
                <w:sz w:val="20"/>
              </w:rPr>
              <w:t>Какви са разходите за предпочетения вариант (ако има такъв, иначе от основните варианти)?</w:t>
            </w:r>
            <w:r>
              <w:rPr>
                <w:rFonts w:ascii="Tahoma" w:hAnsi="Tahoma"/>
                <w:sz w:val="20"/>
              </w:rPr>
              <w:t xml:space="preserve"> </w:t>
            </w:r>
          </w:p>
        </w:tc>
      </w:tr>
      <w:tr w:rsidR="003331EA" w:rsidRPr="00B230F2" w:rsidTr="003331EA">
        <w:tblPrEx>
          <w:jc w:val="left"/>
        </w:tblPrEx>
        <w:trPr>
          <w:gridAfter w:val="1"/>
          <w:wAfter w:w="441" w:type="dxa"/>
        </w:trPr>
        <w:tc>
          <w:tcPr>
            <w:tcW w:w="10065" w:type="dxa"/>
            <w:gridSpan w:val="2"/>
            <w:tcBorders>
              <w:bottom w:val="single" w:sz="4" w:space="0" w:color="auto"/>
            </w:tcBorders>
            <w:shd w:val="clear" w:color="auto" w:fill="auto"/>
          </w:tcPr>
          <w:p w:rsidR="00B96FCE" w:rsidRPr="00B96FCE" w:rsidRDefault="00B96FCE" w:rsidP="00B96FCE">
            <w:pPr>
              <w:jc w:val="both"/>
            </w:pPr>
            <w:r>
              <w:t xml:space="preserve">Като цяло, за периода 2021 — 2030 г. и при използваните дисконтови проценти, целта за подобрение на енергийната ефективност с 30 % би довела до разходи за енергийната система, надхвърлящи с 0,46 % (9 милиарда евро) съответните разходи при цел за подобрение на енергийната ефективност с 27 %. </w:t>
            </w:r>
            <w:r w:rsidR="006B40C5">
              <w:t xml:space="preserve">От друга страна, целта за подобрение с 30 % на енергийната ефективност в 2030 г. би довела в дългосрочен план през периода 2021 — 2050 г. до намаление с 9 милиарда евро </w:t>
            </w:r>
            <w:r w:rsidR="000C1D70">
              <w:t xml:space="preserve">на разходите на енергийната система в сравнение с целта за подобрение с 27 %. </w:t>
            </w:r>
            <w:r w:rsidR="006B40C5">
              <w:t xml:space="preserve"> </w:t>
            </w:r>
          </w:p>
          <w:p w:rsidR="00B96FCE" w:rsidRDefault="00B96FCE" w:rsidP="00B96FCE">
            <w:pPr>
              <w:jc w:val="both"/>
            </w:pPr>
          </w:p>
          <w:p w:rsidR="0072309B" w:rsidRDefault="0072309B" w:rsidP="00B96FCE">
            <w:pPr>
              <w:jc w:val="both"/>
            </w:pPr>
            <w:r>
              <w:t>Предпочетеният вариант за член 7 вероятно няма да доведе до допълнителни разходи за държавите членки и задължените страни (енергийни доставчици), тъй като се запазва настоящият годишен ръст на икономиите на енергия в размер на 1,5 % годишно. Не се очакват допълнителни административни разходи, като тези разходи могат дори да намалеят, тъй като държавите членки вече са опознали изискванията, както и поради опростяването на изчисляването на икономиите на енергия от мерките във връзка със сгради.</w:t>
            </w:r>
          </w:p>
          <w:p w:rsidR="0072309B" w:rsidRDefault="0072309B" w:rsidP="00B96FCE">
            <w:pPr>
              <w:jc w:val="both"/>
            </w:pPr>
          </w:p>
          <w:p w:rsidR="003331EA" w:rsidRPr="00A9203B" w:rsidRDefault="005221A0" w:rsidP="00AC0895">
            <w:pPr>
              <w:jc w:val="both"/>
              <w:rPr>
                <w:rFonts w:ascii="Arial" w:hAnsi="Arial" w:cs="Arial"/>
                <w:i/>
                <w:sz w:val="20"/>
                <w:szCs w:val="20"/>
              </w:rPr>
            </w:pPr>
            <w:r>
              <w:t>Предпочетеният вариант за членове 9 — 11 вероятно няма да доведе до значителни допълнителни разходи за всяка от засегнатите страни, първо защото той изяснява правните изисквания и благоприятства разпространението на нова технология, която вече присъства на пазара, и второ защото изискванията за инсталиране на нови уреди ще продължат да зависят от критерии за разходоефективност, както е и сега.</w:t>
            </w:r>
            <w:r>
              <w:rPr>
                <w:rFonts w:ascii="Arial" w:hAnsi="Arial"/>
                <w:i/>
                <w:sz w:val="20"/>
              </w:rPr>
              <w:t xml:space="preserve"> </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E6E6E6"/>
          </w:tcPr>
          <w:p w:rsidR="003331EA" w:rsidRPr="005A1A34" w:rsidRDefault="003331EA" w:rsidP="00CC2027">
            <w:pPr>
              <w:spacing w:before="60" w:after="60"/>
              <w:jc w:val="both"/>
              <w:rPr>
                <w:rFonts w:ascii="Tahoma" w:hAnsi="Tahoma" w:cs="Tahoma"/>
                <w:sz w:val="20"/>
                <w:szCs w:val="20"/>
              </w:rPr>
            </w:pPr>
            <w:r>
              <w:rPr>
                <w:rFonts w:ascii="Tahoma" w:hAnsi="Tahoma"/>
                <w:b/>
                <w:sz w:val="20"/>
              </w:rPr>
              <w:t xml:space="preserve">Как ще бъдат засегнати предприятията, малките и средни предприятия и микропредприятията? </w:t>
            </w:r>
          </w:p>
        </w:tc>
      </w:tr>
      <w:tr w:rsidR="003331EA" w:rsidRPr="00B230F2" w:rsidTr="003331EA">
        <w:tblPrEx>
          <w:jc w:val="left"/>
        </w:tblPrEx>
        <w:trPr>
          <w:gridAfter w:val="1"/>
          <w:wAfter w:w="441" w:type="dxa"/>
        </w:trPr>
        <w:tc>
          <w:tcPr>
            <w:tcW w:w="10065" w:type="dxa"/>
            <w:gridSpan w:val="2"/>
            <w:tcBorders>
              <w:bottom w:val="single" w:sz="4" w:space="0" w:color="auto"/>
            </w:tcBorders>
            <w:shd w:val="clear" w:color="auto" w:fill="auto"/>
          </w:tcPr>
          <w:p w:rsidR="000B2E4B" w:rsidRPr="00CF05B5" w:rsidRDefault="000B2E4B" w:rsidP="000E00FA">
            <w:pPr>
              <w:spacing w:before="240"/>
              <w:contextualSpacing/>
              <w:jc w:val="both"/>
            </w:pPr>
            <w:r>
              <w:t>Малките и средните предприятия представляват ключови действащи лица за подобряването на енергийната ефективност в домакинствата (70 % от мерките за подобряване на енергийната ефективност се изпълняват от малки и средни предприятия) и те ще бъдат облагодетелствани от увеличените възможности за стопанска дейност, както и от намалението на енергийните сметки в резултат от намаленото потребление.</w:t>
            </w:r>
          </w:p>
          <w:p w:rsidR="00CF05B5" w:rsidRPr="00CF05B5" w:rsidRDefault="00CF05B5" w:rsidP="000E00FA">
            <w:pPr>
              <w:spacing w:before="240"/>
              <w:contextualSpacing/>
              <w:jc w:val="both"/>
            </w:pPr>
          </w:p>
          <w:p w:rsidR="003331EA" w:rsidRPr="00A9203B" w:rsidRDefault="00FD18A3" w:rsidP="00576F55">
            <w:pPr>
              <w:spacing w:before="240"/>
              <w:contextualSpacing/>
              <w:jc w:val="both"/>
              <w:rPr>
                <w:rFonts w:ascii="Arial" w:hAnsi="Arial" w:cs="Arial"/>
                <w:i/>
                <w:sz w:val="20"/>
                <w:szCs w:val="20"/>
              </w:rPr>
            </w:pPr>
            <w:r>
              <w:t>Продължаването на действието на член 7 след 2020 г. ще има положителен ефект върху малките и средни предприятия, които се възползват от увеличените възможности за стопанска дейност във връзка с продължаващата потребност от практическо реализиране на икономии на енергия, по-специално при санирането на сгради.</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E6E6E6"/>
          </w:tcPr>
          <w:p w:rsidR="003331EA" w:rsidRPr="003D39F6" w:rsidRDefault="003331EA" w:rsidP="00CC2027">
            <w:pPr>
              <w:spacing w:before="60"/>
              <w:jc w:val="both"/>
              <w:rPr>
                <w:rFonts w:ascii="Tahoma" w:hAnsi="Tahoma" w:cs="Tahoma"/>
                <w:b/>
                <w:i/>
                <w:sz w:val="20"/>
                <w:szCs w:val="20"/>
              </w:rPr>
            </w:pPr>
            <w:r>
              <w:rPr>
                <w:rFonts w:ascii="Tahoma" w:hAnsi="Tahoma"/>
                <w:b/>
                <w:sz w:val="20"/>
              </w:rPr>
              <w:t>Ще има ли значителни въздействия върху националните бюджети и администрации?</w:t>
            </w:r>
          </w:p>
        </w:tc>
      </w:tr>
      <w:tr w:rsidR="003331EA" w:rsidRPr="00B230F2" w:rsidTr="003331EA">
        <w:tblPrEx>
          <w:jc w:val="left"/>
        </w:tblPrEx>
        <w:trPr>
          <w:gridAfter w:val="1"/>
          <w:wAfter w:w="441" w:type="dxa"/>
        </w:trPr>
        <w:tc>
          <w:tcPr>
            <w:tcW w:w="10065" w:type="dxa"/>
            <w:gridSpan w:val="2"/>
            <w:shd w:val="clear" w:color="auto" w:fill="auto"/>
          </w:tcPr>
          <w:p w:rsidR="00066CF8" w:rsidRDefault="00066CF8" w:rsidP="00BA39D1">
            <w:pPr>
              <w:jc w:val="both"/>
            </w:pPr>
            <w:r>
              <w:t xml:space="preserve">Въпреки че в краткосрочен план може да се наложи държавите членки да увеличат своите разходи за да финансират инвестиции за енергийна ефективност, в дългосрочен план те ще спечелят от намаляване на разходите за внос на горива, на сметките за енергопотребление (напр. на публични сгради) и от положителни ефекти върху бюджета във връзка с по-голяма работна заетост и стопански растеж. </w:t>
            </w:r>
          </w:p>
          <w:p w:rsidR="00066CF8" w:rsidRDefault="00066CF8" w:rsidP="00BA39D1">
            <w:pPr>
              <w:jc w:val="both"/>
            </w:pPr>
          </w:p>
          <w:p w:rsidR="003331EA" w:rsidRPr="002A637F" w:rsidRDefault="00BA39D1" w:rsidP="00576F55">
            <w:pPr>
              <w:jc w:val="both"/>
            </w:pPr>
            <w:r>
              <w:t>Тъй като всички държави членки вече са въвели съответни мерки, малко вероятно е продължаването на действието на член 7 до 2030 г. да доведе до допълнителни бюджетни или административни разходи за държавите членки и задължените страни (енергийни доставчици), тъй като за новия период 2021 — 2030 г. се запазва същият ръст на икономиите на енергия (1,5 % годишно). Административните разходи би следвало да намалеят поради опростеното изчисляване на икономиите на енергия от мерки в сградния сектор, тъй като ще може да се използва методиката по Директивата относно енергийните характеристики на сградите.</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E6E6E6"/>
          </w:tcPr>
          <w:p w:rsidR="003331EA" w:rsidRPr="00501394" w:rsidRDefault="003331EA" w:rsidP="00CC2027">
            <w:pPr>
              <w:spacing w:before="60"/>
              <w:jc w:val="both"/>
              <w:rPr>
                <w:rFonts w:ascii="Tahoma" w:hAnsi="Tahoma" w:cs="Tahoma"/>
                <w:sz w:val="20"/>
                <w:szCs w:val="20"/>
              </w:rPr>
            </w:pPr>
            <w:r>
              <w:rPr>
                <w:rFonts w:ascii="Tahoma" w:hAnsi="Tahoma"/>
                <w:b/>
                <w:sz w:val="20"/>
              </w:rPr>
              <w:t>Ще има ли други значителни въздействия?</w:t>
            </w:r>
            <w:r>
              <w:rPr>
                <w:rFonts w:ascii="Tahoma" w:hAnsi="Tahoma"/>
                <w:sz w:val="20"/>
              </w:rPr>
              <w:t xml:space="preserve"> </w:t>
            </w:r>
          </w:p>
        </w:tc>
      </w:tr>
      <w:tr w:rsidR="003331EA" w:rsidRPr="00B230F2" w:rsidTr="003331EA">
        <w:tblPrEx>
          <w:jc w:val="left"/>
        </w:tblPrEx>
        <w:trPr>
          <w:gridAfter w:val="1"/>
          <w:wAfter w:w="441" w:type="dxa"/>
        </w:trPr>
        <w:tc>
          <w:tcPr>
            <w:tcW w:w="10065" w:type="dxa"/>
            <w:gridSpan w:val="2"/>
            <w:tcBorders>
              <w:bottom w:val="single" w:sz="4" w:space="0" w:color="auto"/>
            </w:tcBorders>
            <w:shd w:val="clear" w:color="auto" w:fill="auto"/>
          </w:tcPr>
          <w:p w:rsidR="003331EA" w:rsidRPr="002A637F" w:rsidRDefault="002A637F" w:rsidP="00E5144B">
            <w:pPr>
              <w:jc w:val="both"/>
            </w:pPr>
            <w:r>
              <w:t>С продължаването на действието на член 7 след 2020 г. ще продължат да намаляват крайното енергийно потребление (прогнозните икономии за 2030 г. са в размер на 8</w:t>
            </w:r>
            <w:r w:rsidR="000C1D70">
              <w:t>1</w:t>
            </w:r>
            <w:r>
              <w:t> милиона тона нефтен еквивалент (млн. т н.е.) и енергийните сметки на потребителите, и да се разширяват положителните аспекти на подобрената енергийна ефективност във връзка с въздействието ѝ върху икономиката (напр. по-нататъшно развитие на пазара за енергийни услуги), околната среда, социалната сфера (включително за преодоляване на енергийната бедност) и здравеопазването.</w:t>
            </w:r>
          </w:p>
          <w:p w:rsidR="007F0EA3" w:rsidRPr="00E5144B" w:rsidRDefault="007F0EA3" w:rsidP="00D04C04">
            <w:pPr>
              <w:jc w:val="both"/>
            </w:pPr>
          </w:p>
          <w:p w:rsidR="003331EA" w:rsidRDefault="005221A0" w:rsidP="005B252D">
            <w:pPr>
              <w:jc w:val="both"/>
              <w:rPr>
                <w:rFonts w:ascii="Arial" w:hAnsi="Arial" w:cs="Arial"/>
                <w:sz w:val="20"/>
                <w:szCs w:val="20"/>
              </w:rPr>
            </w:pPr>
            <w:r>
              <w:t>Допълнителните икономии на енергия по членове 9 — 11, дължащи се на по-добро прилагане на изискванията на ДЕЕ във връзка с отоплението в многофамилни жилищни сгради се очаква да бъдат около 7 млн. т н.е., което е увеличение с 50 % спрямо прогнозните икономии при сценарий без регулаторна намеса.</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C0C0C0"/>
          </w:tcPr>
          <w:p w:rsidR="003331EA" w:rsidRPr="0040097D" w:rsidRDefault="003331EA" w:rsidP="00D04C04">
            <w:pPr>
              <w:spacing w:before="60" w:after="60"/>
              <w:jc w:val="center"/>
              <w:rPr>
                <w:rFonts w:ascii="Tahoma" w:hAnsi="Tahoma" w:cs="Tahoma"/>
                <w:b/>
                <w:sz w:val="22"/>
                <w:szCs w:val="22"/>
              </w:rPr>
            </w:pPr>
            <w:r>
              <w:rPr>
                <w:rFonts w:ascii="Tahoma" w:hAnsi="Tahoma"/>
                <w:b/>
                <w:sz w:val="22"/>
              </w:rPr>
              <w:t>Г. Последващи действия</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E6E6E6"/>
          </w:tcPr>
          <w:p w:rsidR="003331EA" w:rsidRPr="00501394" w:rsidRDefault="003331EA" w:rsidP="00CC2027">
            <w:pPr>
              <w:spacing w:before="60"/>
              <w:jc w:val="both"/>
              <w:rPr>
                <w:rFonts w:ascii="Tahoma" w:hAnsi="Tahoma" w:cs="Tahoma"/>
                <w:sz w:val="20"/>
                <w:szCs w:val="20"/>
              </w:rPr>
            </w:pPr>
            <w:r>
              <w:rPr>
                <w:rFonts w:ascii="Tahoma" w:hAnsi="Tahoma"/>
                <w:b/>
                <w:sz w:val="20"/>
              </w:rPr>
              <w:t xml:space="preserve">Кога ще бъде следващото преразглеждане на политиката? </w:t>
            </w:r>
          </w:p>
        </w:tc>
      </w:tr>
      <w:tr w:rsidR="003331EA" w:rsidRPr="00501394" w:rsidTr="003331EA">
        <w:tblPrEx>
          <w:jc w:val="left"/>
        </w:tblPrEx>
        <w:trPr>
          <w:gridAfter w:val="1"/>
          <w:wAfter w:w="441" w:type="dxa"/>
        </w:trPr>
        <w:tc>
          <w:tcPr>
            <w:tcW w:w="10065" w:type="dxa"/>
            <w:gridSpan w:val="2"/>
            <w:tcBorders>
              <w:bottom w:val="single" w:sz="4" w:space="0" w:color="auto"/>
            </w:tcBorders>
            <w:shd w:val="clear" w:color="auto" w:fill="auto"/>
          </w:tcPr>
          <w:p w:rsidR="00D54C5C" w:rsidRDefault="005B252D" w:rsidP="00943190">
            <w:pPr>
              <w:jc w:val="both"/>
            </w:pPr>
            <w:r>
              <w:t xml:space="preserve">В настоящото предложение не се предвиждат изменения на съществуващите задължения за докладване, но с инициативата относно управлението на Енергийния съюз ще бъде осигурено въвеждане на прозрачна и надеждна система за планиране, докладване и мониторинг, базираща се на интегрирани национални планове в областта на енергетиката и климата и на рационализирани доклади на държавите членки относно постигнатия напредък, с които редовно да се оценява прилагането на националните планове по отношение на петте измерения на Енергийния съюз. </w:t>
            </w:r>
          </w:p>
          <w:p w:rsidR="00D54C5C" w:rsidRDefault="00D54C5C" w:rsidP="00943190">
            <w:pPr>
              <w:jc w:val="both"/>
            </w:pPr>
          </w:p>
          <w:p w:rsidR="00066CF8" w:rsidRPr="00066CF8" w:rsidRDefault="00576F55" w:rsidP="005B252D">
            <w:pPr>
              <w:jc w:val="both"/>
            </w:pPr>
            <w:r>
              <w:t xml:space="preserve">Резултатите от прилагането на ДЕЕ ще бъдат оценени пет години след влизането в сила на преразгледаната директива, във връзка с въвеждането на ново изискване към Комисията за генерално преразглеждане на директивата. </w:t>
            </w:r>
          </w:p>
        </w:tc>
      </w:tr>
    </w:tbl>
    <w:p w:rsidR="005452AD" w:rsidRPr="00FB6719" w:rsidRDefault="005452AD" w:rsidP="00050FF0">
      <w:pPr>
        <w:autoSpaceDE w:val="0"/>
        <w:autoSpaceDN w:val="0"/>
        <w:adjustRightInd w:val="0"/>
        <w:rPr>
          <w:rFonts w:ascii="Tahoma" w:eastAsiaTheme="minorHAnsi" w:hAnsi="Tahoma" w:cs="Tahoma"/>
          <w:color w:val="000000"/>
          <w:sz w:val="20"/>
          <w:szCs w:val="20"/>
        </w:rPr>
      </w:pPr>
    </w:p>
    <w:sectPr w:rsidR="005452AD" w:rsidRPr="00FB6719" w:rsidSect="0095020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CB" w:rsidRDefault="00C63ECB" w:rsidP="007416A1">
      <w:r>
        <w:separator/>
      </w:r>
    </w:p>
  </w:endnote>
  <w:endnote w:type="continuationSeparator" w:id="0">
    <w:p w:rsidR="00C63ECB" w:rsidRDefault="00C63ECB" w:rsidP="0074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19" w:rsidRPr="00FB6719" w:rsidRDefault="00FB6719" w:rsidP="00FB6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19" w:rsidRPr="00FB6719" w:rsidRDefault="00FB6719" w:rsidP="00FB6719">
    <w:pPr>
      <w:pStyle w:val="FooterCoverPage"/>
      <w:rPr>
        <w:rFonts w:ascii="Arial" w:hAnsi="Arial" w:cs="Arial"/>
        <w:b/>
        <w:sz w:val="48"/>
      </w:rPr>
    </w:pPr>
    <w:r w:rsidRPr="00FB6719">
      <w:rPr>
        <w:rFonts w:ascii="Arial" w:hAnsi="Arial" w:cs="Arial"/>
        <w:b/>
        <w:sz w:val="48"/>
      </w:rPr>
      <w:t>BG</w:t>
    </w:r>
    <w:r w:rsidRPr="00FB6719">
      <w:rPr>
        <w:rFonts w:ascii="Arial" w:hAnsi="Arial" w:cs="Arial"/>
        <w:b/>
        <w:sz w:val="48"/>
      </w:rPr>
      <w:tab/>
    </w:r>
    <w:r w:rsidRPr="00FB6719">
      <w:rPr>
        <w:rFonts w:ascii="Arial" w:hAnsi="Arial" w:cs="Arial"/>
        <w:b/>
        <w:sz w:val="48"/>
      </w:rPr>
      <w:tab/>
    </w:r>
    <w:fldSimple w:instr=" DOCVARIABLE &quot;LW_Confidence&quot; \* MERGEFORMAT ">
      <w:r>
        <w:t xml:space="preserve"> </w:t>
      </w:r>
    </w:fldSimple>
    <w:r w:rsidRPr="00FB6719">
      <w:tab/>
    </w:r>
    <w:r w:rsidRPr="00FB6719">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19" w:rsidRPr="00FB6719" w:rsidRDefault="00FB6719" w:rsidP="00FB671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73660"/>
      <w:docPartObj>
        <w:docPartGallery w:val="Page Numbers (Bottom of Page)"/>
        <w:docPartUnique/>
      </w:docPartObj>
    </w:sdtPr>
    <w:sdtEndPr>
      <w:rPr>
        <w:noProof/>
      </w:rPr>
    </w:sdtEndPr>
    <w:sdtContent>
      <w:p w:rsidR="0095020F" w:rsidRDefault="0095020F">
        <w:pPr>
          <w:pStyle w:val="Footer"/>
          <w:jc w:val="center"/>
        </w:pPr>
        <w:r>
          <w:fldChar w:fldCharType="begin"/>
        </w:r>
        <w:r>
          <w:instrText xml:space="preserve"> PAGE   \* MERGEFORMAT </w:instrText>
        </w:r>
        <w:r>
          <w:fldChar w:fldCharType="separate"/>
        </w:r>
        <w:r w:rsidR="00FB6719">
          <w:rPr>
            <w:noProof/>
          </w:rPr>
          <w:t>2</w:t>
        </w:r>
        <w:r>
          <w:rPr>
            <w:noProof/>
          </w:rPr>
          <w:fldChar w:fldCharType="end"/>
        </w:r>
      </w:p>
    </w:sdtContent>
  </w:sdt>
  <w:p w:rsidR="00A5268D" w:rsidRDefault="00A526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CB" w:rsidRDefault="00C63ECB" w:rsidP="007416A1">
      <w:r>
        <w:separator/>
      </w:r>
    </w:p>
  </w:footnote>
  <w:footnote w:type="continuationSeparator" w:id="0">
    <w:p w:rsidR="00C63ECB" w:rsidRDefault="00C63ECB" w:rsidP="0074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19" w:rsidRPr="00FB6719" w:rsidRDefault="00FB6719" w:rsidP="00FB6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19" w:rsidRPr="00FB6719" w:rsidRDefault="00FB6719" w:rsidP="00FB671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19" w:rsidRPr="00FB6719" w:rsidRDefault="00FB6719" w:rsidP="00FB671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9B"/>
    <w:multiLevelType w:val="hybridMultilevel"/>
    <w:tmpl w:val="20EECE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A2CBC"/>
    <w:multiLevelType w:val="hybridMultilevel"/>
    <w:tmpl w:val="0648684A"/>
    <w:lvl w:ilvl="0" w:tplc="08090001">
      <w:start w:val="1"/>
      <w:numFmt w:val="bullet"/>
      <w:lvlText w:val=""/>
      <w:lvlJc w:val="left"/>
      <w:pPr>
        <w:ind w:left="360" w:hanging="360"/>
      </w:pPr>
      <w:rPr>
        <w:rFonts w:ascii="Symbol" w:hAnsi="Symbol" w:hint="default"/>
      </w:rPr>
    </w:lvl>
    <w:lvl w:ilvl="1" w:tplc="34E0D7C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A85275"/>
    <w:multiLevelType w:val="hybridMultilevel"/>
    <w:tmpl w:val="E93A1540"/>
    <w:lvl w:ilvl="0" w:tplc="08090001">
      <w:start w:val="1"/>
      <w:numFmt w:val="bullet"/>
      <w:lvlText w:val=""/>
      <w:lvlJc w:val="left"/>
      <w:pPr>
        <w:ind w:left="304" w:hanging="360"/>
      </w:pPr>
      <w:rPr>
        <w:rFonts w:ascii="Symbol" w:hAnsi="Symbol" w:hint="default"/>
      </w:rPr>
    </w:lvl>
    <w:lvl w:ilvl="1" w:tplc="08090003" w:tentative="1">
      <w:start w:val="1"/>
      <w:numFmt w:val="bullet"/>
      <w:lvlText w:val="o"/>
      <w:lvlJc w:val="left"/>
      <w:pPr>
        <w:ind w:left="1024" w:hanging="360"/>
      </w:pPr>
      <w:rPr>
        <w:rFonts w:ascii="Courier New" w:hAnsi="Courier New" w:hint="default"/>
      </w:rPr>
    </w:lvl>
    <w:lvl w:ilvl="2" w:tplc="08090005" w:tentative="1">
      <w:start w:val="1"/>
      <w:numFmt w:val="bullet"/>
      <w:lvlText w:val=""/>
      <w:lvlJc w:val="left"/>
      <w:pPr>
        <w:ind w:left="1744" w:hanging="360"/>
      </w:pPr>
      <w:rPr>
        <w:rFonts w:ascii="Wingdings" w:hAnsi="Wingdings" w:hint="default"/>
      </w:rPr>
    </w:lvl>
    <w:lvl w:ilvl="3" w:tplc="08090001" w:tentative="1">
      <w:start w:val="1"/>
      <w:numFmt w:val="bullet"/>
      <w:lvlText w:val=""/>
      <w:lvlJc w:val="left"/>
      <w:pPr>
        <w:ind w:left="2464" w:hanging="360"/>
      </w:pPr>
      <w:rPr>
        <w:rFonts w:ascii="Symbol" w:hAnsi="Symbol" w:hint="default"/>
      </w:rPr>
    </w:lvl>
    <w:lvl w:ilvl="4" w:tplc="08090003" w:tentative="1">
      <w:start w:val="1"/>
      <w:numFmt w:val="bullet"/>
      <w:lvlText w:val="o"/>
      <w:lvlJc w:val="left"/>
      <w:pPr>
        <w:ind w:left="3184" w:hanging="360"/>
      </w:pPr>
      <w:rPr>
        <w:rFonts w:ascii="Courier New" w:hAnsi="Courier New" w:hint="default"/>
      </w:rPr>
    </w:lvl>
    <w:lvl w:ilvl="5" w:tplc="08090005" w:tentative="1">
      <w:start w:val="1"/>
      <w:numFmt w:val="bullet"/>
      <w:lvlText w:val=""/>
      <w:lvlJc w:val="left"/>
      <w:pPr>
        <w:ind w:left="3904" w:hanging="360"/>
      </w:pPr>
      <w:rPr>
        <w:rFonts w:ascii="Wingdings" w:hAnsi="Wingdings" w:hint="default"/>
      </w:rPr>
    </w:lvl>
    <w:lvl w:ilvl="6" w:tplc="08090001" w:tentative="1">
      <w:start w:val="1"/>
      <w:numFmt w:val="bullet"/>
      <w:lvlText w:val=""/>
      <w:lvlJc w:val="left"/>
      <w:pPr>
        <w:ind w:left="4624" w:hanging="360"/>
      </w:pPr>
      <w:rPr>
        <w:rFonts w:ascii="Symbol" w:hAnsi="Symbol" w:hint="default"/>
      </w:rPr>
    </w:lvl>
    <w:lvl w:ilvl="7" w:tplc="08090003" w:tentative="1">
      <w:start w:val="1"/>
      <w:numFmt w:val="bullet"/>
      <w:lvlText w:val="o"/>
      <w:lvlJc w:val="left"/>
      <w:pPr>
        <w:ind w:left="5344" w:hanging="360"/>
      </w:pPr>
      <w:rPr>
        <w:rFonts w:ascii="Courier New" w:hAnsi="Courier New" w:hint="default"/>
      </w:rPr>
    </w:lvl>
    <w:lvl w:ilvl="8" w:tplc="08090005" w:tentative="1">
      <w:start w:val="1"/>
      <w:numFmt w:val="bullet"/>
      <w:lvlText w:val=""/>
      <w:lvlJc w:val="left"/>
      <w:pPr>
        <w:ind w:left="6064" w:hanging="360"/>
      </w:pPr>
      <w:rPr>
        <w:rFonts w:ascii="Wingdings" w:hAnsi="Wingdings" w:hint="default"/>
      </w:rPr>
    </w:lvl>
  </w:abstractNum>
  <w:abstractNum w:abstractNumId="3">
    <w:nsid w:val="28AC1B69"/>
    <w:multiLevelType w:val="hybridMultilevel"/>
    <w:tmpl w:val="9794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EF2D2E"/>
    <w:multiLevelType w:val="hybridMultilevel"/>
    <w:tmpl w:val="E88E2C3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3DA5359D"/>
    <w:multiLevelType w:val="hybridMultilevel"/>
    <w:tmpl w:val="0F18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BF0FA3"/>
    <w:multiLevelType w:val="hybridMultilevel"/>
    <w:tmpl w:val="38A6A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7?\u1088?\u1080?\u1076?\u1088?\u1091?\u1078?\u1072?\u1074?\u1072?\u1097?"/>
    <w:docVar w:name="LW_CONFIDENCE" w:val=" "/>
    <w:docVar w:name="LW_CONST_RESTREINT_UE" w:val="RESTREINT UE/EU RESTRICTED"/>
    <w:docVar w:name="LW_CORRIGENDUM" w:val="&lt;UNUSED&gt;"/>
    <w:docVar w:name="LW_COVERPAGE_GUID" w:val="CF7F903CE7444524ADAEF7A1C8A615A7"/>
    <w:docVar w:name="LW_CROSSREFERENCE" w:val="{COM(2016) 761 final}_x000a_{SWD(2016) 405 final}"/>
    <w:docVar w:name="LW_DocType" w:val="NORMAL"/>
    <w:docVar w:name="LW_EMISSION" w:val="30.11.2016"/>
    <w:docVar w:name="LW_EMISSION_ISODATE" w:val="2016-11-30"/>
    <w:docVar w:name="LW_EMISSION_LOCATION" w:val="BRX"/>
    <w:docVar w:name="LW_EMISSION_PREFIX" w:val="Брюксел, "/>
    <w:docVar w:name="LW_EMISSION_SUFFIX" w:val=" г."/>
    <w:docVar w:name="LW_ID_DOCTYPE_NONLW" w:val="CP-027"/>
    <w:docVar w:name="LW_LANGUE" w:val="BG"/>
    <w:docVar w:name="LW_MARKING" w:val="&lt;UNUSED&gt;"/>
    <w:docVar w:name="LW_NOM.INST" w:val="\u1045?\u1042?\u1056?\u1054?\u1055?\u1045?\u1049?\u1057?\u1050?\u1040? \u1050?\u1054?\u1052?\u1048?\u1057?\u1048?\u1071?"/>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6) 406"/>
    <w:docVar w:name="LW_REF.INTERNE" w:val="&lt;UNUSED&gt;"/>
    <w:docVar w:name="LW_SUPERTITRE" w:val="&lt;UNUSED&gt;"/>
    <w:docVar w:name="LW_TITRE.OBJ.CP" w:val="&lt;UNUSED&gt;"/>
    <w:docVar w:name="LW_TYPE.DOC.CP" w:val="\u1056?\u1040?\u1041?\u1054?\u1058?\u1045?\u1053? \u1044?\u1054?\u1050?\u1059?\u1052?\u1045?\u1053?\u1058? \u1053?\u1040? \u1057?\u1051?\u1059?\u1046?\u1041?\u1048?\u1058?\u1045? \u1053?\u1040? \u1050?\u1054?\u1052?\u1048?\u1057?\u1048?\u1071?\u1058?\u1040?_x000b__x000b_\u1054?\u1041?\u1054?\u1041?\u1065?\u1045?\u1053?\u1040? \u1054?\u1062?\u1045?\u1053?\u1050?\u1040? \u1053?\u1040? \u1042?\u1066?\u1047?\u1044?\u1045?\u1049?\u1057?\u1058?\u1042?\u1048?\u1045?\u1058?\u1054?_x000b_"/>
    <w:docVar w:name="LW_TYPEACTEPRINCIPAL.CP" w:val="\u1055?\u1088?\u1077?\u1076?\u1083?\u1086?\u1078?\u1077?\u1085?\u1080?\u1077? \u1079?\u1072? \u1076?\u1080?\u1088?\u1077?\u1082?\u1090?\u1080?\u1074?\u1072? \u1085?\u1072? \u1045?\u1074?\u1088?\u1086?\u1087?\u1077?\u1081?\u1089?\u1082?\u1080?\u1103? \u1087?\u1072?\u1088?\u1083?\u1072?\u1084?\u1077?\u1085?\u1090? \u1080? \u1085?\u1072? \u1057?\u1098?\u1074?\u1077?\u1090?\u1072? _x000b_\u1079?\u1072? \u1080?\u1079?\u1084?\u1077?\u1085?\u1077?\u1085?\u1080?\u1077? \u1085?\u1072? \u1044?\u1080?\u1088?\u1077?\u1082?\u1090?\u1080?\u1074?\u1072? 2012/27/\u1045?\u1057? \u1086?\u1090?\u1085?\u1086?\u1089?\u1085?\u1086? \u1077?\u1085?\u1077?\u1088?\u1075?\u1080?\u1081?\u1085?\u1072?\u1090?\u1072? \u1077?\u1092?\u1077?\u1082?\u1090?\u1080?\u1074?\u1085?\u1086?\u1089?\u1090?"/>
  </w:docVars>
  <w:rsids>
    <w:rsidRoot w:val="00E63E91"/>
    <w:rsid w:val="00050FF0"/>
    <w:rsid w:val="000525B2"/>
    <w:rsid w:val="00053CA8"/>
    <w:rsid w:val="000559CB"/>
    <w:rsid w:val="0005651C"/>
    <w:rsid w:val="00066CF8"/>
    <w:rsid w:val="00072EF3"/>
    <w:rsid w:val="00091901"/>
    <w:rsid w:val="000B2E4B"/>
    <w:rsid w:val="000C1D70"/>
    <w:rsid w:val="000C50F9"/>
    <w:rsid w:val="000D5469"/>
    <w:rsid w:val="000E00FA"/>
    <w:rsid w:val="00135D63"/>
    <w:rsid w:val="00146B26"/>
    <w:rsid w:val="00146DAE"/>
    <w:rsid w:val="001A6810"/>
    <w:rsid w:val="001A749F"/>
    <w:rsid w:val="001E3F73"/>
    <w:rsid w:val="0022170A"/>
    <w:rsid w:val="00222146"/>
    <w:rsid w:val="002774B4"/>
    <w:rsid w:val="002835B0"/>
    <w:rsid w:val="002A02E9"/>
    <w:rsid w:val="002A5C80"/>
    <w:rsid w:val="002A637F"/>
    <w:rsid w:val="002D7928"/>
    <w:rsid w:val="002E06E3"/>
    <w:rsid w:val="002F2A9A"/>
    <w:rsid w:val="003207B8"/>
    <w:rsid w:val="00332A97"/>
    <w:rsid w:val="003331EA"/>
    <w:rsid w:val="003724B9"/>
    <w:rsid w:val="0037317C"/>
    <w:rsid w:val="00373BE4"/>
    <w:rsid w:val="00381E5D"/>
    <w:rsid w:val="003A0C64"/>
    <w:rsid w:val="003F24A5"/>
    <w:rsid w:val="00420C25"/>
    <w:rsid w:val="00436403"/>
    <w:rsid w:val="00444C10"/>
    <w:rsid w:val="0049499D"/>
    <w:rsid w:val="004B566A"/>
    <w:rsid w:val="005221A0"/>
    <w:rsid w:val="005322E2"/>
    <w:rsid w:val="005452AD"/>
    <w:rsid w:val="00576F55"/>
    <w:rsid w:val="005846B8"/>
    <w:rsid w:val="005A73B4"/>
    <w:rsid w:val="005B1BCC"/>
    <w:rsid w:val="005B252D"/>
    <w:rsid w:val="005B27FB"/>
    <w:rsid w:val="005C1619"/>
    <w:rsid w:val="005E7A81"/>
    <w:rsid w:val="00624B04"/>
    <w:rsid w:val="00680A98"/>
    <w:rsid w:val="00691C96"/>
    <w:rsid w:val="006B307E"/>
    <w:rsid w:val="006B40C5"/>
    <w:rsid w:val="006D4867"/>
    <w:rsid w:val="006D5796"/>
    <w:rsid w:val="0070497E"/>
    <w:rsid w:val="0072309B"/>
    <w:rsid w:val="007416A1"/>
    <w:rsid w:val="00752094"/>
    <w:rsid w:val="00782841"/>
    <w:rsid w:val="007B7079"/>
    <w:rsid w:val="007E7959"/>
    <w:rsid w:val="007F0EA3"/>
    <w:rsid w:val="0082074D"/>
    <w:rsid w:val="00840E7B"/>
    <w:rsid w:val="00857467"/>
    <w:rsid w:val="00883428"/>
    <w:rsid w:val="00894FA4"/>
    <w:rsid w:val="008A23C3"/>
    <w:rsid w:val="008C5FB2"/>
    <w:rsid w:val="008E2546"/>
    <w:rsid w:val="009105F5"/>
    <w:rsid w:val="00915A32"/>
    <w:rsid w:val="00943190"/>
    <w:rsid w:val="0095020F"/>
    <w:rsid w:val="009A07BA"/>
    <w:rsid w:val="009B5884"/>
    <w:rsid w:val="00A23F06"/>
    <w:rsid w:val="00A36B92"/>
    <w:rsid w:val="00A5268D"/>
    <w:rsid w:val="00A6324D"/>
    <w:rsid w:val="00A72927"/>
    <w:rsid w:val="00AC0895"/>
    <w:rsid w:val="00AC5FFB"/>
    <w:rsid w:val="00B01D5F"/>
    <w:rsid w:val="00B0750E"/>
    <w:rsid w:val="00B8219C"/>
    <w:rsid w:val="00B96FCE"/>
    <w:rsid w:val="00BA39D1"/>
    <w:rsid w:val="00BE2A06"/>
    <w:rsid w:val="00BE7406"/>
    <w:rsid w:val="00C35E8E"/>
    <w:rsid w:val="00C61DE0"/>
    <w:rsid w:val="00C63ECB"/>
    <w:rsid w:val="00C97083"/>
    <w:rsid w:val="00CA4162"/>
    <w:rsid w:val="00CC0826"/>
    <w:rsid w:val="00CC2027"/>
    <w:rsid w:val="00CD02D1"/>
    <w:rsid w:val="00CF05B5"/>
    <w:rsid w:val="00D119AD"/>
    <w:rsid w:val="00D25FA3"/>
    <w:rsid w:val="00D30375"/>
    <w:rsid w:val="00D54C5C"/>
    <w:rsid w:val="00D90871"/>
    <w:rsid w:val="00DD2E67"/>
    <w:rsid w:val="00DE563C"/>
    <w:rsid w:val="00E42610"/>
    <w:rsid w:val="00E5144B"/>
    <w:rsid w:val="00E63E91"/>
    <w:rsid w:val="00E7233D"/>
    <w:rsid w:val="00E966BB"/>
    <w:rsid w:val="00EB2BC6"/>
    <w:rsid w:val="00EF2451"/>
    <w:rsid w:val="00F43B5D"/>
    <w:rsid w:val="00FB1653"/>
    <w:rsid w:val="00FB4535"/>
    <w:rsid w:val="00FB6719"/>
    <w:rsid w:val="00FD18A3"/>
    <w:rsid w:val="00FF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84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53C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828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rsid w:val="00053CA8"/>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rsid w:val="00053CA8"/>
    <w:rPr>
      <w:rFonts w:ascii="Times New Roman" w:eastAsia="Times New Roman" w:hAnsi="Times New Roman" w:cs="Times New Roman"/>
      <w:sz w:val="24"/>
      <w:szCs w:val="24"/>
      <w:lang w:val="bg-BG" w:eastAsia="bg-BG"/>
    </w:rPr>
  </w:style>
  <w:style w:type="paragraph" w:customStyle="1" w:styleId="Style2Heading2">
    <w:name w:val="Style2_Heading 2"/>
    <w:basedOn w:val="Heading3"/>
    <w:link w:val="Style2Heading2Char"/>
    <w:uiPriority w:val="99"/>
    <w:qFormat/>
    <w:rsid w:val="00053CA8"/>
    <w:pPr>
      <w:keepLines w:val="0"/>
      <w:spacing w:before="0" w:after="240"/>
      <w:ind w:left="862" w:hanging="720"/>
    </w:pPr>
    <w:rPr>
      <w:rFonts w:ascii="Times New Roman" w:eastAsia="Times New Roman" w:hAnsi="Times New Roman" w:cs="Times New Roman"/>
      <w:sz w:val="26"/>
      <w:szCs w:val="26"/>
    </w:rPr>
  </w:style>
  <w:style w:type="character" w:customStyle="1" w:styleId="Style2Heading2Char">
    <w:name w:val="Style2_Heading 2 Char"/>
    <w:basedOn w:val="Heading3Char"/>
    <w:link w:val="Style2Heading2"/>
    <w:uiPriority w:val="99"/>
    <w:locked/>
    <w:rsid w:val="00053CA8"/>
    <w:rPr>
      <w:rFonts w:ascii="Times New Roman" w:eastAsia="Times New Roman" w:hAnsi="Times New Roman" w:cs="Times New Roman"/>
      <w:b/>
      <w:bCs/>
      <w:color w:val="4F81BD" w:themeColor="accent1"/>
      <w:sz w:val="26"/>
      <w:szCs w:val="26"/>
      <w:lang w:val="bg-BG" w:eastAsia="bg-BG"/>
    </w:rPr>
  </w:style>
  <w:style w:type="character" w:customStyle="1" w:styleId="Heading3Char">
    <w:name w:val="Heading 3 Char"/>
    <w:basedOn w:val="DefaultParagraphFont"/>
    <w:link w:val="Heading3"/>
    <w:uiPriority w:val="9"/>
    <w:semiHidden/>
    <w:rsid w:val="00053CA8"/>
    <w:rPr>
      <w:rFonts w:asciiTheme="majorHAnsi" w:eastAsiaTheme="majorEastAsia" w:hAnsiTheme="majorHAnsi" w:cstheme="majorBidi"/>
      <w:b/>
      <w:bCs/>
      <w:color w:val="4F81BD" w:themeColor="accent1"/>
      <w:sz w:val="24"/>
      <w:szCs w:val="24"/>
      <w:lang w:eastAsia="bg-BG"/>
    </w:r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2"/>
    <w:uiPriority w:val="99"/>
    <w:qFormat/>
    <w:rsid w:val="007416A1"/>
    <w:rPr>
      <w:sz w:val="20"/>
      <w:szCs w:val="20"/>
    </w:rPr>
  </w:style>
  <w:style w:type="character" w:customStyle="1" w:styleId="FootnoteTextChar">
    <w:name w:val="Footnote Text Char"/>
    <w:basedOn w:val="DefaultParagraphFont"/>
    <w:uiPriority w:val="99"/>
    <w:semiHidden/>
    <w:rsid w:val="007416A1"/>
    <w:rPr>
      <w:rFonts w:ascii="Times New Roman" w:eastAsia="Times New Roman" w:hAnsi="Times New Roman" w:cs="Times New Roman"/>
      <w:sz w:val="20"/>
      <w:szCs w:val="20"/>
      <w:lang w:eastAsia="bg-BG"/>
    </w:rPr>
  </w:style>
  <w:style w:type="character" w:customStyle="1" w:styleId="FootnoteTextChar2">
    <w:name w:val="Footnote Text Char2"/>
    <w:aliases w:val="-E Fußnotentext Char,Fußnotentext Ursprung Char,-E Fußnotentext1 Char,-E Fußnotentext2 Char,-E Fußnotentext3 Char,Schriftart: 9 pt Char,Schriftart: 10 pt Char,Schriftart: 8 pt Char,WB-Fußnotentext Char,fn Char,Footnotes Char,f Char"/>
    <w:basedOn w:val="DefaultParagraphFont"/>
    <w:link w:val="FootnoteText"/>
    <w:uiPriority w:val="99"/>
    <w:locked/>
    <w:rsid w:val="007416A1"/>
    <w:rPr>
      <w:rFonts w:ascii="Times New Roman" w:eastAsia="Times New Roman" w:hAnsi="Times New Roman" w:cs="Times New Roman"/>
      <w:sz w:val="20"/>
      <w:szCs w:val="20"/>
      <w:lang w:eastAsia="bg-BG"/>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Nota,R"/>
    <w:basedOn w:val="DefaultParagraphFont"/>
    <w:link w:val="FootnotesymbolCarZchn"/>
    <w:uiPriority w:val="99"/>
    <w:qFormat/>
    <w:rsid w:val="007416A1"/>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7416A1"/>
    <w:pPr>
      <w:spacing w:after="160" w:line="240" w:lineRule="exact"/>
      <w:jc w:val="both"/>
    </w:pPr>
    <w:rPr>
      <w:rFonts w:asciiTheme="minorHAnsi" w:eastAsiaTheme="minorHAnsi" w:hAnsiTheme="minorHAnsi"/>
      <w:sz w:val="22"/>
      <w:szCs w:val="22"/>
      <w:vertAlign w:val="superscript"/>
    </w:rPr>
  </w:style>
  <w:style w:type="paragraph" w:styleId="BalloonText">
    <w:name w:val="Balloon Text"/>
    <w:basedOn w:val="Normal"/>
    <w:link w:val="BalloonTextChar"/>
    <w:uiPriority w:val="99"/>
    <w:semiHidden/>
    <w:unhideWhenUsed/>
    <w:rsid w:val="00840E7B"/>
    <w:rPr>
      <w:rFonts w:ascii="Tahoma" w:hAnsi="Tahoma" w:cs="Tahoma"/>
      <w:sz w:val="16"/>
      <w:szCs w:val="16"/>
    </w:rPr>
  </w:style>
  <w:style w:type="character" w:customStyle="1" w:styleId="BalloonTextChar">
    <w:name w:val="Balloon Text Char"/>
    <w:basedOn w:val="DefaultParagraphFont"/>
    <w:link w:val="BalloonText"/>
    <w:uiPriority w:val="99"/>
    <w:semiHidden/>
    <w:rsid w:val="00840E7B"/>
    <w:rPr>
      <w:rFonts w:ascii="Tahoma" w:eastAsia="Times New Roman" w:hAnsi="Tahoma" w:cs="Tahoma"/>
      <w:sz w:val="16"/>
      <w:szCs w:val="16"/>
      <w:lang w:eastAsia="bg-BG"/>
    </w:rPr>
  </w:style>
  <w:style w:type="character" w:customStyle="1" w:styleId="Marker">
    <w:name w:val="Marker"/>
    <w:basedOn w:val="DefaultParagraphFont"/>
    <w:rsid w:val="00A5268D"/>
    <w:rPr>
      <w:color w:val="0000FF"/>
      <w:shd w:val="clear" w:color="auto" w:fill="auto"/>
    </w:rPr>
  </w:style>
  <w:style w:type="paragraph" w:customStyle="1" w:styleId="Pagedecouverture">
    <w:name w:val="Page de couverture"/>
    <w:basedOn w:val="Normal"/>
    <w:next w:val="Normal"/>
    <w:rsid w:val="00A5268D"/>
    <w:pPr>
      <w:jc w:val="both"/>
    </w:pPr>
    <w:rPr>
      <w:rFonts w:eastAsiaTheme="minorHAnsi"/>
      <w:szCs w:val="22"/>
    </w:rPr>
  </w:style>
  <w:style w:type="paragraph" w:styleId="Header">
    <w:name w:val="header"/>
    <w:basedOn w:val="Normal"/>
    <w:link w:val="HeaderChar"/>
    <w:uiPriority w:val="99"/>
    <w:unhideWhenUsed/>
    <w:rsid w:val="00A5268D"/>
    <w:pPr>
      <w:tabs>
        <w:tab w:val="center" w:pos="4536"/>
        <w:tab w:val="right" w:pos="9072"/>
      </w:tabs>
    </w:pPr>
  </w:style>
  <w:style w:type="character" w:customStyle="1" w:styleId="HeaderChar">
    <w:name w:val="Header Char"/>
    <w:basedOn w:val="DefaultParagraphFont"/>
    <w:link w:val="Header"/>
    <w:uiPriority w:val="99"/>
    <w:rsid w:val="00A5268D"/>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5268D"/>
    <w:pPr>
      <w:tabs>
        <w:tab w:val="center" w:pos="4536"/>
        <w:tab w:val="right" w:pos="9072"/>
      </w:tabs>
    </w:pPr>
  </w:style>
  <w:style w:type="character" w:customStyle="1" w:styleId="FooterChar">
    <w:name w:val="Footer Char"/>
    <w:basedOn w:val="DefaultParagraphFont"/>
    <w:link w:val="Footer"/>
    <w:uiPriority w:val="99"/>
    <w:rsid w:val="00A5268D"/>
    <w:rPr>
      <w:rFonts w:ascii="Times New Roman" w:eastAsia="Times New Roman" w:hAnsi="Times New Roman" w:cs="Times New Roman"/>
      <w:sz w:val="24"/>
      <w:szCs w:val="24"/>
      <w:lang w:eastAsia="bg-BG"/>
    </w:rPr>
  </w:style>
  <w:style w:type="paragraph" w:customStyle="1" w:styleId="FooterCoverPage">
    <w:name w:val="Footer Cover Page"/>
    <w:basedOn w:val="Normal"/>
    <w:link w:val="FooterCoverPageChar"/>
    <w:rsid w:val="00A5268D"/>
    <w:pPr>
      <w:tabs>
        <w:tab w:val="center" w:pos="4535"/>
        <w:tab w:val="right" w:pos="9071"/>
        <w:tab w:val="right" w:pos="9921"/>
      </w:tabs>
      <w:spacing w:before="360"/>
      <w:ind w:left="-850" w:right="-850"/>
    </w:pPr>
    <w:rPr>
      <w:color w:val="000000"/>
    </w:rPr>
  </w:style>
  <w:style w:type="character" w:customStyle="1" w:styleId="DefaultChar">
    <w:name w:val="Default Char"/>
    <w:basedOn w:val="DefaultParagraphFont"/>
    <w:link w:val="Default"/>
    <w:rsid w:val="00A5268D"/>
    <w:rPr>
      <w:rFonts w:ascii="Arial" w:hAnsi="Arial" w:cs="Arial"/>
      <w:color w:val="000000"/>
      <w:sz w:val="24"/>
      <w:szCs w:val="24"/>
    </w:rPr>
  </w:style>
  <w:style w:type="character" w:customStyle="1" w:styleId="FooterCoverPageChar">
    <w:name w:val="Footer Cover Page Char"/>
    <w:basedOn w:val="DefaultChar"/>
    <w:link w:val="FooterCoverPage"/>
    <w:rsid w:val="00A5268D"/>
    <w:rPr>
      <w:rFonts w:ascii="Times New Roman" w:eastAsia="Times New Roman" w:hAnsi="Times New Roman" w:cs="Times New Roman"/>
      <w:color w:val="000000"/>
      <w:sz w:val="24"/>
      <w:szCs w:val="24"/>
    </w:rPr>
  </w:style>
  <w:style w:type="paragraph" w:customStyle="1" w:styleId="HeaderCoverPage">
    <w:name w:val="Header Cover Page"/>
    <w:basedOn w:val="Normal"/>
    <w:link w:val="HeaderCoverPageChar"/>
    <w:rsid w:val="00A5268D"/>
    <w:pPr>
      <w:tabs>
        <w:tab w:val="center" w:pos="4535"/>
        <w:tab w:val="right" w:pos="9071"/>
      </w:tabs>
      <w:spacing w:after="120"/>
      <w:jc w:val="both"/>
    </w:pPr>
    <w:rPr>
      <w:color w:val="000000"/>
    </w:rPr>
  </w:style>
  <w:style w:type="character" w:customStyle="1" w:styleId="HeaderCoverPageChar">
    <w:name w:val="Header Cover Page Char"/>
    <w:basedOn w:val="DefaultChar"/>
    <w:link w:val="HeaderCoverPage"/>
    <w:rsid w:val="00A5268D"/>
    <w:rPr>
      <w:rFonts w:ascii="Times New Roman" w:eastAsia="Times New Roman" w:hAnsi="Times New Roman" w:cs="Times New Roman"/>
      <w:color w:val="000000"/>
      <w:sz w:val="24"/>
      <w:szCs w:val="24"/>
    </w:rPr>
  </w:style>
  <w:style w:type="table" w:styleId="TableGrid">
    <w:name w:val="Table Grid"/>
    <w:basedOn w:val="TableNormal"/>
    <w:rsid w:val="00333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50E"/>
    <w:rPr>
      <w:sz w:val="16"/>
      <w:szCs w:val="16"/>
    </w:rPr>
  </w:style>
  <w:style w:type="paragraph" w:styleId="CommentText">
    <w:name w:val="annotation text"/>
    <w:basedOn w:val="Normal"/>
    <w:link w:val="CommentTextChar"/>
    <w:uiPriority w:val="99"/>
    <w:semiHidden/>
    <w:unhideWhenUsed/>
    <w:rsid w:val="00B0750E"/>
    <w:rPr>
      <w:sz w:val="20"/>
      <w:szCs w:val="20"/>
    </w:rPr>
  </w:style>
  <w:style w:type="character" w:customStyle="1" w:styleId="CommentTextChar">
    <w:name w:val="Comment Text Char"/>
    <w:basedOn w:val="DefaultParagraphFont"/>
    <w:link w:val="CommentText"/>
    <w:uiPriority w:val="99"/>
    <w:semiHidden/>
    <w:rsid w:val="00B0750E"/>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B0750E"/>
    <w:rPr>
      <w:b/>
      <w:bCs/>
    </w:rPr>
  </w:style>
  <w:style w:type="character" w:customStyle="1" w:styleId="CommentSubjectChar">
    <w:name w:val="Comment Subject Char"/>
    <w:basedOn w:val="CommentTextChar"/>
    <w:link w:val="CommentSubject"/>
    <w:uiPriority w:val="99"/>
    <w:semiHidden/>
    <w:rsid w:val="00B0750E"/>
    <w:rPr>
      <w:rFonts w:ascii="Times New Roman" w:eastAsia="Times New Roman" w:hAnsi="Times New Roman" w:cs="Times New Roman"/>
      <w:b/>
      <w:bCs/>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84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53C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828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rsid w:val="00053CA8"/>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rsid w:val="00053CA8"/>
    <w:rPr>
      <w:rFonts w:ascii="Times New Roman" w:eastAsia="Times New Roman" w:hAnsi="Times New Roman" w:cs="Times New Roman"/>
      <w:sz w:val="24"/>
      <w:szCs w:val="24"/>
      <w:lang w:val="bg-BG" w:eastAsia="bg-BG"/>
    </w:rPr>
  </w:style>
  <w:style w:type="paragraph" w:customStyle="1" w:styleId="Style2Heading2">
    <w:name w:val="Style2_Heading 2"/>
    <w:basedOn w:val="Heading3"/>
    <w:link w:val="Style2Heading2Char"/>
    <w:uiPriority w:val="99"/>
    <w:qFormat/>
    <w:rsid w:val="00053CA8"/>
    <w:pPr>
      <w:keepLines w:val="0"/>
      <w:spacing w:before="0" w:after="240"/>
      <w:ind w:left="862" w:hanging="720"/>
    </w:pPr>
    <w:rPr>
      <w:rFonts w:ascii="Times New Roman" w:eastAsia="Times New Roman" w:hAnsi="Times New Roman" w:cs="Times New Roman"/>
      <w:sz w:val="26"/>
      <w:szCs w:val="26"/>
    </w:rPr>
  </w:style>
  <w:style w:type="character" w:customStyle="1" w:styleId="Style2Heading2Char">
    <w:name w:val="Style2_Heading 2 Char"/>
    <w:basedOn w:val="Heading3Char"/>
    <w:link w:val="Style2Heading2"/>
    <w:uiPriority w:val="99"/>
    <w:locked/>
    <w:rsid w:val="00053CA8"/>
    <w:rPr>
      <w:rFonts w:ascii="Times New Roman" w:eastAsia="Times New Roman" w:hAnsi="Times New Roman" w:cs="Times New Roman"/>
      <w:b/>
      <w:bCs/>
      <w:color w:val="4F81BD" w:themeColor="accent1"/>
      <w:sz w:val="26"/>
      <w:szCs w:val="26"/>
      <w:lang w:val="bg-BG" w:eastAsia="bg-BG"/>
    </w:rPr>
  </w:style>
  <w:style w:type="character" w:customStyle="1" w:styleId="Heading3Char">
    <w:name w:val="Heading 3 Char"/>
    <w:basedOn w:val="DefaultParagraphFont"/>
    <w:link w:val="Heading3"/>
    <w:uiPriority w:val="9"/>
    <w:semiHidden/>
    <w:rsid w:val="00053CA8"/>
    <w:rPr>
      <w:rFonts w:asciiTheme="majorHAnsi" w:eastAsiaTheme="majorEastAsia" w:hAnsiTheme="majorHAnsi" w:cstheme="majorBidi"/>
      <w:b/>
      <w:bCs/>
      <w:color w:val="4F81BD" w:themeColor="accent1"/>
      <w:sz w:val="24"/>
      <w:szCs w:val="24"/>
      <w:lang w:eastAsia="bg-BG"/>
    </w:r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2"/>
    <w:uiPriority w:val="99"/>
    <w:qFormat/>
    <w:rsid w:val="007416A1"/>
    <w:rPr>
      <w:sz w:val="20"/>
      <w:szCs w:val="20"/>
    </w:rPr>
  </w:style>
  <w:style w:type="character" w:customStyle="1" w:styleId="FootnoteTextChar">
    <w:name w:val="Footnote Text Char"/>
    <w:basedOn w:val="DefaultParagraphFont"/>
    <w:uiPriority w:val="99"/>
    <w:semiHidden/>
    <w:rsid w:val="007416A1"/>
    <w:rPr>
      <w:rFonts w:ascii="Times New Roman" w:eastAsia="Times New Roman" w:hAnsi="Times New Roman" w:cs="Times New Roman"/>
      <w:sz w:val="20"/>
      <w:szCs w:val="20"/>
      <w:lang w:eastAsia="bg-BG"/>
    </w:rPr>
  </w:style>
  <w:style w:type="character" w:customStyle="1" w:styleId="FootnoteTextChar2">
    <w:name w:val="Footnote Text Char2"/>
    <w:aliases w:val="-E Fußnotentext Char,Fußnotentext Ursprung Char,-E Fußnotentext1 Char,-E Fußnotentext2 Char,-E Fußnotentext3 Char,Schriftart: 9 pt Char,Schriftart: 10 pt Char,Schriftart: 8 pt Char,WB-Fußnotentext Char,fn Char,Footnotes Char,f Char"/>
    <w:basedOn w:val="DefaultParagraphFont"/>
    <w:link w:val="FootnoteText"/>
    <w:uiPriority w:val="99"/>
    <w:locked/>
    <w:rsid w:val="007416A1"/>
    <w:rPr>
      <w:rFonts w:ascii="Times New Roman" w:eastAsia="Times New Roman" w:hAnsi="Times New Roman" w:cs="Times New Roman"/>
      <w:sz w:val="20"/>
      <w:szCs w:val="20"/>
      <w:lang w:eastAsia="bg-BG"/>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Nota,R"/>
    <w:basedOn w:val="DefaultParagraphFont"/>
    <w:link w:val="FootnotesymbolCarZchn"/>
    <w:uiPriority w:val="99"/>
    <w:qFormat/>
    <w:rsid w:val="007416A1"/>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7416A1"/>
    <w:pPr>
      <w:spacing w:after="160" w:line="240" w:lineRule="exact"/>
      <w:jc w:val="both"/>
    </w:pPr>
    <w:rPr>
      <w:rFonts w:asciiTheme="minorHAnsi" w:eastAsiaTheme="minorHAnsi" w:hAnsiTheme="minorHAnsi"/>
      <w:sz w:val="22"/>
      <w:szCs w:val="22"/>
      <w:vertAlign w:val="superscript"/>
    </w:rPr>
  </w:style>
  <w:style w:type="paragraph" w:styleId="BalloonText">
    <w:name w:val="Balloon Text"/>
    <w:basedOn w:val="Normal"/>
    <w:link w:val="BalloonTextChar"/>
    <w:uiPriority w:val="99"/>
    <w:semiHidden/>
    <w:unhideWhenUsed/>
    <w:rsid w:val="00840E7B"/>
    <w:rPr>
      <w:rFonts w:ascii="Tahoma" w:hAnsi="Tahoma" w:cs="Tahoma"/>
      <w:sz w:val="16"/>
      <w:szCs w:val="16"/>
    </w:rPr>
  </w:style>
  <w:style w:type="character" w:customStyle="1" w:styleId="BalloonTextChar">
    <w:name w:val="Balloon Text Char"/>
    <w:basedOn w:val="DefaultParagraphFont"/>
    <w:link w:val="BalloonText"/>
    <w:uiPriority w:val="99"/>
    <w:semiHidden/>
    <w:rsid w:val="00840E7B"/>
    <w:rPr>
      <w:rFonts w:ascii="Tahoma" w:eastAsia="Times New Roman" w:hAnsi="Tahoma" w:cs="Tahoma"/>
      <w:sz w:val="16"/>
      <w:szCs w:val="16"/>
      <w:lang w:eastAsia="bg-BG"/>
    </w:rPr>
  </w:style>
  <w:style w:type="character" w:customStyle="1" w:styleId="Marker">
    <w:name w:val="Marker"/>
    <w:basedOn w:val="DefaultParagraphFont"/>
    <w:rsid w:val="00A5268D"/>
    <w:rPr>
      <w:color w:val="0000FF"/>
      <w:shd w:val="clear" w:color="auto" w:fill="auto"/>
    </w:rPr>
  </w:style>
  <w:style w:type="paragraph" w:customStyle="1" w:styleId="Pagedecouverture">
    <w:name w:val="Page de couverture"/>
    <w:basedOn w:val="Normal"/>
    <w:next w:val="Normal"/>
    <w:rsid w:val="00A5268D"/>
    <w:pPr>
      <w:jc w:val="both"/>
    </w:pPr>
    <w:rPr>
      <w:rFonts w:eastAsiaTheme="minorHAnsi"/>
      <w:szCs w:val="22"/>
    </w:rPr>
  </w:style>
  <w:style w:type="paragraph" w:styleId="Header">
    <w:name w:val="header"/>
    <w:basedOn w:val="Normal"/>
    <w:link w:val="HeaderChar"/>
    <w:uiPriority w:val="99"/>
    <w:unhideWhenUsed/>
    <w:rsid w:val="00A5268D"/>
    <w:pPr>
      <w:tabs>
        <w:tab w:val="center" w:pos="4536"/>
        <w:tab w:val="right" w:pos="9072"/>
      </w:tabs>
    </w:pPr>
  </w:style>
  <w:style w:type="character" w:customStyle="1" w:styleId="HeaderChar">
    <w:name w:val="Header Char"/>
    <w:basedOn w:val="DefaultParagraphFont"/>
    <w:link w:val="Header"/>
    <w:uiPriority w:val="99"/>
    <w:rsid w:val="00A5268D"/>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5268D"/>
    <w:pPr>
      <w:tabs>
        <w:tab w:val="center" w:pos="4536"/>
        <w:tab w:val="right" w:pos="9072"/>
      </w:tabs>
    </w:pPr>
  </w:style>
  <w:style w:type="character" w:customStyle="1" w:styleId="FooterChar">
    <w:name w:val="Footer Char"/>
    <w:basedOn w:val="DefaultParagraphFont"/>
    <w:link w:val="Footer"/>
    <w:uiPriority w:val="99"/>
    <w:rsid w:val="00A5268D"/>
    <w:rPr>
      <w:rFonts w:ascii="Times New Roman" w:eastAsia="Times New Roman" w:hAnsi="Times New Roman" w:cs="Times New Roman"/>
      <w:sz w:val="24"/>
      <w:szCs w:val="24"/>
      <w:lang w:eastAsia="bg-BG"/>
    </w:rPr>
  </w:style>
  <w:style w:type="paragraph" w:customStyle="1" w:styleId="FooterCoverPage">
    <w:name w:val="Footer Cover Page"/>
    <w:basedOn w:val="Normal"/>
    <w:link w:val="FooterCoverPageChar"/>
    <w:rsid w:val="00A5268D"/>
    <w:pPr>
      <w:tabs>
        <w:tab w:val="center" w:pos="4535"/>
        <w:tab w:val="right" w:pos="9071"/>
        <w:tab w:val="right" w:pos="9921"/>
      </w:tabs>
      <w:spacing w:before="360"/>
      <w:ind w:left="-850" w:right="-850"/>
    </w:pPr>
    <w:rPr>
      <w:color w:val="000000"/>
    </w:rPr>
  </w:style>
  <w:style w:type="character" w:customStyle="1" w:styleId="DefaultChar">
    <w:name w:val="Default Char"/>
    <w:basedOn w:val="DefaultParagraphFont"/>
    <w:link w:val="Default"/>
    <w:rsid w:val="00A5268D"/>
    <w:rPr>
      <w:rFonts w:ascii="Arial" w:hAnsi="Arial" w:cs="Arial"/>
      <w:color w:val="000000"/>
      <w:sz w:val="24"/>
      <w:szCs w:val="24"/>
    </w:rPr>
  </w:style>
  <w:style w:type="character" w:customStyle="1" w:styleId="FooterCoverPageChar">
    <w:name w:val="Footer Cover Page Char"/>
    <w:basedOn w:val="DefaultChar"/>
    <w:link w:val="FooterCoverPage"/>
    <w:rsid w:val="00A5268D"/>
    <w:rPr>
      <w:rFonts w:ascii="Times New Roman" w:eastAsia="Times New Roman" w:hAnsi="Times New Roman" w:cs="Times New Roman"/>
      <w:color w:val="000000"/>
      <w:sz w:val="24"/>
      <w:szCs w:val="24"/>
    </w:rPr>
  </w:style>
  <w:style w:type="paragraph" w:customStyle="1" w:styleId="HeaderCoverPage">
    <w:name w:val="Header Cover Page"/>
    <w:basedOn w:val="Normal"/>
    <w:link w:val="HeaderCoverPageChar"/>
    <w:rsid w:val="00A5268D"/>
    <w:pPr>
      <w:tabs>
        <w:tab w:val="center" w:pos="4535"/>
        <w:tab w:val="right" w:pos="9071"/>
      </w:tabs>
      <w:spacing w:after="120"/>
      <w:jc w:val="both"/>
    </w:pPr>
    <w:rPr>
      <w:color w:val="000000"/>
    </w:rPr>
  </w:style>
  <w:style w:type="character" w:customStyle="1" w:styleId="HeaderCoverPageChar">
    <w:name w:val="Header Cover Page Char"/>
    <w:basedOn w:val="DefaultChar"/>
    <w:link w:val="HeaderCoverPage"/>
    <w:rsid w:val="00A5268D"/>
    <w:rPr>
      <w:rFonts w:ascii="Times New Roman" w:eastAsia="Times New Roman" w:hAnsi="Times New Roman" w:cs="Times New Roman"/>
      <w:color w:val="000000"/>
      <w:sz w:val="24"/>
      <w:szCs w:val="24"/>
    </w:rPr>
  </w:style>
  <w:style w:type="table" w:styleId="TableGrid">
    <w:name w:val="Table Grid"/>
    <w:basedOn w:val="TableNormal"/>
    <w:rsid w:val="00333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50E"/>
    <w:rPr>
      <w:sz w:val="16"/>
      <w:szCs w:val="16"/>
    </w:rPr>
  </w:style>
  <w:style w:type="paragraph" w:styleId="CommentText">
    <w:name w:val="annotation text"/>
    <w:basedOn w:val="Normal"/>
    <w:link w:val="CommentTextChar"/>
    <w:uiPriority w:val="99"/>
    <w:semiHidden/>
    <w:unhideWhenUsed/>
    <w:rsid w:val="00B0750E"/>
    <w:rPr>
      <w:sz w:val="20"/>
      <w:szCs w:val="20"/>
    </w:rPr>
  </w:style>
  <w:style w:type="character" w:customStyle="1" w:styleId="CommentTextChar">
    <w:name w:val="Comment Text Char"/>
    <w:basedOn w:val="DefaultParagraphFont"/>
    <w:link w:val="CommentText"/>
    <w:uiPriority w:val="99"/>
    <w:semiHidden/>
    <w:rsid w:val="00B0750E"/>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B0750E"/>
    <w:rPr>
      <w:b/>
      <w:bCs/>
    </w:rPr>
  </w:style>
  <w:style w:type="character" w:customStyle="1" w:styleId="CommentSubjectChar">
    <w:name w:val="Comment Subject Char"/>
    <w:basedOn w:val="CommentTextChar"/>
    <w:link w:val="CommentSubject"/>
    <w:uiPriority w:val="99"/>
    <w:semiHidden/>
    <w:rsid w:val="00B0750E"/>
    <w:rPr>
      <w:rFonts w:ascii="Times New Roman" w:eastAsia="Times New Roman" w:hAnsi="Times New Roman" w:cs="Times New Roman"/>
      <w:b/>
      <w:bCs/>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65410">
      <w:bodyDiv w:val="1"/>
      <w:marLeft w:val="0"/>
      <w:marRight w:val="0"/>
      <w:marTop w:val="0"/>
      <w:marBottom w:val="0"/>
      <w:divBdr>
        <w:top w:val="none" w:sz="0" w:space="0" w:color="auto"/>
        <w:left w:val="none" w:sz="0" w:space="0" w:color="auto"/>
        <w:bottom w:val="none" w:sz="0" w:space="0" w:color="auto"/>
        <w:right w:val="none" w:sz="0" w:space="0" w:color="auto"/>
      </w:divBdr>
    </w:div>
    <w:div w:id="19867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2DA5-1E6D-4D44-B57C-9624D01F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2157</Words>
  <Characters>12494</Characters>
  <Application>Microsoft Office Word</Application>
  <DocSecurity>0</DocSecurity>
  <Lines>215</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11</cp:revision>
  <cp:lastPrinted>2016-09-12T07:13:00Z</cp:lastPrinted>
  <dcterms:created xsi:type="dcterms:W3CDTF">2016-09-21T14:04:00Z</dcterms:created>
  <dcterms:modified xsi:type="dcterms:W3CDTF">2016-11-29T17:18:00Z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