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D8CC71475FB4EBDA556F9842B85ADB1" style="width:450.35pt;height:408.9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rPr>
                <w:rFonts w:eastAsiaTheme="minorHAnsi"/>
                <w:noProof/>
                <w:sz w:val="24"/>
              </w:rPr>
            </w:pPr>
            <w:bookmarkStart w:id="1" w:name="_GoBack"/>
            <w:bookmarkEnd w:id="1"/>
            <w:r>
              <w:rPr>
                <w:rFonts w:ascii="Tahoma" w:eastAsiaTheme="minorHAnsi" w:hAnsi="Tahoma"/>
                <w:b/>
                <w:noProof/>
              </w:rPr>
              <w:lastRenderedPageBreak/>
              <w:t>Обобщение на оценката на въздействието</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rPr>
                <w:noProof/>
                <w:sz w:val="24"/>
                <w:szCs w:val="24"/>
              </w:rPr>
            </w:pPr>
            <w:r>
              <w:rPr>
                <w:noProof/>
                <w:sz w:val="24"/>
              </w:rPr>
              <w:t>Оценка на въздействието относно ставките на ДДС за книги, вестници и периодични издания</w:t>
            </w:r>
          </w:p>
        </w:tc>
      </w:tr>
      <w:tr>
        <w:tc>
          <w:tcPr>
            <w:tcW w:w="10188" w:type="dxa"/>
            <w:tcBorders>
              <w:bottom w:val="single" w:sz="4" w:space="0" w:color="auto"/>
            </w:tcBorders>
            <w:shd w:val="clear" w:color="auto" w:fill="CCCCCC"/>
          </w:tcPr>
          <w:p>
            <w:pPr>
              <w:spacing w:before="60" w:after="60"/>
              <w:jc w:val="center"/>
              <w:rPr>
                <w:rFonts w:ascii="Tahoma" w:hAnsi="Tahoma" w:cs="Tahoma"/>
                <w:b/>
                <w:noProof/>
              </w:rPr>
            </w:pPr>
            <w:r>
              <w:rPr>
                <w:rFonts w:ascii="Tahoma" w:hAnsi="Tahoma"/>
                <w:b/>
                <w:noProof/>
              </w:rPr>
              <w:t>А. Необходимост от действие</w:t>
            </w:r>
          </w:p>
        </w:tc>
      </w:tr>
      <w:tr>
        <w:tc>
          <w:tcPr>
            <w:tcW w:w="10188" w:type="dxa"/>
            <w:tcBorders>
              <w:bottom w:val="single" w:sz="4" w:space="0" w:color="auto"/>
            </w:tcBorders>
            <w:shd w:val="clear" w:color="auto" w:fill="E0E0E0"/>
          </w:tcPr>
          <w:p>
            <w:pPr>
              <w:spacing w:before="60" w:after="60"/>
              <w:jc w:val="both"/>
              <w:rPr>
                <w:rFonts w:ascii="Tahoma" w:hAnsi="Tahoma" w:cs="Tahoma"/>
                <w:noProof/>
              </w:rPr>
            </w:pPr>
            <w:r>
              <w:rPr>
                <w:rFonts w:ascii="Tahoma" w:hAnsi="Tahoma"/>
                <w:b/>
                <w:noProof/>
              </w:rPr>
              <w:t xml:space="preserve">Защо? Какъв е разглежданият проблем?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Директива 2006/112/ЕО на Съвета („Директивата за ДДС“), изрично изключва услугите, доставяни по електронен път, включително книгите, вестниците и периодичните издания, предоставяни по електронен път („електронните публикации“), от обхвата на намалените ставки на ДДС, като в същото време предоставя възможност на държавите членки да прилагат намалена ставка на ДДС за книги, вестници и периодични издания на всички видове физически носители.</w:t>
            </w:r>
          </w:p>
          <w:p>
            <w:pPr>
              <w:jc w:val="both"/>
              <w:rPr>
                <w:rFonts w:ascii="Arial" w:hAnsi="Arial" w:cs="Arial"/>
                <w:noProof/>
              </w:rPr>
            </w:pPr>
            <w:r>
              <w:rPr>
                <w:rFonts w:ascii="Arial" w:hAnsi="Arial"/>
                <w:noProof/>
              </w:rPr>
              <w:t>Това води до ситуация, при която на държавите членки се разрешава да прилагат намалени ставки на ДДС, или дори ставки, по-ниски от 5 % (свръх намалена и нулева ставка), по отношение на някои печатни публикации, като същевременно трябва да прилагат стандартната ставка на ДДС по отношение на електронните публикации. Това води до</w:t>
            </w:r>
            <w:r>
              <w:rPr>
                <w:noProof/>
                <w:sz w:val="24"/>
              </w:rPr>
              <w:t xml:space="preserve"> </w:t>
            </w:r>
            <w:r>
              <w:rPr>
                <w:rFonts w:ascii="Arial" w:hAnsi="Arial"/>
                <w:noProof/>
              </w:rPr>
              <w:t xml:space="preserve">значително по-малко благоприятно третиране за целите на ДДС на електронните публикации в сравнение с печатните публикации. Освен това, поради действието на някои дерогации от Директивата за ДДС, само 10 от 28 държави членки могат да прилагат свръх намалени и нулеви данъчни ставки за някои печатни публикации, докато другите държави членки нямат същата възможност.  </w:t>
            </w:r>
          </w:p>
          <w:p>
            <w:pPr>
              <w:jc w:val="both"/>
              <w:rPr>
                <w:rFonts w:ascii="Arial" w:hAnsi="Arial" w:cs="Arial"/>
                <w:noProof/>
              </w:rPr>
            </w:pPr>
            <w:r>
              <w:rPr>
                <w:rFonts w:ascii="Arial" w:hAnsi="Arial"/>
                <w:noProof/>
              </w:rPr>
              <w:t xml:space="preserve">Липсата на равно третиране между различните формати е залегнала в Директивата за ДДС и не позволява на държавите членки да намалят ставките на ДДС за електронните публикации. </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 xml:space="preserve">Какво се очаква да бъде постигнато от настоящата инициатива?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Конкретните цели на инициативата са да се даде възможност на държавите членки да хармонизират ставките на ДДС за електронните публикации със ставките на ДДС, които се прилагат понастоящем за печатните публикации.</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Какво е предимството от действие на равнището на ЕС?</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Държавите членки са длъжни да се съобразяват с Директивата за ДДС, а именно нейните разпоредби не им позволяват да прилагат за публикациите, предоставяни по електронен път, същите ставки на ДДС, които понастоящем се прилагат за печатните публикации. Това беше потвърдено от Съда на ЕС в решенията му от 5 март 2015 г. по дела C-479/13 и C-502/13. Съдът ясно посочи, че държавите членки не могат да прилагат намалена ставка на ДДС по отношение на електронните книги съгласно действащата директива за ДДС и следователно само тълкуването на Директивата за ДДС или инициативи с незадължителен характер не са достатъчни за преодоляване на това положение. Поради това е необходима законодателна инициатива на равнището на ЕС за изменение на директивата за ДДС, за да се реши този проблем.</w:t>
            </w:r>
          </w:p>
        </w:tc>
      </w:tr>
      <w:tr>
        <w:tc>
          <w:tcPr>
            <w:tcW w:w="10188" w:type="dxa"/>
            <w:tcBorders>
              <w:bottom w:val="single" w:sz="4" w:space="0" w:color="auto"/>
            </w:tcBorders>
            <w:shd w:val="clear" w:color="auto" w:fill="CCCCCC"/>
          </w:tcPr>
          <w:p>
            <w:pPr>
              <w:spacing w:before="60" w:after="60"/>
              <w:jc w:val="center"/>
              <w:rPr>
                <w:rFonts w:ascii="Tahoma" w:hAnsi="Tahoma" w:cs="Tahoma"/>
                <w:b/>
                <w:noProof/>
              </w:rPr>
            </w:pPr>
            <w:r>
              <w:rPr>
                <w:rFonts w:ascii="Tahoma" w:hAnsi="Tahoma"/>
                <w:b/>
                <w:noProof/>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Кои законодателни и незаконодателни варианти на политика бяха разгледани?</w:t>
            </w:r>
            <w:r>
              <w:rPr>
                <w:rFonts w:ascii="Tahoma" w:hAnsi="Tahoma"/>
                <w:noProof/>
              </w:rPr>
              <w:t xml:space="preserve"> </w:t>
            </w:r>
            <w:r>
              <w:rPr>
                <w:rFonts w:ascii="Tahoma" w:hAnsi="Tahoma"/>
                <w:b/>
                <w:noProof/>
              </w:rPr>
              <w:t xml:space="preserve">Има ли предпочитан вариант, или не? Защо?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 xml:space="preserve">Бяха разгледани два варианта на политиката. Както беше обяснено в предишния раздел, незаконодателните варианти на политиката са неефективни, така че всички варианти изискват изменение на Директивата за ДДС. </w:t>
            </w:r>
          </w:p>
          <w:p>
            <w:pPr>
              <w:jc w:val="both"/>
              <w:rPr>
                <w:rFonts w:ascii="Arial" w:hAnsi="Arial" w:cs="Arial"/>
                <w:noProof/>
              </w:rPr>
            </w:pPr>
            <w:r>
              <w:rPr>
                <w:rFonts w:ascii="Arial" w:hAnsi="Arial"/>
                <w:noProof/>
              </w:rPr>
              <w:t>Вариант 1 ще даде възможност на държавите членки да прилагат намалени ставки за електронните публикации и ще даде възможност на 19 от 28 държави членки да хармонизират ставките си на ДДС за публикациите. При вариант 2, който би позволил на държавите членки да прилагат и свръх намалени и нулеви ставки по отношение на електронните публикации, всичките 28 държави членки ще могат да хармонизират ставките на ДДС за публикациите. Избраният вариант 2 има допълнителното предимство, че е напълно в съответствие с плана за действие във връзка ДДС, а именно, че дерогациите (свръх намалени или нулеви ставки), предоставени само на няколко държави членки, ще следва да се предоставят на всички държави членки в окончателния режим на ДДС.</w:t>
            </w:r>
          </w:p>
        </w:tc>
      </w:tr>
      <w:tr>
        <w:tc>
          <w:tcPr>
            <w:tcW w:w="10188" w:type="dxa"/>
            <w:shd w:val="clear" w:color="auto" w:fill="CCCCCC"/>
          </w:tcPr>
          <w:p>
            <w:pPr>
              <w:spacing w:before="60"/>
              <w:jc w:val="both"/>
              <w:rPr>
                <w:rFonts w:ascii="Tahoma" w:hAnsi="Tahoma" w:cs="Tahoma"/>
                <w:noProof/>
              </w:rPr>
            </w:pPr>
            <w:r>
              <w:rPr>
                <w:rFonts w:ascii="Tahoma" w:hAnsi="Tahoma"/>
                <w:b/>
                <w:noProof/>
              </w:rPr>
              <w:t xml:space="preserve">Кой подкрепя отделните варианти? </w:t>
            </w:r>
          </w:p>
        </w:tc>
      </w:tr>
      <w:tr>
        <w:tc>
          <w:tcPr>
            <w:tcW w:w="10188" w:type="dxa"/>
            <w:shd w:val="clear" w:color="auto" w:fill="auto"/>
          </w:tcPr>
          <w:p>
            <w:pPr>
              <w:jc w:val="both"/>
              <w:rPr>
                <w:rFonts w:ascii="Arial" w:hAnsi="Arial" w:cs="Arial"/>
                <w:noProof/>
              </w:rPr>
            </w:pPr>
            <w:r>
              <w:rPr>
                <w:rFonts w:ascii="Arial" w:hAnsi="Arial"/>
                <w:noProof/>
              </w:rPr>
              <w:t xml:space="preserve">Участниците в откритата обществена консултация подкрепиха почти единодушно възможността за държавите членки да прилагат намалени ставки на ДДС по отношение на електронните публикации, която се предоставя от двата варианта. Подкрепата за предоставяне на възможност на всички държави членки да прилагат свръх намалени или нулеви ставки за всички публикации е по-ниска — изразена от 40 % от всички участници, но все пак е предпочитаният вариант, особено за заинтересованите страни от печатарската и издателската промишленост (66 %).    </w:t>
            </w:r>
          </w:p>
        </w:tc>
      </w:tr>
    </w:tbl>
    <w:p>
      <w:pPr>
        <w:spacing w:after="0" w:line="240" w:lineRule="auto"/>
        <w:rPr>
          <w:rFonts w:ascii="Arial" w:eastAsia="Times New Roman" w:hAnsi="Arial" w:cs="Arial"/>
          <w:noProof/>
          <w:sz w:val="12"/>
          <w:szCs w:val="12"/>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rPr>
            </w:pPr>
            <w:r>
              <w:rPr>
                <w:rFonts w:ascii="Tahoma" w:hAnsi="Tahoma"/>
                <w:b/>
                <w:noProof/>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Какви са ползите</w:t>
            </w:r>
            <w:r>
              <w:rPr>
                <w:rFonts w:ascii="Tahoma" w:hAnsi="Tahoma"/>
                <w:noProof/>
              </w:rPr>
              <w:t xml:space="preserve"> </w:t>
            </w:r>
            <w:r>
              <w:rPr>
                <w:rFonts w:ascii="Tahoma" w:hAnsi="Tahoma"/>
                <w:b/>
                <w:noProof/>
              </w:rPr>
              <w:t>от предпочитания вариант (ако има такъв, в противен случай — от основните варианти)?</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 xml:space="preserve">Избраният вариант успешно премахва ограниченията за държавите членки, които вече не са обосновани при подхода за облагане в държавата членка по местоназначение (данъчно облагане в мястото, където пребивава клиентът) и дава възможност на държавите членки да хармонизират ставките на ДДС за публикации, независимо от техния формат. </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Какви са разходите за предпочитания вариант (ако има такъв, в противен случай — за основните варианти)?</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 xml:space="preserve">Ако държавите членки намалят ставките на ДДС, прилагани за електронните публикации, приходите от ДДС ще намалеят. Ако всички държави членки прилагат за тях същите ставки, които прилагат понастоящем за печатните публикации, загубата на приходи от ДДС при избрания вариант би могла да е в размер на максимум 4,7 милиарда евро годишно. </w:t>
            </w:r>
          </w:p>
          <w:p>
            <w:pPr>
              <w:jc w:val="both"/>
              <w:rPr>
                <w:rFonts w:ascii="Arial" w:hAnsi="Arial" w:cs="Arial"/>
                <w:noProof/>
              </w:rPr>
            </w:pPr>
            <w:r>
              <w:rPr>
                <w:rFonts w:ascii="Arial" w:hAnsi="Arial"/>
                <w:noProof/>
              </w:rPr>
              <w:t>Няма отражение върху собствените ресурси на ЕС.</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 xml:space="preserve">При по-ниски ставки на ДДС рентабилността на предприятията в издателския сектор, от които 99 % са МСП, ще се увеличи. Ограничена замяна на публикации на физически носител от електронни публикации може да окаже известен натиск върху печатарския сектор и (нецифровия) сектор на търговията на дребно, но и двата сектора вече въвеждат стратегии за справяне с предизвикателството на електронните публикации. </w:t>
            </w:r>
          </w:p>
        </w:tc>
      </w:tr>
      <w:tr>
        <w:tc>
          <w:tcPr>
            <w:tcW w:w="10188" w:type="dxa"/>
            <w:tcBorders>
              <w:bottom w:val="single" w:sz="4" w:space="0" w:color="auto"/>
            </w:tcBorders>
            <w:shd w:val="clear" w:color="auto" w:fill="E6E6E6"/>
          </w:tcPr>
          <w:p>
            <w:pPr>
              <w:spacing w:before="60"/>
              <w:jc w:val="both"/>
              <w:rPr>
                <w:rFonts w:ascii="Tahoma" w:hAnsi="Tahoma" w:cs="Tahoma"/>
                <w:b/>
                <w:i/>
                <w:noProof/>
              </w:rPr>
            </w:pPr>
            <w:r>
              <w:rPr>
                <w:rFonts w:ascii="Tahoma" w:hAnsi="Tahoma"/>
                <w:b/>
                <w:noProof/>
              </w:rPr>
              <w:t>Ще има ли значително отражение</w:t>
            </w:r>
            <w:r>
              <w:rPr>
                <w:rFonts w:ascii="Tahoma" w:hAnsi="Tahoma"/>
                <w:noProof/>
              </w:rPr>
              <w:t xml:space="preserve"> </w:t>
            </w:r>
            <w:r>
              <w:rPr>
                <w:rFonts w:ascii="Tahoma" w:hAnsi="Tahoma"/>
                <w:b/>
                <w:noProof/>
              </w:rPr>
              <w:t>върху националните бюджети и администрации?</w:t>
            </w:r>
            <w:r>
              <w:rPr>
                <w:rFonts w:ascii="Tahoma" w:hAnsi="Tahoma"/>
                <w:noProof/>
              </w:rPr>
              <w:t xml:space="preserve"> </w:t>
            </w:r>
          </w:p>
        </w:tc>
      </w:tr>
      <w:tr>
        <w:tc>
          <w:tcPr>
            <w:tcW w:w="10188" w:type="dxa"/>
            <w:shd w:val="clear" w:color="auto" w:fill="auto"/>
          </w:tcPr>
          <w:p>
            <w:pPr>
              <w:jc w:val="both"/>
              <w:rPr>
                <w:rFonts w:ascii="Arial" w:hAnsi="Arial" w:cs="Arial"/>
                <w:noProof/>
              </w:rPr>
            </w:pPr>
            <w:r>
              <w:rPr>
                <w:rFonts w:ascii="Arial" w:hAnsi="Arial"/>
                <w:noProof/>
              </w:rPr>
              <w:t xml:space="preserve">Както е посочено по-горе, държавите членки ще бъдат изправени пред спад в приходите от ДДС, ако решат да хармонизират ставките на ДДС за електронните публикации със ставките на ДДС, прилагани понастоящем за печатните публикации. Въпреки това, избраните варианти не ги задължават да променят ставките на ДДС. Следователно държавите членки ще определят евентуалното въздействие върху бюджета или дори напълно ще го избегнат. </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Ще има ли друго значимо въздействие?</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Изпълнението на който и да е вариант, и особено на избрания вариант ще доведе до усложняване на системата на ДДС поради по-ниската степен на хармонизация на ставките на ДДС на равнището на ЕС.</w:t>
            </w:r>
          </w:p>
        </w:tc>
      </w:tr>
      <w:tr>
        <w:tc>
          <w:tcPr>
            <w:tcW w:w="10188" w:type="dxa"/>
            <w:tcBorders>
              <w:bottom w:val="single" w:sz="4" w:space="0" w:color="auto"/>
            </w:tcBorders>
            <w:shd w:val="clear" w:color="auto" w:fill="C0C0C0"/>
          </w:tcPr>
          <w:p>
            <w:pPr>
              <w:spacing w:before="60" w:after="60"/>
              <w:jc w:val="center"/>
              <w:rPr>
                <w:rFonts w:ascii="Tahoma" w:hAnsi="Tahoma" w:cs="Tahoma"/>
                <w:b/>
                <w:noProof/>
              </w:rPr>
            </w:pPr>
            <w:r>
              <w:rPr>
                <w:rFonts w:ascii="Tahoma" w:hAnsi="Tahoma"/>
                <w:b/>
                <w:noProof/>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 xml:space="preserve">Кога ще бъде следващото преразглеждане на политиката?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 xml:space="preserve">Правилното прилагане на Директивата за ДДС ще бъде наблюдавано и в своя план за действие във връзка с ДДС Комисията вече обяви предложение за реформа на общата ставка на ДДС, планирана за края на 2017 г.  </w:t>
            </w:r>
          </w:p>
        </w:tc>
      </w:tr>
    </w:tbl>
    <w:p>
      <w:pPr>
        <w:spacing w:after="0" w:line="240" w:lineRule="auto"/>
        <w:rPr>
          <w:rFonts w:ascii="Times New Roman" w:eastAsia="Times New Roman" w:hAnsi="Times New Roman" w:cs="Times New Roman"/>
          <w:noProof/>
          <w:sz w:val="24"/>
          <w:szCs w:val="24"/>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3675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6D8CC71475FB4EBDA556F9842B85ADB1"/>
    <w:docVar w:name="LW_CROSSREFERENCE" w:val="{COM(2016) 758 final}_x000b_{SWD(2016) 392 final}"/>
    <w:docVar w:name="LW_DocType" w:val="NORMAL"/>
    <w:docVar w:name="LW_EMISSION" w:val="1.12.2016"/>
    <w:docVar w:name="LW_EMISSION_ISODATE" w:val="2016-12-01"/>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0?\u1079?\u1084?\u1077?\u1085?\u1077?\u1085?\u1080?\u1077? \u1085?\u1072? \u1044?\u1080?\u1088?\u1077?\u1082?\u1090?\u1080?\u1074?\u1072? 2006/112/\u1045?\u1054? \u1087?\u1086? \u1086?\u1090?\u1085?\u1086?\u1096?\u1077?\u1085?\u1080?\u1077? \u1085?\u1072? \u1089?\u1090?\u1072?\u1074?\u1082?\u1080?\u1090?\u1077? \u1085?\u1072? \u1076?\u1072?\u1085?\u1098?\u1082?\u1072? \u1074?\u1098?\u1088?\u1093?\u1091? \u1076?\u1086?\u1073?\u1072?\u1074?\u1077?\u1085?\u1072?\u1090?\u1072? \u1089?\u1090?\u1086?\u1081?\u1085?\u1086?\u1089?\u1090? \u1079?\u1072? \u1082?\u1085?\u1080?\u1075?\u1080?, \u1074?\u1077?\u1089?\u1090?\u1085?\u1080?\u1094?\u1080? \u1080? \u1087?\u1077?\u1088?\u1080?\u1086?\u1076?\u1080?\u1095?\u1085?\u1080? \u1080?\u1079?\u1076?\u1072?\u1085?\u1080?\u1103?"/>
    <w:docVar w:name="LW_PART_NBR" w:val="1"/>
    <w:docVar w:name="LW_PART_NBR_TOTAL" w:val="1"/>
    <w:docVar w:name="LW_REF.INST.NEW" w:val="SWD"/>
    <w:docVar w:name="LW_REF.INST.NEW_ADOPTED" w:val="final"/>
    <w:docVar w:name="LW_REF.INST.NEW_TEXT" w:val="(2016) 393"/>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44?\u1080?\u1088?\u1077?\u1082?\u1090?\u1080?\u1074?\u1072?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46DF-3076-4F0A-80E3-A3DE69C3E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1013</Words>
  <Characters>5798</Characters>
  <Application>Microsoft Office Word</Application>
  <DocSecurity>0</DocSecurity>
  <Lines>95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2016-11-18T10:37:00Z</dcterms:created>
  <dcterms:modified xsi:type="dcterms:W3CDTF">2016-12-05T13:41:00Z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