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6CE" w:rsidRDefault="00712D90">
      <w:pPr>
        <w:pStyle w:val="Pagedecouverture"/>
      </w:pPr>
      <w:bookmarkStart w:id="0" w:name="L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2AA8644A9504963BD92622B069F78F8" style="width:450.75pt;height:348pt">
            <v:imagedata r:id="rId9" o:title=""/>
          </v:shape>
        </w:pict>
      </w:r>
    </w:p>
    <w:bookmarkEnd w:id="0"/>
    <w:p w:rsidR="008F26CE" w:rsidRDefault="008F26CE">
      <w:pPr>
        <w:rPr>
          <w:noProof/>
        </w:rPr>
        <w:sectPr w:rsidR="008F26CE">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8F26CE" w:rsidRDefault="00712D90">
      <w:pPr>
        <w:spacing w:before="360"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lastRenderedPageBreak/>
        <w:t>ДОКЛАД НА КОМИСИЯТА ДО СЪВЕТА И ЕВРОПЕЙСКИЯ ПАРЛАМЕНТ</w:t>
      </w:r>
    </w:p>
    <w:p w:rsidR="008F26CE" w:rsidRDefault="00712D90">
      <w:pPr>
        <w:spacing w:before="360" w:after="360" w:line="240" w:lineRule="auto"/>
        <w:jc w:val="center"/>
        <w:rPr>
          <w:rFonts w:ascii="Times New Roman" w:eastAsia="Times New Roman" w:hAnsi="Times New Roman" w:cs="Times New Roman"/>
          <w:b/>
          <w:noProof/>
          <w:sz w:val="24"/>
          <w:szCs w:val="24"/>
        </w:rPr>
      </w:pPr>
      <w:r>
        <w:rPr>
          <w:rFonts w:ascii="Times New Roman" w:hAnsi="Times New Roman"/>
          <w:b/>
          <w:noProof/>
          <w:sz w:val="24"/>
        </w:rPr>
        <w:t xml:space="preserve">Доклад за периода 2009—2015 г. относно </w:t>
      </w:r>
      <w:r>
        <w:rPr>
          <w:rFonts w:ascii="Times New Roman" w:hAnsi="Times New Roman"/>
          <w:b/>
          <w:noProof/>
          <w:sz w:val="24"/>
        </w:rPr>
        <w:t>финансовото състояние на осигурителната схема за безработица в полза на бившите срочно или договорно наети служители и акредитираните парламентарни сътрудници, които са останали без работа след прекратяване на служебните им правоотношения с институция на Е</w:t>
      </w:r>
      <w:r>
        <w:rPr>
          <w:rFonts w:ascii="Times New Roman" w:hAnsi="Times New Roman"/>
          <w:b/>
          <w:noProof/>
          <w:sz w:val="24"/>
        </w:rPr>
        <w:t>вропейския съюз</w:t>
      </w:r>
    </w:p>
    <w:p w:rsidR="008F26CE" w:rsidRDefault="00712D90">
      <w:pPr>
        <w:pStyle w:val="ManualHeading1"/>
        <w:rPr>
          <w:noProof/>
        </w:rPr>
      </w:pPr>
      <w:r>
        <w:tab/>
      </w:r>
      <w:r>
        <w:rPr>
          <w:noProof/>
        </w:rPr>
        <w:t>РЕЗЮМЕ</w:t>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Съгласно регламентите във връзка с Условията за работа на другите служители на Европейския съюз (по-нататък „Условията за работа на другите служители“) общностното обезщетение за безработица е предназначено за бившите договорно нает</w:t>
      </w:r>
      <w:r>
        <w:rPr>
          <w:rFonts w:ascii="Times New Roman" w:hAnsi="Times New Roman"/>
          <w:noProof/>
          <w:sz w:val="24"/>
        </w:rPr>
        <w:t>и служители (ДНС), парламентарни сътрудници (АПС) или срочно наети служители (СНС), които са останали без работа не по своя воля (това изключва например служителите, подали оставка). То допълва евентуалното национално обезщетение за безработица.</w:t>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Тези обезщ</w:t>
      </w:r>
      <w:r>
        <w:rPr>
          <w:rFonts w:ascii="Times New Roman" w:hAnsi="Times New Roman"/>
          <w:noProof/>
          <w:sz w:val="24"/>
        </w:rPr>
        <w:t>етения се изплащат от специалния фонд „Безработица“. Фондът се финансира от една страна от вноските на служителите, които са потенциалните бенефициери, а от друга — от вноските на работодателя.</w:t>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Условията за достъп до това обезщетение, категориите на бенефи</w:t>
      </w:r>
      <w:r>
        <w:rPr>
          <w:rFonts w:ascii="Times New Roman" w:hAnsi="Times New Roman"/>
          <w:noProof/>
          <w:sz w:val="24"/>
        </w:rPr>
        <w:t>циерите и размерът на финансовите вноски претърпяха значителни промени, които се отразиха драстично на първоначално установената система и по-специално на наличните средства на Фонда.</w:t>
      </w:r>
    </w:p>
    <w:p w:rsidR="008F26CE" w:rsidRDefault="00712D90">
      <w:pPr>
        <w:spacing w:before="120" w:after="120" w:line="240" w:lineRule="auto"/>
        <w:jc w:val="both"/>
        <w:rPr>
          <w:rFonts w:ascii="Times New Roman" w:eastAsia="Times New Roman" w:hAnsi="Times New Roman" w:cs="Times New Roman"/>
          <w:noProof/>
          <w:sz w:val="24"/>
          <w:szCs w:val="24"/>
          <w:u w:val="single"/>
        </w:rPr>
      </w:pPr>
      <w:r>
        <w:rPr>
          <w:rFonts w:ascii="Times New Roman" w:hAnsi="Times New Roman"/>
          <w:noProof/>
          <w:sz w:val="24"/>
          <w:u w:val="single"/>
        </w:rPr>
        <w:t>Реформата от 2004 г.</w:t>
      </w:r>
      <w:r>
        <w:rPr>
          <w:rFonts w:ascii="Times New Roman" w:hAnsi="Times New Roman"/>
          <w:noProof/>
          <w:sz w:val="24"/>
        </w:rPr>
        <w:t>:</w:t>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Реформата на Правилника за длъжностните лица и на Условията за работа на другите служители на Европейския съюз, която влезе в сила на 1 май 2004 г., въведе в Условията за работа на другите служители нова категория служители, наети с договор (т.е. договорно</w:t>
      </w:r>
      <w:r>
        <w:rPr>
          <w:rFonts w:ascii="Times New Roman" w:hAnsi="Times New Roman"/>
          <w:noProof/>
          <w:sz w:val="24"/>
        </w:rPr>
        <w:t xml:space="preserve"> наети служители или ДНС), както и нови правила за вноските към фонд „Безработица“ (а именно, увеличение на вноските за служителя от 0,4 % на 0,81 %). </w:t>
      </w:r>
    </w:p>
    <w:p w:rsidR="008F26CE" w:rsidRDefault="00712D90">
      <w:pPr>
        <w:spacing w:before="120" w:after="120" w:line="240" w:lineRule="auto"/>
        <w:jc w:val="both"/>
        <w:rPr>
          <w:rFonts w:ascii="Times New Roman" w:eastAsia="Times New Roman" w:hAnsi="Times New Roman" w:cs="Times New Roman"/>
          <w:noProof/>
          <w:sz w:val="24"/>
          <w:szCs w:val="24"/>
          <w:u w:val="single"/>
        </w:rPr>
      </w:pPr>
      <w:r>
        <w:rPr>
          <w:rFonts w:ascii="Times New Roman" w:hAnsi="Times New Roman"/>
          <w:noProof/>
          <w:sz w:val="24"/>
          <w:u w:val="single"/>
        </w:rPr>
        <w:t>Периодът 2009—2015 г.</w:t>
      </w:r>
      <w:r>
        <w:rPr>
          <w:rFonts w:ascii="Times New Roman" w:hAnsi="Times New Roman"/>
          <w:noProof/>
          <w:sz w:val="24"/>
        </w:rPr>
        <w:t>:</w:t>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Съгласно Регламент № 160/2009 на Съвета от 23.2.2009 г. (ОВ L 55 от 27.2.2009 г.)</w:t>
      </w:r>
      <w:r>
        <w:rPr>
          <w:rFonts w:ascii="Times New Roman" w:hAnsi="Times New Roman"/>
          <w:noProof/>
          <w:sz w:val="24"/>
        </w:rPr>
        <w:t xml:space="preserve"> акредитираните парламентарни сътрудници (АПС) вече са обхванати от фонд „Безработица“. Начинът на функциониране на фонд „Безработица“, включително размерът на вноската, не са съответно променени.</w:t>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През 2009 г. дефицитът на фонд „Безработица“ е възлизал на </w:t>
      </w:r>
      <w:r>
        <w:rPr>
          <w:rFonts w:ascii="Times New Roman" w:hAnsi="Times New Roman"/>
          <w:noProof/>
          <w:sz w:val="24"/>
        </w:rPr>
        <w:t>4,3 млн. евро, преди да спадне на 2,6 млн. евро през 2010 г. Между 2011 и 2013 г. дефицитът е намалял значително, като в края на 2013 г. е достигнал 1 млн. евро. През този период натрупаният резерв на фонд „Безработица“ с размер от 16,1 млн. евро в началот</w:t>
      </w:r>
      <w:r>
        <w:rPr>
          <w:rFonts w:ascii="Times New Roman" w:hAnsi="Times New Roman"/>
          <w:noProof/>
          <w:sz w:val="24"/>
        </w:rPr>
        <w:t>о на 2009 г. е спаднал на 2 млн. евро в края на 2015 г. Причините за тези драстични промени са многобройни и по-специално:</w:t>
      </w:r>
    </w:p>
    <w:p w:rsidR="008F26CE" w:rsidRDefault="00712D90">
      <w:pPr>
        <w:numPr>
          <w:ilvl w:val="0"/>
          <w:numId w:val="58"/>
        </w:numPr>
        <w:spacing w:before="60" w:after="6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увеличаване на броя на осигуряваните лица (+ 42 %);</w:t>
      </w:r>
    </w:p>
    <w:p w:rsidR="008F26CE" w:rsidRDefault="00712D90">
      <w:pPr>
        <w:numPr>
          <w:ilvl w:val="0"/>
          <w:numId w:val="58"/>
        </w:numPr>
        <w:spacing w:before="60" w:after="6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увеличаване на броя на месечните обезщетения за безработица (+ 9 %);</w:t>
      </w:r>
    </w:p>
    <w:p w:rsidR="008F26CE" w:rsidRDefault="00712D90">
      <w:pPr>
        <w:numPr>
          <w:ilvl w:val="0"/>
          <w:numId w:val="58"/>
        </w:numPr>
        <w:spacing w:before="60" w:after="60" w:line="240" w:lineRule="auto"/>
        <w:ind w:left="714" w:hanging="357"/>
        <w:jc w:val="both"/>
        <w:rPr>
          <w:rFonts w:ascii="Times New Roman" w:eastAsia="Times New Roman" w:hAnsi="Times New Roman" w:cs="Times New Roman"/>
          <w:noProof/>
          <w:spacing w:val="-6"/>
          <w:sz w:val="24"/>
          <w:szCs w:val="24"/>
        </w:rPr>
      </w:pPr>
      <w:r>
        <w:rPr>
          <w:rFonts w:ascii="Times New Roman" w:hAnsi="Times New Roman"/>
          <w:noProof/>
          <w:spacing w:val="-6"/>
          <w:sz w:val="24"/>
        </w:rPr>
        <w:t xml:space="preserve">увеличаване </w:t>
      </w:r>
      <w:r>
        <w:rPr>
          <w:rFonts w:ascii="Times New Roman" w:hAnsi="Times New Roman"/>
          <w:noProof/>
          <w:spacing w:val="-6"/>
          <w:sz w:val="24"/>
        </w:rPr>
        <w:t>на броя на бенефициерите — бивши срочно наети служители, спрямо броя на работещите срочно наети служители (от 2,56 % през 2009 г. на 2,90 % през 2015 г.);</w:t>
      </w:r>
    </w:p>
    <w:p w:rsidR="008F26CE" w:rsidRDefault="00712D90">
      <w:pPr>
        <w:numPr>
          <w:ilvl w:val="0"/>
          <w:numId w:val="58"/>
        </w:numPr>
        <w:spacing w:before="60" w:after="6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lastRenderedPageBreak/>
        <w:t>намаляване на броя на бенефициерите — бивши договорно наети служители, спрямо броя на работещите дого</w:t>
      </w:r>
      <w:r>
        <w:rPr>
          <w:rFonts w:ascii="Times New Roman" w:hAnsi="Times New Roman"/>
          <w:noProof/>
          <w:sz w:val="24"/>
        </w:rPr>
        <w:t xml:space="preserve">ворно наети служители (от 5,86 % през 2009 г. на 1,83 % през 2015 г.); </w:t>
      </w:r>
    </w:p>
    <w:p w:rsidR="008F26CE" w:rsidRDefault="00712D90">
      <w:pPr>
        <w:numPr>
          <w:ilvl w:val="0"/>
          <w:numId w:val="58"/>
        </w:numPr>
        <w:spacing w:before="60" w:after="6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въвеждане на категорията на акредитираните парламентарни сътрудници (съотношение на бенефициерите — бивши акредитирани парламентарни сътрудници, спрямо работещите акредитирани парламен</w:t>
      </w:r>
      <w:r>
        <w:rPr>
          <w:rFonts w:ascii="Times New Roman" w:hAnsi="Times New Roman"/>
          <w:noProof/>
          <w:sz w:val="24"/>
        </w:rPr>
        <w:t>тарни сътрудници през 2015 г.: 8,4 %);</w:t>
      </w:r>
    </w:p>
    <w:p w:rsidR="008F26CE" w:rsidRDefault="00712D90">
      <w:pPr>
        <w:numPr>
          <w:ilvl w:val="0"/>
          <w:numId w:val="58"/>
        </w:numPr>
        <w:spacing w:before="60" w:after="6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увеличаване на средното месечно обезщетение от 1 980 EUR през 2009 г. на 2 063 EUR през 2010 г. Тенденцията към увеличение се обръща през 2011 г. и 2012 г., като достига до максимално ниска стойност на обезщетението о</w:t>
      </w:r>
      <w:r>
        <w:rPr>
          <w:rFonts w:ascii="Times New Roman" w:hAnsi="Times New Roman"/>
          <w:noProof/>
          <w:sz w:val="24"/>
        </w:rPr>
        <w:t>т 1 908 EUR. От 2013 г. тенденцията отново се обръща, като през 2015 г. стойността на обезщетението достига 2 551 EUR след максимално висока стойност от 2 582 EUR през 2014 г. Видно е, че между 2011 г. и 2015 г. средното обезщетение за акредитираните парла</w:t>
      </w:r>
      <w:r>
        <w:rPr>
          <w:rFonts w:ascii="Times New Roman" w:hAnsi="Times New Roman"/>
          <w:noProof/>
          <w:sz w:val="24"/>
        </w:rPr>
        <w:t>ментарни сътрудници значително нараства. Всъщност през 2014 г. то се увеличава от 2 096 EUR на 2 898 EUR, след което намалява на 2 525 EUR през 2015 г.;</w:t>
      </w:r>
    </w:p>
    <w:p w:rsidR="008F26CE" w:rsidRDefault="00712D90">
      <w:pPr>
        <w:numPr>
          <w:ilvl w:val="0"/>
          <w:numId w:val="58"/>
        </w:numPr>
        <w:spacing w:before="60" w:after="6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увеличаване на средната продължителност в месеци на правото на обезщетение, като от 6,9 месеца през 200</w:t>
      </w:r>
      <w:r>
        <w:rPr>
          <w:rFonts w:ascii="Times New Roman" w:hAnsi="Times New Roman"/>
          <w:noProof/>
          <w:sz w:val="24"/>
        </w:rPr>
        <w:t>9 г. тя достига 10 месеца през 2015 г., което представлява увеличение от 45 % на периода на плащане на обезщетения;</w:t>
      </w:r>
    </w:p>
    <w:p w:rsidR="008F26CE" w:rsidRDefault="00712D90">
      <w:pPr>
        <w:numPr>
          <w:ilvl w:val="0"/>
          <w:numId w:val="58"/>
        </w:numPr>
        <w:spacing w:before="60" w:after="6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значително намаляване на дефицита през 2012 г. благодарение на извънредни приходи от Службата на Европейския съюз за интелектуална собствено</w:t>
      </w:r>
      <w:r>
        <w:rPr>
          <w:rFonts w:ascii="Times New Roman" w:hAnsi="Times New Roman"/>
          <w:noProof/>
          <w:sz w:val="24"/>
        </w:rPr>
        <w:t>ст, която възстановява сумата от 1,2 млн. евро след връщането на работа на около двадесет служители в изпълнение на Решение на Съда.</w:t>
      </w:r>
    </w:p>
    <w:p w:rsidR="008F26CE" w:rsidRDefault="00712D90">
      <w:pPr>
        <w:spacing w:before="120" w:after="120" w:line="240" w:lineRule="auto"/>
        <w:jc w:val="both"/>
        <w:rPr>
          <w:rFonts w:ascii="Times New Roman" w:eastAsia="Times New Roman" w:hAnsi="Times New Roman" w:cs="Times New Roman"/>
          <w:noProof/>
          <w:sz w:val="24"/>
          <w:szCs w:val="24"/>
          <w:u w:val="single"/>
        </w:rPr>
      </w:pPr>
      <w:r>
        <w:rPr>
          <w:rFonts w:ascii="Times New Roman" w:hAnsi="Times New Roman"/>
          <w:noProof/>
          <w:sz w:val="24"/>
          <w:u w:val="single"/>
        </w:rPr>
        <w:t>Реформата от 2014 г. и перспективи:</w:t>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Реформата на Правилника за длъжностните лица и Условията за работа на другите служители</w:t>
      </w:r>
      <w:r>
        <w:rPr>
          <w:rFonts w:ascii="Times New Roman" w:hAnsi="Times New Roman"/>
          <w:noProof/>
          <w:sz w:val="24"/>
        </w:rPr>
        <w:t xml:space="preserve"> на Европейския съюз, която влезе в сила на 1 януари 2014 г., промени максималната продължителност на договорите за наемане на договорно наети служители по член 3б, която вече е 6 години, вместо 3 години. </w:t>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Тази промяна на максималната продължителност на до</w:t>
      </w:r>
      <w:r>
        <w:rPr>
          <w:rFonts w:ascii="Times New Roman" w:hAnsi="Times New Roman"/>
          <w:noProof/>
          <w:sz w:val="24"/>
        </w:rPr>
        <w:t>говора доведе до намаляване от 2014 г. насам на броя на бенефициерите на „фонд Безработица“. От 2017 г. нататък обаче произведеният от нея стабилизиращ ефект ще започне да затихва.</w:t>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Същевременно обаче този положителен ефект не успя да компенсира значителнот</w:t>
      </w:r>
      <w:r>
        <w:rPr>
          <w:rFonts w:ascii="Times New Roman" w:hAnsi="Times New Roman"/>
          <w:noProof/>
          <w:sz w:val="24"/>
        </w:rPr>
        <w:t>о нарастване на броя на бенефициерите от Европейския парламент след началото на новия парламентарен мандат през 2014 г. На практика през юли 2014 г. към дотогавашните бенефициери на осигурителната схема за безработица се присъединиха 600 парламентарни сътр</w:t>
      </w:r>
      <w:r>
        <w:rPr>
          <w:rFonts w:ascii="Times New Roman" w:hAnsi="Times New Roman"/>
          <w:noProof/>
          <w:sz w:val="24"/>
        </w:rPr>
        <w:t>удници и 200 срочно наети служители.</w:t>
      </w:r>
    </w:p>
    <w:p w:rsidR="008F26CE" w:rsidRDefault="00712D90">
      <w:pPr>
        <w:spacing w:before="120" w:after="120" w:line="240" w:lineRule="auto"/>
        <w:jc w:val="center"/>
        <w:rPr>
          <w:rFonts w:ascii="Times New Roman" w:eastAsia="Times New Roman" w:hAnsi="Times New Roman" w:cs="Times New Roman"/>
          <w:noProof/>
          <w:sz w:val="24"/>
          <w:szCs w:val="24"/>
        </w:rPr>
      </w:pPr>
      <w:r>
        <w:rPr>
          <w:rFonts w:ascii="Times New Roman" w:hAnsi="Times New Roman"/>
          <w:noProof/>
          <w:sz w:val="24"/>
        </w:rPr>
        <w:t>_____________________________</w:t>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член 28а, параграф 11 и член 96, параграф 11 от Условията за работа на другите служители на Европейския съюз, изменени през 2013 г., се предвижда представянето на всеки две години на докл</w:t>
      </w:r>
      <w:r>
        <w:rPr>
          <w:rFonts w:ascii="Times New Roman" w:hAnsi="Times New Roman"/>
          <w:noProof/>
          <w:sz w:val="24"/>
        </w:rPr>
        <w:t>ад на Комисията за финансовото състояние на осигурителната схема за безработица. Освен това, независимо от настоящия доклад, Комисията може съгласно членове 111 и 112 от Правилника за длъжностните лица да адаптира чрез делегирани актове вноските, предвиден</w:t>
      </w:r>
      <w:r>
        <w:rPr>
          <w:rFonts w:ascii="Times New Roman" w:hAnsi="Times New Roman"/>
          <w:noProof/>
          <w:sz w:val="24"/>
        </w:rPr>
        <w:t>и в член 28а, параграф 7 и в член 96, параграф 7 от Условията за работа на другите служители, ако балансът на схемата го изисква.</w:t>
      </w:r>
    </w:p>
    <w:p w:rsidR="008F26CE" w:rsidRDefault="00712D90">
      <w:pPr>
        <w:pStyle w:val="ManualHeading1"/>
        <w:rPr>
          <w:noProof/>
        </w:rPr>
      </w:pPr>
      <w:bookmarkStart w:id="2" w:name="_Toc257299230"/>
      <w:r>
        <w:lastRenderedPageBreak/>
        <w:t>1</w:t>
      </w:r>
      <w:r>
        <w:tab/>
      </w:r>
      <w:r>
        <w:rPr>
          <w:noProof/>
        </w:rPr>
        <w:t>Нормативна уредба</w:t>
      </w:r>
      <w:bookmarkEnd w:id="2"/>
      <w:r>
        <w:rPr>
          <w:noProof/>
        </w:rPr>
        <w:t xml:space="preserve"> </w:t>
      </w:r>
    </w:p>
    <w:p w:rsidR="008F26CE" w:rsidRDefault="00712D90">
      <w:pPr>
        <w:pStyle w:val="ManualHeading2"/>
        <w:rPr>
          <w:noProof/>
        </w:rPr>
      </w:pPr>
      <w:bookmarkStart w:id="3" w:name="_Toc257299231"/>
      <w:bookmarkStart w:id="4" w:name="_Ref445387307"/>
      <w:bookmarkStart w:id="5" w:name="_Ref445387384"/>
      <w:bookmarkStart w:id="6" w:name="_Ref445387404"/>
      <w:r>
        <w:t>1.1</w:t>
      </w:r>
      <w:r>
        <w:tab/>
      </w:r>
      <w:r>
        <w:rPr>
          <w:noProof/>
        </w:rPr>
        <w:t>Описание на схемата</w:t>
      </w:r>
      <w:bookmarkEnd w:id="3"/>
      <w:bookmarkEnd w:id="4"/>
      <w:bookmarkEnd w:id="5"/>
      <w:bookmarkEnd w:id="6"/>
    </w:p>
    <w:p w:rsidR="008F26CE" w:rsidRDefault="00712D90">
      <w:pPr>
        <w:keepNext/>
        <w:keepLines/>
        <w:spacing w:before="120" w:after="120" w:line="240" w:lineRule="auto"/>
        <w:jc w:val="both"/>
        <w:rPr>
          <w:rFonts w:ascii="Times New Roman" w:eastAsia="Times New Roman" w:hAnsi="Times New Roman" w:cs="Times New Roman"/>
          <w:noProof/>
          <w:spacing w:val="-6"/>
          <w:sz w:val="24"/>
          <w:szCs w:val="24"/>
        </w:rPr>
      </w:pPr>
      <w:r>
        <w:rPr>
          <w:rFonts w:ascii="Times New Roman" w:hAnsi="Times New Roman"/>
          <w:noProof/>
          <w:spacing w:val="-6"/>
          <w:sz w:val="24"/>
        </w:rPr>
        <w:t>Реформата на Правилника за длъжностните лица и Условията за работа на другите слу</w:t>
      </w:r>
      <w:r>
        <w:rPr>
          <w:rFonts w:ascii="Times New Roman" w:hAnsi="Times New Roman"/>
          <w:noProof/>
          <w:spacing w:val="-6"/>
          <w:sz w:val="24"/>
        </w:rPr>
        <w:t>жители на Европейския съюз, която влезе в сила на 1 май 2004 г., измени правните текстове, които уреждаха още от 1985 г. насам правото на достъп до фонд „Безработица“, както и правилата за извършване на вноски в него. Промените могат да бъдат обобщени, как</w:t>
      </w:r>
      <w:r>
        <w:rPr>
          <w:rFonts w:ascii="Times New Roman" w:hAnsi="Times New Roman"/>
          <w:noProof/>
          <w:spacing w:val="-6"/>
          <w:sz w:val="24"/>
        </w:rPr>
        <w:t>то следва:</w:t>
      </w:r>
    </w:p>
    <w:p w:rsidR="008F26CE" w:rsidRDefault="008F26CE">
      <w:pPr>
        <w:keepNext/>
        <w:keepLines/>
        <w:spacing w:after="0" w:line="240" w:lineRule="auto"/>
        <w:jc w:val="both"/>
        <w:rPr>
          <w:rFonts w:ascii="Times New Roman" w:eastAsia="Times New Roman" w:hAnsi="Times New Roman" w:cs="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7"/>
      </w:tblGrid>
      <w:tr w:rsidR="008F26CE">
        <w:tc>
          <w:tcPr>
            <w:tcW w:w="4776" w:type="dxa"/>
            <w:shd w:val="clear" w:color="auto" w:fill="D9D9D9"/>
          </w:tcPr>
          <w:p w:rsidR="008F26CE" w:rsidRDefault="00712D90">
            <w:pPr>
              <w:spacing w:before="120" w:after="120" w:line="240" w:lineRule="auto"/>
              <w:jc w:val="center"/>
              <w:rPr>
                <w:rFonts w:ascii="Times New Roman" w:eastAsia="Times New Roman" w:hAnsi="Times New Roman" w:cs="Times New Roman"/>
                <w:b/>
                <w:noProof/>
                <w:sz w:val="24"/>
                <w:szCs w:val="24"/>
              </w:rPr>
            </w:pPr>
            <w:r>
              <w:rPr>
                <w:rFonts w:ascii="Times New Roman" w:hAnsi="Times New Roman"/>
                <w:b/>
                <w:noProof/>
                <w:sz w:val="24"/>
              </w:rPr>
              <w:t>Преди май 2004 г.</w:t>
            </w:r>
          </w:p>
        </w:tc>
        <w:tc>
          <w:tcPr>
            <w:tcW w:w="4777" w:type="dxa"/>
            <w:shd w:val="clear" w:color="auto" w:fill="D9D9D9"/>
          </w:tcPr>
          <w:p w:rsidR="008F26CE" w:rsidRDefault="00712D90">
            <w:pPr>
              <w:spacing w:before="120" w:after="120" w:line="240" w:lineRule="auto"/>
              <w:jc w:val="center"/>
              <w:rPr>
                <w:rFonts w:ascii="Times New Roman" w:eastAsia="Times New Roman" w:hAnsi="Times New Roman" w:cs="Times New Roman"/>
                <w:b/>
                <w:noProof/>
                <w:sz w:val="24"/>
                <w:szCs w:val="24"/>
              </w:rPr>
            </w:pPr>
            <w:r>
              <w:rPr>
                <w:rFonts w:ascii="Times New Roman" w:hAnsi="Times New Roman"/>
                <w:b/>
                <w:noProof/>
                <w:sz w:val="24"/>
              </w:rPr>
              <w:t>След май 2004 г.</w:t>
            </w:r>
          </w:p>
        </w:tc>
      </w:tr>
      <w:tr w:rsidR="008F26CE">
        <w:tc>
          <w:tcPr>
            <w:tcW w:w="4776" w:type="dxa"/>
            <w:shd w:val="clear" w:color="auto" w:fill="auto"/>
          </w:tcPr>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покритие на риска от безработица единствено за срочно наетите служители, чиито служебни правоотношения са прекратени.</w:t>
            </w:r>
          </w:p>
        </w:tc>
        <w:tc>
          <w:tcPr>
            <w:tcW w:w="4777" w:type="dxa"/>
            <w:shd w:val="clear" w:color="auto" w:fill="auto"/>
          </w:tcPr>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нова категория служители, наети с договор (т.е. договорно наети служители), са обхванати </w:t>
            </w:r>
            <w:r>
              <w:rPr>
                <w:rFonts w:ascii="Times New Roman" w:hAnsi="Times New Roman"/>
                <w:noProof/>
                <w:sz w:val="24"/>
              </w:rPr>
              <w:t>от защитата срещу безработица.</w:t>
            </w:r>
          </w:p>
        </w:tc>
      </w:tr>
      <w:tr w:rsidR="008F26CE">
        <w:tc>
          <w:tcPr>
            <w:tcW w:w="4776" w:type="dxa"/>
            <w:shd w:val="clear" w:color="auto" w:fill="auto"/>
          </w:tcPr>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размер на вноската от 0,4 % за служителя и 0,8 % за работодателя.</w:t>
            </w:r>
          </w:p>
        </w:tc>
        <w:tc>
          <w:tcPr>
            <w:tcW w:w="4777" w:type="dxa"/>
            <w:shd w:val="clear" w:color="auto" w:fill="auto"/>
          </w:tcPr>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нови правила за вноските към фонд „Безработица“ (т.е. размер на вноската, определен на 0,81 % за служителя и на 1,62 % за работодателя, както и еднократна </w:t>
            </w:r>
            <w:r>
              <w:rPr>
                <w:rFonts w:ascii="Times New Roman" w:hAnsi="Times New Roman"/>
                <w:noProof/>
                <w:sz w:val="24"/>
              </w:rPr>
              <w:t>удръжка от 919,02 EUR за договорно наетите служители и от 1 254,77 EUR за срочно наетите служители).</w:t>
            </w:r>
          </w:p>
        </w:tc>
      </w:tr>
      <w:tr w:rsidR="008F26CE">
        <w:tc>
          <w:tcPr>
            <w:tcW w:w="4776" w:type="dxa"/>
            <w:shd w:val="clear" w:color="auto" w:fill="auto"/>
          </w:tcPr>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получаване на обезщетение за безработица за ограничен срок, който не може да надхвърля 24 месеца.</w:t>
            </w:r>
          </w:p>
        </w:tc>
        <w:tc>
          <w:tcPr>
            <w:tcW w:w="4777" w:type="dxa"/>
            <w:shd w:val="clear" w:color="auto" w:fill="auto"/>
          </w:tcPr>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получаването на обезщетение за безработица е за срок, ко</w:t>
            </w:r>
            <w:r>
              <w:rPr>
                <w:rFonts w:ascii="Times New Roman" w:hAnsi="Times New Roman"/>
                <w:noProof/>
                <w:sz w:val="24"/>
              </w:rPr>
              <w:t>йто не надвишава една трета от действително изработения период като срочно нает служител, договорно нает служител или парламентарен сътрудник, като този срок не може да надхвърля 36 месеца. От седмия месец на безработица обезщетението е ограничено от горен</w:t>
            </w:r>
            <w:r>
              <w:rPr>
                <w:rFonts w:ascii="Times New Roman" w:hAnsi="Times New Roman"/>
                <w:noProof/>
                <w:sz w:val="24"/>
              </w:rPr>
              <w:t xml:space="preserve"> праг, а минималното обезщетение за безработица (долен праг) е актуализирано.</w:t>
            </w:r>
          </w:p>
        </w:tc>
      </w:tr>
    </w:tbl>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Таблицата по-долу показва горните и долните прагове според различните категории:</w:t>
      </w:r>
    </w:p>
    <w:p w:rsidR="008F26CE" w:rsidRDefault="00712D90">
      <w:pPr>
        <w:spacing w:after="0" w:line="240" w:lineRule="auto"/>
        <w:ind w:right="1475"/>
        <w:jc w:val="right"/>
        <w:rPr>
          <w:rFonts w:ascii="Times New Roman" w:eastAsia="Times New Roman" w:hAnsi="Times New Roman" w:cs="Times New Roman"/>
          <w:i/>
          <w:noProof/>
          <w:sz w:val="20"/>
          <w:szCs w:val="20"/>
        </w:rPr>
      </w:pPr>
      <w:r>
        <w:rPr>
          <w:rFonts w:ascii="Times New Roman" w:hAnsi="Times New Roman"/>
          <w:i/>
          <w:noProof/>
          <w:sz w:val="20"/>
        </w:rPr>
        <w:t>суми в евро на 1 януари 2016 г.</w:t>
      </w:r>
    </w:p>
    <w:tbl>
      <w:tblPr>
        <w:tblW w:w="0" w:type="auto"/>
        <w:jc w:val="center"/>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597"/>
        <w:gridCol w:w="1597"/>
        <w:gridCol w:w="1597"/>
      </w:tblGrid>
      <w:tr w:rsidR="008F26CE">
        <w:trPr>
          <w:jc w:val="center"/>
        </w:trPr>
        <w:tc>
          <w:tcPr>
            <w:tcW w:w="2011" w:type="dxa"/>
            <w:tcBorders>
              <w:top w:val="nil"/>
              <w:left w:val="nil"/>
            </w:tcBorders>
            <w:shd w:val="clear" w:color="auto" w:fill="auto"/>
          </w:tcPr>
          <w:p w:rsidR="008F26CE" w:rsidRDefault="008F26CE">
            <w:pPr>
              <w:spacing w:before="60" w:after="60" w:line="240" w:lineRule="auto"/>
              <w:jc w:val="both"/>
              <w:rPr>
                <w:rFonts w:ascii="Times New Roman" w:eastAsia="Times New Roman" w:hAnsi="Times New Roman" w:cs="Times New Roman"/>
                <w:noProof/>
                <w:sz w:val="24"/>
                <w:szCs w:val="24"/>
              </w:rPr>
            </w:pPr>
          </w:p>
        </w:tc>
        <w:tc>
          <w:tcPr>
            <w:tcW w:w="1597" w:type="dxa"/>
            <w:shd w:val="clear" w:color="auto" w:fill="D9D9D9"/>
          </w:tcPr>
          <w:p w:rsidR="008F26CE" w:rsidRDefault="00712D90">
            <w:pPr>
              <w:spacing w:before="60" w:after="60" w:line="240" w:lineRule="auto"/>
              <w:jc w:val="center"/>
              <w:rPr>
                <w:rFonts w:ascii="Times New Roman" w:eastAsia="Times New Roman" w:hAnsi="Times New Roman" w:cs="Times New Roman"/>
                <w:b/>
                <w:noProof/>
                <w:sz w:val="24"/>
                <w:szCs w:val="24"/>
              </w:rPr>
            </w:pPr>
            <w:r>
              <w:rPr>
                <w:rFonts w:ascii="Times New Roman" w:hAnsi="Times New Roman"/>
                <w:b/>
                <w:noProof/>
                <w:sz w:val="24"/>
              </w:rPr>
              <w:t>СНС</w:t>
            </w:r>
          </w:p>
        </w:tc>
        <w:tc>
          <w:tcPr>
            <w:tcW w:w="1597" w:type="dxa"/>
            <w:shd w:val="clear" w:color="auto" w:fill="D9D9D9"/>
          </w:tcPr>
          <w:p w:rsidR="008F26CE" w:rsidRDefault="00712D90">
            <w:pPr>
              <w:spacing w:before="60" w:after="60" w:line="240" w:lineRule="auto"/>
              <w:jc w:val="center"/>
              <w:rPr>
                <w:rFonts w:ascii="Times New Roman" w:eastAsia="Times New Roman" w:hAnsi="Times New Roman" w:cs="Times New Roman"/>
                <w:b/>
                <w:noProof/>
                <w:sz w:val="24"/>
                <w:szCs w:val="24"/>
              </w:rPr>
            </w:pPr>
            <w:r>
              <w:rPr>
                <w:rFonts w:ascii="Times New Roman" w:hAnsi="Times New Roman"/>
                <w:b/>
                <w:noProof/>
                <w:sz w:val="24"/>
              </w:rPr>
              <w:t>ДНС</w:t>
            </w:r>
          </w:p>
        </w:tc>
        <w:tc>
          <w:tcPr>
            <w:tcW w:w="1597" w:type="dxa"/>
            <w:shd w:val="clear" w:color="auto" w:fill="D9D9D9"/>
          </w:tcPr>
          <w:p w:rsidR="008F26CE" w:rsidRDefault="00712D90">
            <w:pPr>
              <w:spacing w:before="60" w:after="60" w:line="240" w:lineRule="auto"/>
              <w:jc w:val="center"/>
              <w:rPr>
                <w:rFonts w:ascii="Times New Roman" w:eastAsia="Times New Roman" w:hAnsi="Times New Roman" w:cs="Times New Roman"/>
                <w:b/>
                <w:noProof/>
                <w:sz w:val="24"/>
                <w:szCs w:val="24"/>
              </w:rPr>
            </w:pPr>
            <w:r>
              <w:rPr>
                <w:rFonts w:ascii="Times New Roman" w:hAnsi="Times New Roman"/>
                <w:b/>
                <w:noProof/>
                <w:sz w:val="24"/>
              </w:rPr>
              <w:t>АПС</w:t>
            </w:r>
          </w:p>
        </w:tc>
      </w:tr>
      <w:tr w:rsidR="008F26CE">
        <w:trPr>
          <w:jc w:val="center"/>
        </w:trPr>
        <w:tc>
          <w:tcPr>
            <w:tcW w:w="2011" w:type="dxa"/>
            <w:shd w:val="clear" w:color="auto" w:fill="auto"/>
          </w:tcPr>
          <w:p w:rsidR="008F26CE" w:rsidRDefault="00712D90">
            <w:pPr>
              <w:spacing w:before="60" w:after="60" w:line="240" w:lineRule="auto"/>
              <w:jc w:val="both"/>
              <w:rPr>
                <w:rFonts w:ascii="Times New Roman" w:eastAsia="Times New Roman" w:hAnsi="Times New Roman" w:cs="Times New Roman"/>
                <w:noProof/>
                <w:sz w:val="24"/>
                <w:szCs w:val="24"/>
              </w:rPr>
            </w:pPr>
            <w:r>
              <w:rPr>
                <w:rFonts w:ascii="Times New Roman" w:hAnsi="Times New Roman"/>
                <w:noProof/>
                <w:sz w:val="24"/>
              </w:rPr>
              <w:t>Горен праг (от 7-ия месец)</w:t>
            </w:r>
          </w:p>
        </w:tc>
        <w:tc>
          <w:tcPr>
            <w:tcW w:w="1597" w:type="dxa"/>
            <w:shd w:val="clear" w:color="auto" w:fill="auto"/>
          </w:tcPr>
          <w:p w:rsidR="008F26CE" w:rsidRDefault="00712D90">
            <w:pPr>
              <w:spacing w:before="60" w:after="60" w:line="240" w:lineRule="auto"/>
              <w:ind w:right="227"/>
              <w:jc w:val="right"/>
              <w:rPr>
                <w:rFonts w:ascii="Times New Roman" w:eastAsia="Times New Roman" w:hAnsi="Times New Roman" w:cs="Times New Roman"/>
                <w:noProof/>
                <w:sz w:val="24"/>
                <w:szCs w:val="24"/>
              </w:rPr>
            </w:pPr>
            <w:r>
              <w:rPr>
                <w:rFonts w:ascii="Times New Roman" w:hAnsi="Times New Roman"/>
                <w:noProof/>
                <w:sz w:val="24"/>
              </w:rPr>
              <w:t xml:space="preserve">2 760,49 </w:t>
            </w:r>
          </w:p>
        </w:tc>
        <w:tc>
          <w:tcPr>
            <w:tcW w:w="1597" w:type="dxa"/>
            <w:shd w:val="clear" w:color="auto" w:fill="auto"/>
          </w:tcPr>
          <w:p w:rsidR="008F26CE" w:rsidRDefault="00712D90">
            <w:pPr>
              <w:spacing w:before="60" w:after="60" w:line="240" w:lineRule="auto"/>
              <w:ind w:right="227"/>
              <w:jc w:val="right"/>
              <w:rPr>
                <w:rFonts w:ascii="Times New Roman" w:eastAsia="Times New Roman" w:hAnsi="Times New Roman" w:cs="Times New Roman"/>
                <w:noProof/>
                <w:sz w:val="24"/>
                <w:szCs w:val="24"/>
              </w:rPr>
            </w:pPr>
            <w:r>
              <w:rPr>
                <w:rFonts w:ascii="Times New Roman" w:hAnsi="Times New Roman"/>
                <w:noProof/>
                <w:sz w:val="24"/>
              </w:rPr>
              <w:t>2 070,35</w:t>
            </w:r>
          </w:p>
        </w:tc>
        <w:tc>
          <w:tcPr>
            <w:tcW w:w="1597" w:type="dxa"/>
            <w:shd w:val="clear" w:color="auto" w:fill="auto"/>
          </w:tcPr>
          <w:p w:rsidR="008F26CE" w:rsidRDefault="00712D90">
            <w:pPr>
              <w:spacing w:before="60" w:after="60" w:line="240" w:lineRule="auto"/>
              <w:ind w:right="227"/>
              <w:jc w:val="right"/>
              <w:rPr>
                <w:rFonts w:ascii="Times New Roman" w:eastAsia="Times New Roman" w:hAnsi="Times New Roman" w:cs="Times New Roman"/>
                <w:noProof/>
                <w:sz w:val="24"/>
                <w:szCs w:val="24"/>
              </w:rPr>
            </w:pPr>
            <w:r>
              <w:rPr>
                <w:rFonts w:ascii="Times New Roman" w:hAnsi="Times New Roman"/>
                <w:noProof/>
                <w:sz w:val="24"/>
              </w:rPr>
              <w:t>2 142,90</w:t>
            </w:r>
          </w:p>
        </w:tc>
      </w:tr>
      <w:tr w:rsidR="008F26CE">
        <w:trPr>
          <w:jc w:val="center"/>
        </w:trPr>
        <w:tc>
          <w:tcPr>
            <w:tcW w:w="2011" w:type="dxa"/>
            <w:shd w:val="clear" w:color="auto" w:fill="auto"/>
          </w:tcPr>
          <w:p w:rsidR="008F26CE" w:rsidRDefault="00712D90">
            <w:pPr>
              <w:spacing w:before="60" w:after="60" w:line="240" w:lineRule="auto"/>
              <w:jc w:val="both"/>
              <w:rPr>
                <w:rFonts w:ascii="Times New Roman" w:eastAsia="Times New Roman" w:hAnsi="Times New Roman" w:cs="Times New Roman"/>
                <w:noProof/>
                <w:sz w:val="24"/>
                <w:szCs w:val="24"/>
              </w:rPr>
            </w:pPr>
            <w:r>
              <w:rPr>
                <w:rFonts w:ascii="Times New Roman" w:hAnsi="Times New Roman"/>
                <w:noProof/>
                <w:sz w:val="24"/>
              </w:rPr>
              <w:t>Долен праг</w:t>
            </w:r>
          </w:p>
        </w:tc>
        <w:tc>
          <w:tcPr>
            <w:tcW w:w="1597" w:type="dxa"/>
            <w:shd w:val="clear" w:color="auto" w:fill="auto"/>
          </w:tcPr>
          <w:p w:rsidR="008F26CE" w:rsidRDefault="00712D90">
            <w:pPr>
              <w:spacing w:before="60" w:after="60" w:line="240" w:lineRule="auto"/>
              <w:ind w:right="227"/>
              <w:jc w:val="right"/>
              <w:rPr>
                <w:rFonts w:ascii="Times New Roman" w:eastAsia="Times New Roman" w:hAnsi="Times New Roman" w:cs="Times New Roman"/>
                <w:noProof/>
                <w:sz w:val="24"/>
                <w:szCs w:val="24"/>
              </w:rPr>
            </w:pPr>
            <w:r>
              <w:rPr>
                <w:rFonts w:ascii="Times New Roman" w:hAnsi="Times New Roman"/>
                <w:noProof/>
                <w:sz w:val="24"/>
              </w:rPr>
              <w:t>1 380,24</w:t>
            </w:r>
          </w:p>
        </w:tc>
        <w:tc>
          <w:tcPr>
            <w:tcW w:w="1597" w:type="dxa"/>
            <w:shd w:val="clear" w:color="auto" w:fill="auto"/>
          </w:tcPr>
          <w:p w:rsidR="008F26CE" w:rsidRDefault="00712D90">
            <w:pPr>
              <w:spacing w:before="60" w:after="60" w:line="240" w:lineRule="auto"/>
              <w:ind w:right="227"/>
              <w:jc w:val="right"/>
              <w:rPr>
                <w:rFonts w:ascii="Times New Roman" w:eastAsia="Times New Roman" w:hAnsi="Times New Roman" w:cs="Times New Roman"/>
                <w:noProof/>
                <w:sz w:val="24"/>
                <w:szCs w:val="24"/>
              </w:rPr>
            </w:pPr>
            <w:r>
              <w:rPr>
                <w:rFonts w:ascii="Times New Roman" w:hAnsi="Times New Roman"/>
                <w:noProof/>
                <w:sz w:val="24"/>
              </w:rPr>
              <w:t>1 035,18</w:t>
            </w:r>
          </w:p>
        </w:tc>
        <w:tc>
          <w:tcPr>
            <w:tcW w:w="1597" w:type="dxa"/>
            <w:shd w:val="clear" w:color="auto" w:fill="auto"/>
          </w:tcPr>
          <w:p w:rsidR="008F26CE" w:rsidRDefault="00712D90">
            <w:pPr>
              <w:spacing w:before="60" w:after="60" w:line="240" w:lineRule="auto"/>
              <w:ind w:right="227"/>
              <w:jc w:val="right"/>
              <w:rPr>
                <w:rFonts w:ascii="Times New Roman" w:eastAsia="Times New Roman" w:hAnsi="Times New Roman" w:cs="Times New Roman"/>
                <w:noProof/>
                <w:sz w:val="24"/>
                <w:szCs w:val="24"/>
              </w:rPr>
            </w:pPr>
            <w:r>
              <w:rPr>
                <w:rFonts w:ascii="Times New Roman" w:hAnsi="Times New Roman"/>
                <w:noProof/>
                <w:sz w:val="24"/>
              </w:rPr>
              <w:t>910,74</w:t>
            </w:r>
          </w:p>
        </w:tc>
      </w:tr>
    </w:tbl>
    <w:p w:rsidR="008F26CE" w:rsidRDefault="008F26CE">
      <w:pPr>
        <w:keepNext/>
        <w:keepLines/>
        <w:spacing w:after="0" w:line="240" w:lineRule="auto"/>
        <w:jc w:val="both"/>
        <w:rPr>
          <w:rFonts w:ascii="Times New Roman" w:eastAsia="Times New Roman" w:hAnsi="Times New Roman" w:cs="Times New Roman"/>
          <w:noProof/>
          <w:sz w:val="24"/>
          <w:szCs w:val="24"/>
        </w:rPr>
      </w:pP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Сумите на удръжките, горните и долните прагове се актуализират по същия начин като заплатите.</w:t>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Евентуалните семейни надбавки се добавят към обезщетението за безработица. Що се отнася до вноските към общата </w:t>
      </w:r>
      <w:r>
        <w:rPr>
          <w:rFonts w:ascii="Times New Roman" w:hAnsi="Times New Roman"/>
          <w:noProof/>
          <w:sz w:val="24"/>
        </w:rPr>
        <w:t>здравноосигурителна схема (ОЗОС) на Европейския съюз (5,1 % от референтната основна заплата на бенефициера), те се изплащат от фонд „Безработица“.</w:t>
      </w:r>
    </w:p>
    <w:p w:rsidR="008F26CE" w:rsidRDefault="00712D90">
      <w:pPr>
        <w:pStyle w:val="ManualHeading2"/>
        <w:rPr>
          <w:noProof/>
        </w:rPr>
      </w:pPr>
      <w:bookmarkStart w:id="7" w:name="_Toc257299232"/>
      <w:r>
        <w:t>1.2</w:t>
      </w:r>
      <w:r>
        <w:tab/>
      </w:r>
      <w:r>
        <w:rPr>
          <w:noProof/>
        </w:rPr>
        <w:t>Правни основания</w:t>
      </w:r>
      <w:bookmarkEnd w:id="7"/>
    </w:p>
    <w:p w:rsidR="008F26CE" w:rsidRDefault="00712D90">
      <w:pPr>
        <w:pStyle w:val="ListParagraph"/>
        <w:numPr>
          <w:ilvl w:val="0"/>
          <w:numId w:val="62"/>
        </w:numPr>
        <w:tabs>
          <w:tab w:val="num" w:pos="283"/>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Член 28а от Условията за работа на другите служители на Европейския съюз, изменен с </w:t>
      </w:r>
      <w:r>
        <w:rPr>
          <w:rFonts w:ascii="Times New Roman" w:hAnsi="Times New Roman"/>
          <w:noProof/>
          <w:sz w:val="24"/>
        </w:rPr>
        <w:t>Регламент № 1023/2013 на Европейския парламент и на Съвета от 22 октомври 2013 г.</w:t>
      </w:r>
    </w:p>
    <w:p w:rsidR="008F26CE" w:rsidRDefault="00712D90">
      <w:pPr>
        <w:pStyle w:val="ListParagraph"/>
        <w:numPr>
          <w:ilvl w:val="0"/>
          <w:numId w:val="62"/>
        </w:numPr>
        <w:tabs>
          <w:tab w:val="num" w:pos="283"/>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Член 96 от Условията за работа на другите служители на Европейския съюз и член 5 от приложението към Условията за работа на другите служители, изменени с Регламент № 1023/201</w:t>
      </w:r>
      <w:r>
        <w:rPr>
          <w:rFonts w:ascii="Times New Roman" w:hAnsi="Times New Roman"/>
          <w:noProof/>
          <w:sz w:val="24"/>
        </w:rPr>
        <w:t>3 на Европейския парламент и на Съвета от 22 октомври 2013 г.</w:t>
      </w:r>
    </w:p>
    <w:p w:rsidR="008F26CE" w:rsidRDefault="00712D90">
      <w:pPr>
        <w:pStyle w:val="ListParagraph"/>
        <w:numPr>
          <w:ilvl w:val="0"/>
          <w:numId w:val="62"/>
        </w:numPr>
        <w:tabs>
          <w:tab w:val="num" w:pos="283"/>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Членове 135 и 136 от Условията за работа на другите служители, изменени с Регламент № 1239/2010 на Европейския парламент и на Съвета от 20 декември 2010 г. (ОВ L 338, 22.12.2010 г.).</w:t>
      </w:r>
    </w:p>
    <w:p w:rsidR="008F26CE" w:rsidRDefault="00712D90">
      <w:pPr>
        <w:pStyle w:val="ListParagraph"/>
        <w:numPr>
          <w:ilvl w:val="0"/>
          <w:numId w:val="62"/>
        </w:numPr>
        <w:tabs>
          <w:tab w:val="num" w:pos="283"/>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Член 65, па</w:t>
      </w:r>
      <w:r>
        <w:rPr>
          <w:rFonts w:ascii="Times New Roman" w:hAnsi="Times New Roman"/>
          <w:noProof/>
          <w:sz w:val="24"/>
        </w:rPr>
        <w:t>раграф 1 от Правилника за длъжностните лица относно актуализирането на възнагражденията и на определени суми.</w:t>
      </w:r>
    </w:p>
    <w:p w:rsidR="008F26CE" w:rsidRDefault="00712D90">
      <w:pPr>
        <w:pStyle w:val="ListParagraph"/>
        <w:numPr>
          <w:ilvl w:val="0"/>
          <w:numId w:val="62"/>
        </w:numPr>
        <w:tabs>
          <w:tab w:val="num" w:pos="283"/>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Регламент № 91/88 на Комисията от 13 януари 1988 г. относно определяне на разпоредбите за прилагане на член 28а, параграф 2 от Условията за работа</w:t>
      </w:r>
      <w:r>
        <w:rPr>
          <w:rFonts w:ascii="Times New Roman" w:hAnsi="Times New Roman"/>
          <w:noProof/>
          <w:sz w:val="24"/>
        </w:rPr>
        <w:t xml:space="preserve"> на другите служители (ОВ L 11, 15.1.1989 г.).</w:t>
      </w:r>
    </w:p>
    <w:p w:rsidR="008F26CE" w:rsidRDefault="00712D90">
      <w:pPr>
        <w:pStyle w:val="ListParagraph"/>
        <w:numPr>
          <w:ilvl w:val="0"/>
          <w:numId w:val="62"/>
        </w:numPr>
        <w:tabs>
          <w:tab w:val="num" w:pos="283"/>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Правилник на Комисията от 14.7.1988 г. в резултат на общо съгласие, потвърдено от председателя на Съда на Европейските общности на 4.7.1989 г., за определяне на условията за прилагане на разпоредбите относно о</w:t>
      </w:r>
      <w:r>
        <w:rPr>
          <w:rFonts w:ascii="Times New Roman" w:hAnsi="Times New Roman"/>
          <w:noProof/>
          <w:sz w:val="24"/>
        </w:rPr>
        <w:t>тпускането на обезщетения за безработица на срочно наети служители в изпълнение на член 28а, параграф 10 от Условията за работа на другите служители на Европейския съюз.</w:t>
      </w:r>
    </w:p>
    <w:p w:rsidR="008F26CE" w:rsidRDefault="00712D90">
      <w:pPr>
        <w:pStyle w:val="ManualHeading1"/>
        <w:rPr>
          <w:noProof/>
        </w:rPr>
      </w:pPr>
      <w:bookmarkStart w:id="8" w:name="_Toc257299233"/>
      <w:r>
        <w:t>2</w:t>
      </w:r>
      <w:r>
        <w:tab/>
      </w:r>
      <w:r>
        <w:rPr>
          <w:noProof/>
        </w:rPr>
        <w:t>Състоянието на фонд „Безработица“ на база касова отчетност и на база текущо начисляв</w:t>
      </w:r>
      <w:r>
        <w:rPr>
          <w:noProof/>
        </w:rPr>
        <w:t>ане за периода 2009—2015 г.</w:t>
      </w:r>
      <w:bookmarkEnd w:id="8"/>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Двата раздела по-долу показват динамиката на фонд „Безработица“ и по-специално разходите и приходите.</w:t>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Навсякъде сумите, посочени под графа „Обезщетения за безработица“, включват основното обезщетение за безработица, всички семей</w:t>
      </w:r>
      <w:r>
        <w:rPr>
          <w:rFonts w:ascii="Times New Roman" w:hAnsi="Times New Roman"/>
          <w:noProof/>
          <w:sz w:val="24"/>
        </w:rPr>
        <w:t>ни надбавки и резултата от коригиращия коефициент (само за предишната схема). Приспаднати са всички социални помощи, получени на национално ниво (обезщетения за безработица, семейни надбавки, обезщетения за болест, бременност и др.). Що се отнася до вноски</w:t>
      </w:r>
      <w:r>
        <w:rPr>
          <w:rFonts w:ascii="Times New Roman" w:hAnsi="Times New Roman"/>
          <w:noProof/>
          <w:sz w:val="24"/>
        </w:rPr>
        <w:t>те в ОЗОС, както е посочено в точка „</w:t>
      </w:r>
      <w:r>
        <w:rPr>
          <w:rFonts w:ascii="Times New Roman" w:eastAsia="Times New Roman" w:hAnsi="Times New Roman" w:cs="Times New Roman"/>
          <w:noProof/>
          <w:sz w:val="24"/>
          <w:szCs w:val="24"/>
        </w:rPr>
        <w:t>1.1</w:t>
      </w:r>
      <w:r>
        <w:rPr>
          <w:rFonts w:ascii="Times New Roman" w:hAnsi="Times New Roman"/>
          <w:noProof/>
          <w:sz w:val="24"/>
        </w:rPr>
        <w:t xml:space="preserve"> </w:t>
      </w:r>
      <w:r>
        <w:rPr>
          <w:rFonts w:ascii="Times New Roman" w:eastAsia="Times New Roman" w:hAnsi="Times New Roman" w:cs="Times New Roman"/>
          <w:noProof/>
          <w:sz w:val="24"/>
          <w:szCs w:val="24"/>
        </w:rPr>
        <w:t>Описание на схемата</w:t>
      </w:r>
      <w:r>
        <w:rPr>
          <w:rFonts w:ascii="Times New Roman" w:hAnsi="Times New Roman"/>
          <w:noProof/>
          <w:sz w:val="24"/>
        </w:rPr>
        <w:t>“, те не се дължат от получателя на обезщетението за безработица и се плащат от фонд „Безработица“ (5,1 % от референтната основна заплата на бенефициера).</w:t>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Фонд „Безработица“ използва два инструмен</w:t>
      </w:r>
      <w:r>
        <w:rPr>
          <w:rFonts w:ascii="Times New Roman" w:hAnsi="Times New Roman"/>
          <w:noProof/>
          <w:sz w:val="24"/>
        </w:rPr>
        <w:t xml:space="preserve">та за управление на своите приходи и разходи: </w:t>
      </w:r>
    </w:p>
    <w:p w:rsidR="008F26CE" w:rsidRDefault="00712D90">
      <w:pPr>
        <w:pStyle w:val="ListParagraph"/>
        <w:numPr>
          <w:ilvl w:val="0"/>
          <w:numId w:val="64"/>
        </w:numPr>
        <w:spacing w:before="60" w:after="60" w:line="240" w:lineRule="auto"/>
        <w:jc w:val="both"/>
        <w:rPr>
          <w:rFonts w:ascii="Times New Roman" w:eastAsia="Times New Roman" w:hAnsi="Times New Roman" w:cs="Times New Roman"/>
          <w:noProof/>
          <w:sz w:val="24"/>
          <w:szCs w:val="24"/>
        </w:rPr>
      </w:pPr>
      <w:r>
        <w:rPr>
          <w:rFonts w:ascii="Times New Roman" w:hAnsi="Times New Roman"/>
          <w:noProof/>
          <w:sz w:val="24"/>
        </w:rPr>
        <w:t>текуща сметка за събиране на приходите и за изплащане на обезщетенията;</w:t>
      </w:r>
    </w:p>
    <w:p w:rsidR="008F26CE" w:rsidRDefault="00712D90">
      <w:pPr>
        <w:pStyle w:val="ListParagraph"/>
        <w:numPr>
          <w:ilvl w:val="0"/>
          <w:numId w:val="64"/>
        </w:numPr>
        <w:spacing w:before="60" w:after="60" w:line="240" w:lineRule="auto"/>
        <w:jc w:val="both"/>
        <w:rPr>
          <w:rFonts w:ascii="Times New Roman" w:eastAsia="Times New Roman" w:hAnsi="Times New Roman" w:cs="Times New Roman"/>
          <w:noProof/>
          <w:sz w:val="24"/>
          <w:szCs w:val="24"/>
        </w:rPr>
      </w:pPr>
      <w:r>
        <w:rPr>
          <w:rFonts w:ascii="Times New Roman" w:hAnsi="Times New Roman"/>
          <w:noProof/>
          <w:sz w:val="24"/>
        </w:rPr>
        <w:t>срочни сметки за депозиране на натрупаните излишъци.</w:t>
      </w:r>
    </w:p>
    <w:p w:rsidR="008F26CE" w:rsidRDefault="00712D90">
      <w:pPr>
        <w:pStyle w:val="ManualHeading2"/>
        <w:rPr>
          <w:noProof/>
        </w:rPr>
      </w:pPr>
      <w:bookmarkStart w:id="9" w:name="_Toc257299234"/>
      <w:r>
        <w:t>2.1</w:t>
      </w:r>
      <w:r>
        <w:tab/>
      </w:r>
      <w:r>
        <w:rPr>
          <w:noProof/>
        </w:rPr>
        <w:t xml:space="preserve">Отчет на база „касова отчетност“: текущи резултати и натрупани салда за периода </w:t>
      </w:r>
      <w:r>
        <w:rPr>
          <w:noProof/>
        </w:rPr>
        <w:t>2009—2015 г.</w:t>
      </w:r>
      <w:bookmarkEnd w:id="9"/>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Според принципа на касовата отчетност всички приходи и разходи се осчетоводяват в момента, в който постъпват или се поемат като задължение.</w:t>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таблица 1 е представена обобщена справка за приходите и разходите, както са били осчетоводени, заедно</w:t>
      </w:r>
      <w:r>
        <w:rPr>
          <w:rFonts w:ascii="Times New Roman" w:hAnsi="Times New Roman"/>
          <w:noProof/>
          <w:sz w:val="24"/>
        </w:rPr>
        <w:t xml:space="preserve"> с получените текущи салда. Трябва да се отбележи, че през 2014 г. са направени корекции на вноските в ОЗОС, дължими за периода 2009—2013 г.</w:t>
      </w:r>
    </w:p>
    <w:p w:rsidR="008F26CE" w:rsidRDefault="008F26CE">
      <w:pPr>
        <w:spacing w:before="120" w:after="120" w:line="240" w:lineRule="auto"/>
        <w:jc w:val="both"/>
        <w:rPr>
          <w:rFonts w:ascii="Times New Roman" w:eastAsia="Times New Roman" w:hAnsi="Times New Roman" w:cs="Times New Roman"/>
          <w:noProof/>
          <w:sz w:val="24"/>
          <w:szCs w:val="24"/>
        </w:rPr>
      </w:pPr>
    </w:p>
    <w:p w:rsidR="008F26CE" w:rsidRDefault="00712D90">
      <w:pPr>
        <w:spacing w:before="120" w:after="120" w:line="240" w:lineRule="auto"/>
        <w:jc w:val="both"/>
        <w:rPr>
          <w:rFonts w:ascii="Times New Roman" w:eastAsia="Times New Roman" w:hAnsi="Times New Roman" w:cs="Times New Roman"/>
          <w:noProof/>
          <w:sz w:val="24"/>
          <w:szCs w:val="24"/>
        </w:rPr>
      </w:pPr>
      <w:r>
        <w:rPr>
          <w:noProof/>
          <w:lang w:val="en-GB" w:eastAsia="en-GB" w:bidi="ar-SA"/>
        </w:rPr>
        <w:drawing>
          <wp:inline distT="0" distB="0" distL="0" distR="0">
            <wp:extent cx="5977255" cy="3650665"/>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7255" cy="3650665"/>
                    </a:xfrm>
                    <a:prstGeom prst="rect">
                      <a:avLst/>
                    </a:prstGeom>
                    <a:noFill/>
                    <a:ln>
                      <a:noFill/>
                    </a:ln>
                  </pic:spPr>
                </pic:pic>
              </a:graphicData>
            </a:graphic>
          </wp:inline>
        </w:drawing>
      </w:r>
    </w:p>
    <w:p w:rsidR="008F26CE" w:rsidRDefault="008F26CE">
      <w:pPr>
        <w:spacing w:before="120" w:after="120" w:line="240" w:lineRule="auto"/>
        <w:jc w:val="both"/>
        <w:rPr>
          <w:rFonts w:ascii="Times New Roman" w:eastAsia="Times New Roman" w:hAnsi="Times New Roman" w:cs="Times New Roman"/>
          <w:noProof/>
          <w:sz w:val="24"/>
          <w:szCs w:val="24"/>
          <w:lang w:val="en-GB"/>
        </w:rPr>
      </w:pPr>
    </w:p>
    <w:p w:rsidR="008F26CE" w:rsidRDefault="00712D90">
      <w:pPr>
        <w:spacing w:before="120" w:after="120" w:line="240" w:lineRule="auto"/>
        <w:jc w:val="both"/>
        <w:rPr>
          <w:rFonts w:ascii="Times New Roman" w:eastAsia="Times New Roman" w:hAnsi="Times New Roman" w:cs="Times New Roman"/>
          <w:b/>
          <w:noProof/>
          <w:spacing w:val="-6"/>
          <w:sz w:val="24"/>
          <w:szCs w:val="24"/>
        </w:rPr>
      </w:pPr>
      <w:r>
        <w:rPr>
          <w:rFonts w:ascii="Times New Roman" w:hAnsi="Times New Roman"/>
          <w:noProof/>
          <w:spacing w:val="-6"/>
          <w:sz w:val="24"/>
        </w:rPr>
        <w:t>В таблица 2 е представена динамиката на финансовите активи на фонд „Безработица“ както в текущата сметка, включ</w:t>
      </w:r>
      <w:r>
        <w:rPr>
          <w:rFonts w:ascii="Times New Roman" w:hAnsi="Times New Roman"/>
          <w:noProof/>
          <w:spacing w:val="-6"/>
          <w:sz w:val="24"/>
        </w:rPr>
        <w:t>ена в счетоводната отчетност на Европейската комисия (част I), така и в депозитните сметки, управлявани от ГД „Икономически и финансови въпроси“ (част II). В третата част са посочени консолидираните натрупани излишъци по двата вида сметки (част ІІІ).</w:t>
      </w:r>
    </w:p>
    <w:p w:rsidR="008F26CE" w:rsidRDefault="00712D90">
      <w:pPr>
        <w:spacing w:before="120" w:after="120" w:line="240" w:lineRule="auto"/>
        <w:jc w:val="both"/>
        <w:rPr>
          <w:rFonts w:ascii="Times New Roman" w:eastAsia="Times New Roman" w:hAnsi="Times New Roman" w:cs="Times New Roman"/>
          <w:noProof/>
          <w:sz w:val="24"/>
          <w:szCs w:val="24"/>
        </w:rPr>
      </w:pPr>
      <w:r>
        <w:rPr>
          <w:noProof/>
          <w:lang w:val="en-GB" w:eastAsia="en-GB" w:bidi="ar-SA"/>
        </w:rPr>
        <w:drawing>
          <wp:inline distT="0" distB="0" distL="0" distR="0">
            <wp:extent cx="5977255" cy="2996565"/>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7255" cy="2996565"/>
                    </a:xfrm>
                    <a:prstGeom prst="rect">
                      <a:avLst/>
                    </a:prstGeom>
                    <a:noFill/>
                    <a:ln>
                      <a:noFill/>
                    </a:ln>
                  </pic:spPr>
                </pic:pic>
              </a:graphicData>
            </a:graphic>
          </wp:inline>
        </w:drawing>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Тря</w:t>
      </w:r>
      <w:r>
        <w:rPr>
          <w:rFonts w:ascii="Times New Roman" w:hAnsi="Times New Roman"/>
          <w:noProof/>
          <w:sz w:val="24"/>
        </w:rPr>
        <w:t xml:space="preserve">бва да се отбележи намаляването през годините на натрупания излишък спрямо базовата година (2009 г.). Относителната стабилност на Фонда през 2012 г. се дължи на възстановяването от Службата на Европейския съюз за интелектуална собственост на обезщетенията </w:t>
      </w:r>
      <w:r>
        <w:rPr>
          <w:rFonts w:ascii="Times New Roman" w:hAnsi="Times New Roman"/>
          <w:noProof/>
          <w:sz w:val="24"/>
        </w:rPr>
        <w:t>за безработица, получени от върнат на работа персонал.</w:t>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Между 2009 г. и 2015 г. при натрупания излишък се забелязва намаление с 87 %.</w:t>
      </w:r>
    </w:p>
    <w:p w:rsidR="008F26CE" w:rsidRDefault="00712D90">
      <w:pPr>
        <w:spacing w:before="120" w:after="16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Таблица 3 включва обобщение на натрупаното салдо между 2008 г. и 2015 г. </w:t>
      </w:r>
    </w:p>
    <w:p w:rsidR="008F26CE" w:rsidRDefault="00712D90">
      <w:pPr>
        <w:spacing w:after="0" w:line="240" w:lineRule="auto"/>
        <w:ind w:right="-226"/>
        <w:rPr>
          <w:rFonts w:ascii="Times New Roman" w:eastAsia="Times New Roman" w:hAnsi="Times New Roman" w:cs="Times New Roman"/>
          <w:noProof/>
          <w:sz w:val="24"/>
          <w:szCs w:val="24"/>
        </w:rPr>
      </w:pPr>
      <w:r>
        <w:rPr>
          <w:noProof/>
          <w:lang w:val="en-GB" w:eastAsia="en-GB" w:bidi="ar-SA"/>
        </w:rPr>
        <w:drawing>
          <wp:inline distT="0" distB="0" distL="0" distR="0">
            <wp:extent cx="5977255" cy="1424305"/>
            <wp:effectExtent l="0" t="0" r="444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7255" cy="1424305"/>
                    </a:xfrm>
                    <a:prstGeom prst="rect">
                      <a:avLst/>
                    </a:prstGeom>
                    <a:noFill/>
                    <a:ln>
                      <a:noFill/>
                    </a:ln>
                  </pic:spPr>
                </pic:pic>
              </a:graphicData>
            </a:graphic>
          </wp:inline>
        </w:drawing>
      </w:r>
    </w:p>
    <w:p w:rsidR="008F26CE" w:rsidRDefault="008F26CE">
      <w:pPr>
        <w:spacing w:after="0" w:line="240" w:lineRule="auto"/>
        <w:ind w:right="-226"/>
        <w:jc w:val="right"/>
        <w:rPr>
          <w:rFonts w:ascii="Times New Roman" w:eastAsia="Times New Roman" w:hAnsi="Times New Roman" w:cs="Times New Roman"/>
          <w:i/>
          <w:noProof/>
          <w:sz w:val="13"/>
          <w:szCs w:val="13"/>
        </w:rPr>
      </w:pPr>
    </w:p>
    <w:p w:rsidR="008F26CE" w:rsidRDefault="00712D90">
      <w:pPr>
        <w:pStyle w:val="ManualHeading2"/>
        <w:rPr>
          <w:noProof/>
        </w:rPr>
      </w:pPr>
      <w:bookmarkStart w:id="10" w:name="_Toc257299235"/>
      <w:r>
        <w:t>2.2</w:t>
      </w:r>
      <w:r>
        <w:tab/>
      </w:r>
      <w:r>
        <w:rPr>
          <w:noProof/>
        </w:rPr>
        <w:t xml:space="preserve">Отчет на база текущо начисляване: текущи </w:t>
      </w:r>
      <w:r>
        <w:rPr>
          <w:noProof/>
        </w:rPr>
        <w:t>резултати за периода 2009—2015 г.</w:t>
      </w:r>
      <w:bookmarkEnd w:id="10"/>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Според принципа на текущото начисляване операциите се записват така, че да бъдат отразени в годината, за която се отнасят. Така например някои приходи, които са получени и осчетоводени в началото на година N, представляват</w:t>
      </w:r>
      <w:r>
        <w:rPr>
          <w:rFonts w:ascii="Times New Roman" w:hAnsi="Times New Roman"/>
          <w:noProof/>
          <w:sz w:val="24"/>
        </w:rPr>
        <w:t xml:space="preserve"> удръжки от заплатите, направени в края на година N-1, а някои обезщетения за безработица, изплатени и осчетоводени в началото на година N, се отнасят за периоди на безработица от края на година N-1. В счетоводната отчетност тези операции се включват във ф</w:t>
      </w:r>
      <w:r>
        <w:rPr>
          <w:rFonts w:ascii="Times New Roman" w:hAnsi="Times New Roman"/>
          <w:noProof/>
          <w:sz w:val="24"/>
        </w:rPr>
        <w:t>инансова година N-1.</w:t>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таблица 4 са посочени приходите и разходите съгласно гореописаната логика, като по този начин е представено състоянието на приходите и разходите на фонд „Безработица“ по финансови години.</w:t>
      </w:r>
    </w:p>
    <w:p w:rsidR="008F26CE" w:rsidRDefault="00712D90">
      <w:pPr>
        <w:spacing w:before="120" w:after="120" w:line="240" w:lineRule="auto"/>
        <w:jc w:val="both"/>
        <w:rPr>
          <w:rFonts w:ascii="Times New Roman" w:eastAsia="Times New Roman" w:hAnsi="Times New Roman" w:cs="Times New Roman"/>
          <w:noProof/>
          <w:sz w:val="24"/>
          <w:szCs w:val="24"/>
        </w:rPr>
      </w:pPr>
      <w:r>
        <w:rPr>
          <w:noProof/>
          <w:lang w:val="en-GB" w:eastAsia="en-GB" w:bidi="ar-SA"/>
        </w:rPr>
        <w:drawing>
          <wp:inline distT="0" distB="0" distL="0" distR="0">
            <wp:extent cx="5977255" cy="3268904"/>
            <wp:effectExtent l="0" t="0" r="444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7255" cy="3268904"/>
                    </a:xfrm>
                    <a:prstGeom prst="rect">
                      <a:avLst/>
                    </a:prstGeom>
                    <a:noFill/>
                    <a:ln>
                      <a:noFill/>
                    </a:ln>
                  </pic:spPr>
                </pic:pic>
              </a:graphicData>
            </a:graphic>
          </wp:inline>
        </w:drawing>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При приходите и разходите се наблюдава знач</w:t>
      </w:r>
      <w:r>
        <w:rPr>
          <w:rFonts w:ascii="Times New Roman" w:hAnsi="Times New Roman"/>
          <w:noProof/>
          <w:sz w:val="24"/>
        </w:rPr>
        <w:t>ително нарастване от 2009 г. насам. Това изменение на приходите и разходите се дължи основно на:</w:t>
      </w:r>
    </w:p>
    <w:p w:rsidR="008F26CE" w:rsidRDefault="00712D90">
      <w:pPr>
        <w:numPr>
          <w:ilvl w:val="0"/>
          <w:numId w:val="60"/>
        </w:numPr>
        <w:spacing w:before="60" w:after="6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 xml:space="preserve">създаването на нови агенции и увеличаването като цяло на персонала на агенциите; </w:t>
      </w:r>
    </w:p>
    <w:p w:rsidR="008F26CE" w:rsidRDefault="00712D90">
      <w:pPr>
        <w:numPr>
          <w:ilvl w:val="0"/>
          <w:numId w:val="60"/>
        </w:numPr>
        <w:spacing w:before="60" w:after="60" w:line="240" w:lineRule="auto"/>
        <w:ind w:left="714" w:hanging="357"/>
        <w:jc w:val="both"/>
        <w:rPr>
          <w:rFonts w:ascii="Times New Roman" w:eastAsia="Times New Roman" w:hAnsi="Times New Roman" w:cs="Times New Roman"/>
          <w:noProof/>
          <w:spacing w:val="-6"/>
          <w:sz w:val="24"/>
          <w:szCs w:val="24"/>
        </w:rPr>
      </w:pPr>
      <w:r>
        <w:rPr>
          <w:rFonts w:ascii="Times New Roman" w:hAnsi="Times New Roman"/>
          <w:noProof/>
          <w:spacing w:val="-6"/>
          <w:sz w:val="24"/>
        </w:rPr>
        <w:t>въвеждането от 2004 г. на нова категория персонал (т.е. договорно наети служи</w:t>
      </w:r>
      <w:r>
        <w:rPr>
          <w:rFonts w:ascii="Times New Roman" w:hAnsi="Times New Roman"/>
          <w:noProof/>
          <w:spacing w:val="-6"/>
          <w:sz w:val="24"/>
        </w:rPr>
        <w:t>тели);</w:t>
      </w:r>
    </w:p>
    <w:p w:rsidR="008F26CE" w:rsidRDefault="00712D90">
      <w:pPr>
        <w:numPr>
          <w:ilvl w:val="0"/>
          <w:numId w:val="60"/>
        </w:numPr>
        <w:spacing w:before="60" w:after="6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 xml:space="preserve">включването през 2009 г. на парламентарните сътрудници. </w:t>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Въздействието върху разходите става значително едва от 2007 г. нататък, когато изтичат първите договори на договорно наети служители, които съответно започват да упражняват правото си на обезщ</w:t>
      </w:r>
      <w:r>
        <w:rPr>
          <w:rFonts w:ascii="Times New Roman" w:hAnsi="Times New Roman"/>
          <w:noProof/>
          <w:sz w:val="24"/>
        </w:rPr>
        <w:t>етение при безработица. Това увеличение на разходите е непрекъснато до 2014 г. с лек спад през 2015 г.</w:t>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През 2009 г. отрицателното салдо на фонд „Безработица“ възлиза на 4,3 млн. евро, като постепенно намалява през следващите години: на 2,6 млн. евро през 2</w:t>
      </w:r>
      <w:r>
        <w:rPr>
          <w:rFonts w:ascii="Times New Roman" w:hAnsi="Times New Roman"/>
          <w:noProof/>
          <w:sz w:val="24"/>
        </w:rPr>
        <w:t>010 г., на 1,5 млн. евро през 2011 г., на 1,2 млн. евро през 2012 г. и 1 млн. евро през 2013 г. През 2014 г. дефицитът нараства на 4,8 млн. евро. Това се обяснява с увеличаването на броя на договорно наетите служители, които се ползват от обезщетения за бе</w:t>
      </w:r>
      <w:r>
        <w:rPr>
          <w:rFonts w:ascii="Times New Roman" w:hAnsi="Times New Roman"/>
          <w:noProof/>
          <w:sz w:val="24"/>
        </w:rPr>
        <w:t xml:space="preserve">зработица. Посоченият по-горе ефект отшумява през 2015 г., когато дефицитът достига 3 млн. евро. </w:t>
      </w:r>
    </w:p>
    <w:p w:rsidR="008F26CE" w:rsidRDefault="00712D90">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Графиката по-долу представя описаната по-горе ситуация.</w:t>
      </w:r>
    </w:p>
    <w:p w:rsidR="008F26CE" w:rsidRDefault="00712D90">
      <w:pPr>
        <w:spacing w:before="120" w:after="0" w:line="240" w:lineRule="auto"/>
        <w:jc w:val="center"/>
        <w:rPr>
          <w:rFonts w:ascii="Times New Roman" w:eastAsia="Times New Roman" w:hAnsi="Times New Roman" w:cs="Times New Roman"/>
          <w:noProof/>
          <w:sz w:val="24"/>
          <w:szCs w:val="24"/>
        </w:rPr>
      </w:pPr>
      <w:r>
        <w:rPr>
          <w:noProof/>
          <w:lang w:val="en-GB" w:eastAsia="en-GB" w:bidi="ar-SA"/>
        </w:rPr>
        <w:drawing>
          <wp:inline distT="0" distB="0" distL="0" distR="0">
            <wp:extent cx="5581498" cy="3979469"/>
            <wp:effectExtent l="0" t="0" r="635"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81645" cy="3979574"/>
                    </a:xfrm>
                    <a:prstGeom prst="rect">
                      <a:avLst/>
                    </a:prstGeom>
                    <a:noFill/>
                    <a:ln>
                      <a:noFill/>
                    </a:ln>
                  </pic:spPr>
                </pic:pic>
              </a:graphicData>
            </a:graphic>
          </wp:inline>
        </w:drawing>
      </w:r>
    </w:p>
    <w:p w:rsidR="008F26CE" w:rsidRDefault="008F26CE">
      <w:pPr>
        <w:spacing w:after="0" w:line="240" w:lineRule="auto"/>
        <w:jc w:val="both"/>
        <w:rPr>
          <w:rFonts w:ascii="Times New Roman" w:eastAsia="Times New Roman" w:hAnsi="Times New Roman" w:cs="Times New Roman"/>
          <w:noProof/>
          <w:sz w:val="24"/>
          <w:szCs w:val="24"/>
        </w:rPr>
      </w:pPr>
      <w:bookmarkStart w:id="11" w:name="_Toc257299236"/>
    </w:p>
    <w:p w:rsidR="008F26CE" w:rsidRDefault="00712D90">
      <w:pPr>
        <w:pStyle w:val="ManualHeading2"/>
        <w:rPr>
          <w:noProof/>
        </w:rPr>
      </w:pPr>
      <w:r>
        <w:t>2.3</w:t>
      </w:r>
      <w:r>
        <w:tab/>
      </w:r>
      <w:r>
        <w:rPr>
          <w:noProof/>
        </w:rPr>
        <w:t>Отчет на база текущо начисляване: разпределение на разходите и приходите по институции и общо з</w:t>
      </w:r>
      <w:r>
        <w:rPr>
          <w:noProof/>
        </w:rPr>
        <w:t>а всички агенции за периода 2009—2015 г.</w:t>
      </w:r>
      <w:bookmarkEnd w:id="11"/>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 таблица 5 се посочва разпределението на разходите и приходите по институции, както и общо за агенциите и службите. В първата част на таблицата са посочени абсолютните стойности, а във втората част са показани </w:t>
      </w:r>
      <w:r>
        <w:rPr>
          <w:rFonts w:ascii="Times New Roman" w:hAnsi="Times New Roman"/>
          <w:noProof/>
          <w:sz w:val="24"/>
        </w:rPr>
        <w:t>процентите спрямо общите разходи и приходи. В таблицата отчетливо се забелязва влиянието, оказано от края на мандата на ЕП, със скок на разходите в дела на ЕП с повече от 8 млн. евро между 2013 и 2014 г. През 2015 г. разходите остават високи, но все пак са</w:t>
      </w:r>
      <w:r>
        <w:rPr>
          <w:rFonts w:ascii="Times New Roman" w:hAnsi="Times New Roman"/>
          <w:noProof/>
          <w:sz w:val="24"/>
        </w:rPr>
        <w:t xml:space="preserve"> по-ниски в сравнение с 2014 г.</w:t>
      </w:r>
    </w:p>
    <w:p w:rsidR="008F26CE" w:rsidRDefault="00712D90">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Като изключим Европейската служба за външна дейност (ЕСВД), за която е все още трудно да се направи подробен анализ поради краткото ѝ съществуване, към този момент само агенциите имат по-високо ниво на вноските от разходите.</w:t>
      </w:r>
      <w:r>
        <w:rPr>
          <w:rFonts w:ascii="Times New Roman" w:hAnsi="Times New Roman"/>
          <w:noProof/>
          <w:sz w:val="24"/>
        </w:rPr>
        <w:t xml:space="preserve"> Това се дължи по-специално на факта, че повечето от служителите им работят на постоянни договори. Трябва да се отбележи обаче, че разходите за персонала на агенциите са се увеличили значително в периода 2013—2015 г.</w:t>
      </w:r>
    </w:p>
    <w:p w:rsidR="008F26CE" w:rsidRDefault="008F26CE">
      <w:pPr>
        <w:spacing w:after="0" w:line="240" w:lineRule="auto"/>
        <w:jc w:val="both"/>
        <w:rPr>
          <w:rFonts w:ascii="Times New Roman" w:eastAsia="Times New Roman" w:hAnsi="Times New Roman" w:cs="Times New Roman"/>
          <w:noProof/>
          <w:sz w:val="24"/>
          <w:szCs w:val="24"/>
        </w:rPr>
        <w:sectPr w:rsidR="008F26CE">
          <w:headerReference w:type="even" r:id="rId21"/>
          <w:headerReference w:type="default" r:id="rId22"/>
          <w:footerReference w:type="even" r:id="rId23"/>
          <w:footerReference w:type="default" r:id="rId24"/>
          <w:headerReference w:type="first" r:id="rId25"/>
          <w:footerReference w:type="first" r:id="rId26"/>
          <w:pgSz w:w="11907" w:h="16839"/>
          <w:pgMar w:top="1021" w:right="1247" w:bottom="1021" w:left="1247" w:header="709" w:footer="709" w:gutter="0"/>
          <w:pgNumType w:start="2"/>
          <w:cols w:space="720"/>
          <w:docGrid w:linePitch="360"/>
        </w:sectPr>
      </w:pPr>
    </w:p>
    <w:p w:rsidR="008F26CE" w:rsidRDefault="00712D90">
      <w:pPr>
        <w:spacing w:before="120" w:after="120" w:line="240" w:lineRule="auto"/>
        <w:jc w:val="center"/>
        <w:rPr>
          <w:rFonts w:ascii="Times New Roman" w:eastAsia="Times New Roman" w:hAnsi="Times New Roman" w:cs="Times New Roman"/>
          <w:noProof/>
          <w:sz w:val="24"/>
          <w:szCs w:val="24"/>
        </w:rPr>
      </w:pPr>
      <w:r>
        <w:rPr>
          <w:noProof/>
          <w:lang w:val="en-GB" w:eastAsia="en-GB" w:bidi="ar-SA"/>
        </w:rPr>
        <w:drawing>
          <wp:inline distT="0" distB="0" distL="0" distR="0">
            <wp:extent cx="9396095" cy="3766185"/>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96095" cy="3766185"/>
                    </a:xfrm>
                    <a:prstGeom prst="rect">
                      <a:avLst/>
                    </a:prstGeom>
                    <a:noFill/>
                    <a:ln>
                      <a:noFill/>
                    </a:ln>
                  </pic:spPr>
                </pic:pic>
              </a:graphicData>
            </a:graphic>
          </wp:inline>
        </w:drawing>
      </w:r>
    </w:p>
    <w:p w:rsidR="008F26CE" w:rsidRDefault="008F26CE">
      <w:pPr>
        <w:spacing w:before="120" w:after="120" w:line="240" w:lineRule="auto"/>
        <w:jc w:val="center"/>
        <w:rPr>
          <w:rFonts w:ascii="Times New Roman" w:eastAsia="Times New Roman" w:hAnsi="Times New Roman" w:cs="Times New Roman"/>
          <w:noProof/>
          <w:sz w:val="24"/>
          <w:szCs w:val="24"/>
        </w:rPr>
        <w:sectPr w:rsidR="008F26CE">
          <w:headerReference w:type="even" r:id="rId28"/>
          <w:headerReference w:type="default" r:id="rId29"/>
          <w:footerReference w:type="even" r:id="rId30"/>
          <w:footerReference w:type="default" r:id="rId31"/>
          <w:headerReference w:type="first" r:id="rId32"/>
          <w:footerReference w:type="first" r:id="rId33"/>
          <w:pgSz w:w="16839" w:h="11907" w:orient="landscape"/>
          <w:pgMar w:top="1247" w:right="1021" w:bottom="1247" w:left="1021" w:header="709" w:footer="709" w:gutter="0"/>
          <w:cols w:space="708"/>
          <w:docGrid w:linePitch="360"/>
        </w:sectPr>
      </w:pPr>
    </w:p>
    <w:p w:rsidR="008F26CE" w:rsidRDefault="00712D90">
      <w:pPr>
        <w:pStyle w:val="ManualHeading1"/>
        <w:rPr>
          <w:noProof/>
        </w:rPr>
      </w:pPr>
      <w:bookmarkStart w:id="12" w:name="_Toc257299237"/>
      <w:r>
        <w:t>3</w:t>
      </w:r>
      <w:r>
        <w:tab/>
      </w:r>
      <w:r>
        <w:rPr>
          <w:noProof/>
        </w:rPr>
        <w:t>Анализ на осигуряваните лица, бенефициерите и изплащаните обезщетения</w:t>
      </w:r>
      <w:bookmarkEnd w:id="12"/>
    </w:p>
    <w:p w:rsidR="008F26CE" w:rsidRDefault="00712D90">
      <w:pPr>
        <w:pStyle w:val="ManualHeading2"/>
        <w:rPr>
          <w:noProof/>
        </w:rPr>
      </w:pPr>
      <w:bookmarkStart w:id="13" w:name="_Toc257299238"/>
      <w:r>
        <w:t>3.1</w:t>
      </w:r>
      <w:r>
        <w:tab/>
      </w:r>
      <w:r>
        <w:rPr>
          <w:noProof/>
        </w:rPr>
        <w:t>Брой на осигуряваните лица и средно ниво на вноските</w:t>
      </w:r>
      <w:bookmarkEnd w:id="13"/>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 таблица 6 се посочва броят на </w:t>
      </w:r>
      <w:r>
        <w:rPr>
          <w:rFonts w:ascii="Times New Roman" w:hAnsi="Times New Roman"/>
          <w:noProof/>
          <w:sz w:val="24"/>
        </w:rPr>
        <w:t>срочно и на договорно наетите служители, които участват с вноски във фонд „Безработица“ и които работят към 31 декември всяка година.</w:t>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периода 2009—2015 г. броят на договорно и на срочно наетите служители се е увеличил съответно с 40 % и с 23 %. Що се отн</w:t>
      </w:r>
      <w:r>
        <w:rPr>
          <w:rFonts w:ascii="Times New Roman" w:hAnsi="Times New Roman"/>
          <w:noProof/>
          <w:sz w:val="24"/>
        </w:rPr>
        <w:t>ася до акредитираните парламентарни сътрудници, първите бенефициери се появяват през 2011 г.</w:t>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Между 2009 и 2015 г. броят на осигуряваните към Фонда лица от всички категории, взети заедно, е нараснал с 43 %.</w:t>
      </w:r>
    </w:p>
    <w:p w:rsidR="008F26CE" w:rsidRDefault="00712D90">
      <w:pPr>
        <w:spacing w:before="120" w:after="120" w:line="240" w:lineRule="auto"/>
        <w:jc w:val="both"/>
        <w:rPr>
          <w:rFonts w:ascii="Times New Roman" w:eastAsia="Times New Roman" w:hAnsi="Times New Roman" w:cs="Times New Roman"/>
          <w:noProof/>
          <w:sz w:val="24"/>
          <w:szCs w:val="24"/>
        </w:rPr>
      </w:pPr>
      <w:r>
        <w:rPr>
          <w:noProof/>
          <w:lang w:val="en-GB" w:eastAsia="en-GB" w:bidi="ar-SA"/>
        </w:rPr>
        <w:drawing>
          <wp:inline distT="0" distB="0" distL="0" distR="0">
            <wp:extent cx="5971120" cy="512489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77255" cy="5130158"/>
                    </a:xfrm>
                    <a:prstGeom prst="rect">
                      <a:avLst/>
                    </a:prstGeom>
                    <a:noFill/>
                    <a:ln>
                      <a:noFill/>
                    </a:ln>
                  </pic:spPr>
                </pic:pic>
              </a:graphicData>
            </a:graphic>
          </wp:inline>
        </w:drawing>
      </w:r>
    </w:p>
    <w:p w:rsidR="008F26CE" w:rsidRDefault="00712D90">
      <w:pPr>
        <w:spacing w:after="0" w:line="240" w:lineRule="auto"/>
        <w:rPr>
          <w:rFonts w:ascii="Times New Roman" w:eastAsia="Times New Roman" w:hAnsi="Times New Roman" w:cs="Times New Roman"/>
          <w:noProof/>
          <w:sz w:val="2"/>
          <w:szCs w:val="2"/>
        </w:rPr>
      </w:pPr>
      <w:r>
        <w:rPr>
          <w:noProof/>
        </w:rPr>
        <w:br w:type="page"/>
      </w:r>
    </w:p>
    <w:p w:rsidR="008F26CE" w:rsidRDefault="00712D90">
      <w:pPr>
        <w:pStyle w:val="ManualHeading2"/>
        <w:rPr>
          <w:noProof/>
        </w:rPr>
      </w:pPr>
      <w:bookmarkStart w:id="14" w:name="_Toc257299239"/>
      <w:r>
        <w:t>3.2</w:t>
      </w:r>
      <w:r>
        <w:tab/>
      </w:r>
      <w:r>
        <w:rPr>
          <w:noProof/>
        </w:rPr>
        <w:t xml:space="preserve">Брой на бенефициерите на обезщетения за </w:t>
      </w:r>
      <w:r>
        <w:rPr>
          <w:noProof/>
        </w:rPr>
        <w:t>безработица в абсолютно изражение и спрямо броя на осигуряваните към Фонда лица: процент на безработица към 31 декември на съответната година</w:t>
      </w:r>
      <w:bookmarkEnd w:id="14"/>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таблица 7 се посочва броят на безработните, получили пълно обезщетение за безработица или обезщетение, което доп</w:t>
      </w:r>
      <w:r>
        <w:rPr>
          <w:rFonts w:ascii="Times New Roman" w:hAnsi="Times New Roman"/>
          <w:noProof/>
          <w:sz w:val="24"/>
        </w:rPr>
        <w:t>ълва получаваното от националната система обезщетение за безработица, за месец декември на съответната година.</w:t>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Чрез комбиниране на посочените в таблица 6 данни за договорно наетите и срочно наетите служители, работещи към 31 декември, и посочения в таблица</w:t>
      </w:r>
      <w:r>
        <w:rPr>
          <w:rFonts w:ascii="Times New Roman" w:hAnsi="Times New Roman"/>
          <w:noProof/>
          <w:sz w:val="24"/>
        </w:rPr>
        <w:t xml:space="preserve"> 7 брой на бенефициерите, получили обезщетения за безработица, е възможно да се изчисли съотношението между броя на бенефициерите на фонд „Безработица“ и броя на осигуряваните към този фонд лица. Резултатът е представен в таблица 8.</w:t>
      </w:r>
    </w:p>
    <w:p w:rsidR="008F26CE" w:rsidRDefault="00712D90">
      <w:pPr>
        <w:spacing w:before="120" w:after="120" w:line="240" w:lineRule="auto"/>
        <w:jc w:val="center"/>
        <w:rPr>
          <w:rFonts w:ascii="Times New Roman" w:eastAsia="Times New Roman" w:hAnsi="Times New Roman" w:cs="Times New Roman"/>
          <w:noProof/>
          <w:sz w:val="24"/>
          <w:szCs w:val="24"/>
        </w:rPr>
      </w:pPr>
      <w:r>
        <w:rPr>
          <w:noProof/>
          <w:lang w:val="en-GB" w:eastAsia="en-GB" w:bidi="ar-SA"/>
        </w:rPr>
        <w:drawing>
          <wp:inline distT="0" distB="0" distL="0" distR="0">
            <wp:extent cx="5971959" cy="569905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77255" cy="5704105"/>
                    </a:xfrm>
                    <a:prstGeom prst="rect">
                      <a:avLst/>
                    </a:prstGeom>
                    <a:noFill/>
                    <a:ln>
                      <a:noFill/>
                    </a:ln>
                  </pic:spPr>
                </pic:pic>
              </a:graphicData>
            </a:graphic>
          </wp:inline>
        </w:drawing>
      </w:r>
    </w:p>
    <w:p w:rsidR="008F26CE" w:rsidRDefault="00712D90">
      <w:pPr>
        <w:spacing w:before="120" w:after="120" w:line="240" w:lineRule="auto"/>
        <w:jc w:val="center"/>
        <w:rPr>
          <w:rFonts w:ascii="Times New Roman" w:eastAsia="Times New Roman" w:hAnsi="Times New Roman" w:cs="Times New Roman"/>
          <w:noProof/>
          <w:sz w:val="24"/>
          <w:szCs w:val="24"/>
        </w:rPr>
        <w:sectPr w:rsidR="008F26CE">
          <w:headerReference w:type="even" r:id="rId36"/>
          <w:headerReference w:type="default" r:id="rId37"/>
          <w:footerReference w:type="even" r:id="rId38"/>
          <w:footerReference w:type="default" r:id="rId39"/>
          <w:headerReference w:type="first" r:id="rId40"/>
          <w:footerReference w:type="first" r:id="rId41"/>
          <w:pgSz w:w="11907" w:h="16839"/>
          <w:pgMar w:top="1021" w:right="1247" w:bottom="1021" w:left="1247" w:header="709" w:footer="709" w:gutter="0"/>
          <w:cols w:space="708"/>
          <w:docGrid w:linePitch="360"/>
        </w:sectPr>
      </w:pPr>
      <w:r>
        <w:rPr>
          <w:noProof/>
          <w:lang w:val="en-GB" w:eastAsia="en-GB" w:bidi="ar-SA"/>
        </w:rPr>
        <w:drawing>
          <wp:inline distT="0" distB="0" distL="0" distR="0">
            <wp:extent cx="5977255" cy="2677160"/>
            <wp:effectExtent l="0" t="0" r="4445"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77255" cy="2677160"/>
                    </a:xfrm>
                    <a:prstGeom prst="rect">
                      <a:avLst/>
                    </a:prstGeom>
                    <a:noFill/>
                    <a:ln>
                      <a:noFill/>
                    </a:ln>
                  </pic:spPr>
                </pic:pic>
              </a:graphicData>
            </a:graphic>
          </wp:inline>
        </w:drawing>
      </w:r>
    </w:p>
    <w:p w:rsidR="008F26CE" w:rsidRDefault="00712D90">
      <w:pPr>
        <w:spacing w:before="120" w:after="120" w:line="240" w:lineRule="auto"/>
        <w:jc w:val="center"/>
        <w:rPr>
          <w:rFonts w:ascii="Times New Roman" w:eastAsia="Times New Roman" w:hAnsi="Times New Roman" w:cs="Times New Roman"/>
          <w:noProof/>
          <w:sz w:val="24"/>
          <w:szCs w:val="24"/>
        </w:rPr>
      </w:pPr>
      <w:r>
        <w:rPr>
          <w:noProof/>
          <w:lang w:val="en-GB" w:eastAsia="en-GB" w:bidi="ar-SA"/>
        </w:rPr>
        <w:drawing>
          <wp:inline distT="0" distB="0" distL="0" distR="0">
            <wp:extent cx="9396095" cy="15163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396095" cy="1516380"/>
                    </a:xfrm>
                    <a:prstGeom prst="rect">
                      <a:avLst/>
                    </a:prstGeom>
                    <a:noFill/>
                    <a:ln>
                      <a:noFill/>
                    </a:ln>
                  </pic:spPr>
                </pic:pic>
              </a:graphicData>
            </a:graphic>
          </wp:inline>
        </w:drawing>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Що се отнася до срочно наетите служители, има леко увеличение на броя им, макар в Комисията той да бележи значителен спад. Ефектът от този спад е неутрализиран от сериозното нарастване на техния брой в агенциите. Пр</w:t>
      </w:r>
      <w:r>
        <w:rPr>
          <w:rFonts w:ascii="Times New Roman" w:hAnsi="Times New Roman"/>
          <w:noProof/>
          <w:sz w:val="24"/>
        </w:rPr>
        <w:t>оцентът на бенефициерите спрямо осигуряваните към Фонда лица остава непроменен.</w:t>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Що се отнася до договорно наетите служители, техният брой непрекъснато нараства, особено в агенциите и в Европейския парламент. Процентът на бенефициерите спрямо осигуряваните </w:t>
      </w:r>
      <w:r>
        <w:rPr>
          <w:rFonts w:ascii="Times New Roman" w:hAnsi="Times New Roman"/>
          <w:noProof/>
          <w:sz w:val="24"/>
        </w:rPr>
        <w:t xml:space="preserve">към Фонда лица бележи значителен спад. Този спад е свързан с възможността за удължаване на договорите, сключени между 2010 г. и 2013 г., от 3 на 6 години. </w:t>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През 2014 г. се забелязва също голям брой бивши акредитирани парламентарни сътрудници, ползващи обез</w:t>
      </w:r>
      <w:r>
        <w:rPr>
          <w:rFonts w:ascii="Times New Roman" w:hAnsi="Times New Roman"/>
          <w:noProof/>
          <w:sz w:val="24"/>
        </w:rPr>
        <w:t>щетения за безработица, тъй като през 2014 г. приключи мандатът на Парламента.</w:t>
      </w:r>
    </w:p>
    <w:p w:rsidR="008F26CE" w:rsidRDefault="00712D90">
      <w:pPr>
        <w:keepNext/>
        <w:numPr>
          <w:ilvl w:val="1"/>
          <w:numId w:val="0"/>
        </w:numPr>
        <w:spacing w:before="120" w:after="120" w:line="240" w:lineRule="auto"/>
        <w:ind w:left="709" w:hanging="709"/>
        <w:jc w:val="both"/>
        <w:outlineLvl w:val="1"/>
        <w:rPr>
          <w:rFonts w:ascii="Times New Roman" w:eastAsia="Times New Roman" w:hAnsi="Times New Roman" w:cs="Times New Roman"/>
          <w:b/>
          <w:bCs/>
          <w:iCs/>
          <w:noProof/>
          <w:sz w:val="24"/>
          <w:szCs w:val="28"/>
        </w:rPr>
      </w:pPr>
      <w:bookmarkStart w:id="15" w:name="_Toc257299240"/>
      <w:r>
        <w:rPr>
          <w:rFonts w:ascii="Times New Roman" w:hAnsi="Times New Roman"/>
          <w:b/>
          <w:noProof/>
          <w:sz w:val="24"/>
        </w:rPr>
        <w:t>Брой на месечните обезщетения за безработица, среден размер, бенефициери и държава на пребиваване</w:t>
      </w:r>
      <w:bookmarkEnd w:id="15"/>
      <w:r>
        <w:rPr>
          <w:rFonts w:ascii="Times New Roman" w:hAnsi="Times New Roman"/>
          <w:b/>
          <w:noProof/>
          <w:sz w:val="24"/>
        </w:rPr>
        <w:t xml:space="preserve"> на бенефициерите</w:t>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Обезщетение за безработица може да се изплаща в продължение на</w:t>
      </w:r>
      <w:r>
        <w:rPr>
          <w:rFonts w:ascii="Times New Roman" w:hAnsi="Times New Roman"/>
          <w:noProof/>
          <w:sz w:val="24"/>
        </w:rPr>
        <w:t xml:space="preserve"> месеци. В таблица 9 се посочва броят на изплатените месечни обезщетения за безработица по години.</w:t>
      </w:r>
    </w:p>
    <w:p w:rsidR="008F26CE" w:rsidRDefault="00712D90">
      <w:pPr>
        <w:spacing w:after="0" w:line="240" w:lineRule="auto"/>
        <w:jc w:val="center"/>
        <w:rPr>
          <w:rFonts w:ascii="Times New Roman" w:eastAsia="Times New Roman" w:hAnsi="Times New Roman" w:cs="Times New Roman"/>
          <w:noProof/>
          <w:sz w:val="24"/>
          <w:szCs w:val="24"/>
        </w:rPr>
        <w:sectPr w:rsidR="008F26CE">
          <w:headerReference w:type="even" r:id="rId44"/>
          <w:headerReference w:type="default" r:id="rId45"/>
          <w:footerReference w:type="even" r:id="rId46"/>
          <w:footerReference w:type="default" r:id="rId47"/>
          <w:headerReference w:type="first" r:id="rId48"/>
          <w:footerReference w:type="first" r:id="rId49"/>
          <w:pgSz w:w="16839" w:h="11907" w:orient="landscape"/>
          <w:pgMar w:top="1247" w:right="1021" w:bottom="1247" w:left="1021" w:header="709" w:footer="709" w:gutter="0"/>
          <w:cols w:space="708"/>
          <w:docGrid w:linePitch="360"/>
        </w:sectPr>
      </w:pPr>
      <w:r>
        <w:rPr>
          <w:noProof/>
          <w:lang w:val="en-GB" w:eastAsia="en-GB" w:bidi="ar-SA"/>
        </w:rPr>
        <w:drawing>
          <wp:inline distT="0" distB="0" distL="0" distR="0">
            <wp:extent cx="9368939" cy="147637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396095" cy="1480654"/>
                    </a:xfrm>
                    <a:prstGeom prst="rect">
                      <a:avLst/>
                    </a:prstGeom>
                    <a:noFill/>
                    <a:ln>
                      <a:noFill/>
                    </a:ln>
                  </pic:spPr>
                </pic:pic>
              </a:graphicData>
            </a:graphic>
          </wp:inline>
        </w:drawing>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Общите годишни разходи по категории бенефициери (срочно наети служители по старата система, </w:t>
      </w:r>
      <w:r>
        <w:rPr>
          <w:rFonts w:ascii="Times New Roman" w:hAnsi="Times New Roman"/>
          <w:noProof/>
          <w:sz w:val="24"/>
        </w:rPr>
        <w:t>срочно наети служители по новата система и договорно наети служители), разделени на броя на платените месечни вноски дават средния размер на обезщетението за безработица по категории бенефициери. В таблица 10 се представя този резултат. Следва да се отбеле</w:t>
      </w:r>
      <w:r>
        <w:rPr>
          <w:rFonts w:ascii="Times New Roman" w:hAnsi="Times New Roman"/>
          <w:noProof/>
          <w:sz w:val="24"/>
        </w:rPr>
        <w:t>жи, че обезщетението за конкретен месец може да бъде пълно или да е изчислено пропорционално според броя на дните, през които лицето действително е било безработно.</w:t>
      </w:r>
    </w:p>
    <w:p w:rsidR="008F26CE" w:rsidRDefault="008F26CE">
      <w:pPr>
        <w:spacing w:before="120" w:after="120" w:line="240" w:lineRule="auto"/>
        <w:jc w:val="center"/>
        <w:rPr>
          <w:rFonts w:ascii="Times New Roman" w:eastAsia="Times New Roman" w:hAnsi="Times New Roman" w:cs="Times New Roman"/>
          <w:noProof/>
          <w:sz w:val="24"/>
          <w:szCs w:val="24"/>
        </w:rPr>
      </w:pPr>
    </w:p>
    <w:p w:rsidR="008F26CE" w:rsidRDefault="00712D90">
      <w:pPr>
        <w:spacing w:before="120" w:after="120" w:line="240" w:lineRule="auto"/>
        <w:jc w:val="center"/>
        <w:rPr>
          <w:rFonts w:ascii="Times New Roman" w:eastAsia="Times New Roman" w:hAnsi="Times New Roman" w:cs="Times New Roman"/>
          <w:noProof/>
          <w:sz w:val="24"/>
          <w:szCs w:val="24"/>
        </w:rPr>
      </w:pPr>
      <w:r>
        <w:rPr>
          <w:noProof/>
          <w:lang w:val="en-GB" w:eastAsia="en-GB" w:bidi="ar-SA"/>
        </w:rPr>
        <w:drawing>
          <wp:inline distT="0" distB="0" distL="0" distR="0">
            <wp:extent cx="5977255" cy="5401945"/>
            <wp:effectExtent l="0" t="0" r="4445"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77255" cy="5401945"/>
                    </a:xfrm>
                    <a:prstGeom prst="rect">
                      <a:avLst/>
                    </a:prstGeom>
                    <a:noFill/>
                    <a:ln>
                      <a:noFill/>
                    </a:ln>
                  </pic:spPr>
                </pic:pic>
              </a:graphicData>
            </a:graphic>
          </wp:inline>
        </w:drawing>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Средното месечно обезщетение се е увеличило между 2009 и 2010 г., като от 1 980 EUR е до</w:t>
      </w:r>
      <w:r>
        <w:rPr>
          <w:rFonts w:ascii="Times New Roman" w:hAnsi="Times New Roman"/>
          <w:noProof/>
          <w:sz w:val="24"/>
        </w:rPr>
        <w:t>стигнало 2 063 EUR. Тенденцията към увеличение се е променила през 2011 г. и 2012 г., като се е достигнало до максимално ниска стойност от 1 908 EUR. От 2013 г. нататък тенденцията отново се променя, като през 2015 г. стойността на обезщетението е достигна</w:t>
      </w:r>
      <w:r>
        <w:rPr>
          <w:rFonts w:ascii="Times New Roman" w:hAnsi="Times New Roman"/>
          <w:noProof/>
          <w:sz w:val="24"/>
        </w:rPr>
        <w:t>ла 2 551 EUR след максимално висока стойност от 2 582 EUR през 2014 г. Ако се вземат предвид единствено договорно наетите и срочно наетите служители, през 2015 г. средното месечно обезщетение е възлизало на 2 562,30 EUR.</w:t>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Забелязва се, че средният размер на</w:t>
      </w:r>
      <w:r>
        <w:rPr>
          <w:rFonts w:ascii="Times New Roman" w:hAnsi="Times New Roman"/>
          <w:noProof/>
          <w:sz w:val="24"/>
        </w:rPr>
        <w:t xml:space="preserve"> сумите, плащани за акредитирани парламентарни сътрудници, също значително се е увеличил през 2014 г. — с почти 50 % в сравнение с 2013 г. и е възлязъл на 2 897,99 EUR. Средното месечно обезщетение е намаляло значително през 2015 г. и е достигнало 2 550,67</w:t>
      </w:r>
      <w:r>
        <w:rPr>
          <w:rFonts w:ascii="Times New Roman" w:hAnsi="Times New Roman"/>
          <w:noProof/>
          <w:sz w:val="24"/>
        </w:rPr>
        <w:t> EUR.</w:t>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Четирите най-важни елементи в тази таблица са:</w:t>
      </w:r>
    </w:p>
    <w:p w:rsidR="008F26CE" w:rsidRDefault="00712D90">
      <w:pPr>
        <w:pStyle w:val="ListParagraph"/>
        <w:numPr>
          <w:ilvl w:val="0"/>
          <w:numId w:val="65"/>
        </w:numPr>
        <w:tabs>
          <w:tab w:val="num" w:pos="1134"/>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увеличението на средната месечна сума, плащана на срочно наетите и договорно наетите служители между 2013 г. и 2015 г.: + 31 %;</w:t>
      </w:r>
    </w:p>
    <w:p w:rsidR="008F26CE" w:rsidRDefault="00712D90">
      <w:pPr>
        <w:pStyle w:val="ListParagraph"/>
        <w:numPr>
          <w:ilvl w:val="0"/>
          <w:numId w:val="65"/>
        </w:numPr>
        <w:tabs>
          <w:tab w:val="num" w:pos="1134"/>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увеличението на средната месечна сума, плащана на акредитираните парламента</w:t>
      </w:r>
      <w:r>
        <w:rPr>
          <w:rFonts w:ascii="Times New Roman" w:hAnsi="Times New Roman"/>
          <w:noProof/>
          <w:sz w:val="24"/>
        </w:rPr>
        <w:t xml:space="preserve">рни сътрудници между 2013 г. и 2015 г.: + 28 %; </w:t>
      </w:r>
    </w:p>
    <w:p w:rsidR="008F26CE" w:rsidRDefault="00712D90">
      <w:pPr>
        <w:pStyle w:val="ListParagraph"/>
        <w:numPr>
          <w:ilvl w:val="0"/>
          <w:numId w:val="65"/>
        </w:numPr>
        <w:tabs>
          <w:tab w:val="num" w:pos="1134"/>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увеличението на месечните обезщетения, плащани на акредитираните парламентарни сътрудници между 2013 г. и 2015 г.: + 385 %;</w:t>
      </w:r>
    </w:p>
    <w:p w:rsidR="008F26CE" w:rsidRDefault="00712D90">
      <w:pPr>
        <w:pStyle w:val="ListParagraph"/>
        <w:numPr>
          <w:ilvl w:val="0"/>
          <w:numId w:val="65"/>
        </w:numPr>
        <w:tabs>
          <w:tab w:val="num" w:pos="1134"/>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тежестта на разходите за акредитирани парламентарни сътрудници в общите разходи меж</w:t>
      </w:r>
      <w:r>
        <w:rPr>
          <w:rFonts w:ascii="Times New Roman" w:hAnsi="Times New Roman"/>
          <w:noProof/>
          <w:sz w:val="24"/>
        </w:rPr>
        <w:t xml:space="preserve">ду 2013 г. и 2015 г.: от 6 % на 31 %. </w:t>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таблица 11 е показана средната продължителност в месеци на ползването на обезщетения за безработица. Тази продължителност се изчислява чрез сумиране на общия брой на платените дни до 31 декември на посочената година</w:t>
      </w:r>
      <w:r>
        <w:rPr>
          <w:rFonts w:ascii="Times New Roman" w:hAnsi="Times New Roman"/>
          <w:noProof/>
          <w:sz w:val="24"/>
        </w:rPr>
        <w:t>, след което получената стойност се разделя на броя на бенефициерите на обезщетения за безработица. Така полученият резултат се разделя на 30, за да се получи средната продължителност в месеци на ползването на обезщетения за безработица.</w:t>
      </w:r>
    </w:p>
    <w:p w:rsidR="008F26CE" w:rsidRDefault="008F26CE">
      <w:pPr>
        <w:spacing w:after="0" w:line="240" w:lineRule="auto"/>
        <w:jc w:val="both"/>
        <w:rPr>
          <w:rFonts w:ascii="Times New Roman" w:eastAsia="Times New Roman" w:hAnsi="Times New Roman" w:cs="Times New Roman"/>
          <w:noProof/>
          <w:sz w:val="24"/>
          <w:szCs w:val="24"/>
        </w:rPr>
      </w:pPr>
    </w:p>
    <w:p w:rsidR="008F26CE" w:rsidRDefault="00712D90">
      <w:pPr>
        <w:spacing w:after="0" w:line="240" w:lineRule="auto"/>
        <w:jc w:val="both"/>
        <w:rPr>
          <w:rFonts w:ascii="Times New Roman" w:eastAsia="Times New Roman" w:hAnsi="Times New Roman" w:cs="Times New Roman"/>
          <w:noProof/>
          <w:sz w:val="24"/>
          <w:szCs w:val="24"/>
        </w:rPr>
      </w:pPr>
      <w:r>
        <w:rPr>
          <w:noProof/>
          <w:lang w:val="en-GB" w:eastAsia="en-GB" w:bidi="ar-SA"/>
        </w:rPr>
        <w:drawing>
          <wp:inline distT="0" distB="0" distL="0" distR="0">
            <wp:extent cx="5977255" cy="3289935"/>
            <wp:effectExtent l="0" t="0" r="4445"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77255" cy="3289935"/>
                    </a:xfrm>
                    <a:prstGeom prst="rect">
                      <a:avLst/>
                    </a:prstGeom>
                    <a:noFill/>
                    <a:ln>
                      <a:noFill/>
                    </a:ln>
                  </pic:spPr>
                </pic:pic>
              </a:graphicData>
            </a:graphic>
          </wp:inline>
        </w:drawing>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Констатира се, </w:t>
      </w:r>
      <w:r>
        <w:rPr>
          <w:rFonts w:ascii="Times New Roman" w:hAnsi="Times New Roman"/>
          <w:noProof/>
          <w:sz w:val="24"/>
        </w:rPr>
        <w:t>че средната продължителност в месеци на ползването на обезщетения за безработица се увеличава от 6,9 месеца през 2009 г. на 10 месеца през 2015 г. Това представлява увеличение от 45 % на продължителността на получаване на обезщетения. Увеличението се дължи</w:t>
      </w:r>
      <w:r>
        <w:rPr>
          <w:rFonts w:ascii="Times New Roman" w:hAnsi="Times New Roman"/>
          <w:noProof/>
          <w:sz w:val="24"/>
        </w:rPr>
        <w:t xml:space="preserve"> главно на въздействието от акредитираните парламентарни сътрудници.</w:t>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При все това броят на бенефициерите, които са получили обезщетение поне за един месец в годината, леко се е понижил — със 7,6 % между 2009 г. и 2015 г. (от 701 на 648 души, вж. таблица 7)</w:t>
      </w:r>
      <w:r>
        <w:rPr>
          <w:rFonts w:ascii="Times New Roman" w:hAnsi="Times New Roman"/>
          <w:noProof/>
          <w:sz w:val="24"/>
        </w:rPr>
        <w:t>.</w:t>
      </w:r>
    </w:p>
    <w:p w:rsidR="008F26CE" w:rsidRDefault="00712D90">
      <w:pPr>
        <w:spacing w:before="120" w:after="120" w:line="240" w:lineRule="auto"/>
        <w:jc w:val="both"/>
        <w:rPr>
          <w:rFonts w:ascii="Times New Roman" w:eastAsia="Times New Roman" w:hAnsi="Times New Roman" w:cs="Times New Roman"/>
          <w:noProof/>
          <w:sz w:val="24"/>
          <w:szCs w:val="24"/>
        </w:rPr>
      </w:pPr>
      <w:r>
        <w:rPr>
          <w:noProof/>
        </w:rPr>
        <w:br w:type="page"/>
      </w:r>
      <w:r>
        <w:rPr>
          <w:rFonts w:ascii="Times New Roman" w:hAnsi="Times New Roman"/>
          <w:noProof/>
          <w:sz w:val="24"/>
        </w:rPr>
        <w:t>В следващите таблици е показана продължителността на периода на обезщетяване по категории бенефициери (договорно наети/срочно наети служители и акредитирани парламентарни сътрудници).</w:t>
      </w:r>
    </w:p>
    <w:p w:rsidR="008F26CE" w:rsidRDefault="00712D90">
      <w:pPr>
        <w:spacing w:before="120" w:after="120" w:line="240" w:lineRule="auto"/>
        <w:jc w:val="both"/>
        <w:rPr>
          <w:rFonts w:ascii="Times New Roman" w:eastAsia="Times New Roman" w:hAnsi="Times New Roman" w:cs="Times New Roman"/>
          <w:b/>
          <w:noProof/>
          <w:sz w:val="24"/>
          <w:szCs w:val="24"/>
          <w:u w:val="single"/>
        </w:rPr>
      </w:pPr>
      <w:r>
        <w:rPr>
          <w:rFonts w:ascii="Times New Roman" w:hAnsi="Times New Roman"/>
          <w:b/>
          <w:noProof/>
          <w:sz w:val="24"/>
          <w:u w:val="single"/>
        </w:rPr>
        <w:t>Договорно наети/срочно наети служители:</w:t>
      </w:r>
    </w:p>
    <w:p w:rsidR="008F26CE" w:rsidRDefault="00712D90">
      <w:pPr>
        <w:spacing w:before="120" w:after="120" w:line="240" w:lineRule="auto"/>
        <w:jc w:val="center"/>
        <w:rPr>
          <w:rFonts w:ascii="Times New Roman" w:eastAsia="Times New Roman" w:hAnsi="Times New Roman" w:cs="Times New Roman"/>
          <w:noProof/>
          <w:sz w:val="24"/>
          <w:szCs w:val="24"/>
        </w:rPr>
      </w:pPr>
      <w:r>
        <w:rPr>
          <w:noProof/>
          <w:lang w:val="en-GB" w:eastAsia="en-GB" w:bidi="ar-SA"/>
        </w:rPr>
        <w:drawing>
          <wp:inline distT="0" distB="0" distL="0" distR="0">
            <wp:extent cx="5977255" cy="3401695"/>
            <wp:effectExtent l="0" t="0" r="4445"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77255" cy="3401695"/>
                    </a:xfrm>
                    <a:prstGeom prst="rect">
                      <a:avLst/>
                    </a:prstGeom>
                    <a:noFill/>
                    <a:ln>
                      <a:noFill/>
                    </a:ln>
                  </pic:spPr>
                </pic:pic>
              </a:graphicData>
            </a:graphic>
          </wp:inline>
        </w:drawing>
      </w:r>
    </w:p>
    <w:p w:rsidR="008F26CE" w:rsidRDefault="008F26CE">
      <w:pPr>
        <w:spacing w:before="120" w:after="120" w:line="240" w:lineRule="auto"/>
        <w:jc w:val="center"/>
        <w:rPr>
          <w:rFonts w:ascii="Times New Roman" w:eastAsia="Times New Roman" w:hAnsi="Times New Roman" w:cs="Times New Roman"/>
          <w:noProof/>
          <w:sz w:val="24"/>
          <w:szCs w:val="24"/>
        </w:rPr>
      </w:pPr>
    </w:p>
    <w:p w:rsidR="008F26CE" w:rsidRDefault="00712D90">
      <w:pPr>
        <w:spacing w:before="120" w:after="120" w:line="240" w:lineRule="auto"/>
        <w:jc w:val="both"/>
        <w:rPr>
          <w:rFonts w:ascii="Times New Roman" w:eastAsia="Times New Roman" w:hAnsi="Times New Roman" w:cs="Times New Roman"/>
          <w:b/>
          <w:noProof/>
          <w:sz w:val="24"/>
          <w:szCs w:val="24"/>
          <w:u w:val="single"/>
        </w:rPr>
      </w:pPr>
      <w:r>
        <w:rPr>
          <w:rFonts w:ascii="Times New Roman" w:hAnsi="Times New Roman"/>
          <w:b/>
          <w:noProof/>
          <w:sz w:val="24"/>
          <w:u w:val="single"/>
        </w:rPr>
        <w:t>Акредитирани парламентарни</w:t>
      </w:r>
      <w:r>
        <w:rPr>
          <w:rFonts w:ascii="Times New Roman" w:hAnsi="Times New Roman"/>
          <w:b/>
          <w:noProof/>
          <w:sz w:val="24"/>
          <w:u w:val="single"/>
        </w:rPr>
        <w:t xml:space="preserve"> сътрудници:</w:t>
      </w:r>
    </w:p>
    <w:p w:rsidR="008F26CE" w:rsidRDefault="00712D90">
      <w:pPr>
        <w:spacing w:before="120" w:after="120" w:line="240" w:lineRule="auto"/>
        <w:jc w:val="center"/>
        <w:rPr>
          <w:rFonts w:ascii="Times New Roman" w:eastAsia="Times New Roman" w:hAnsi="Times New Roman" w:cs="Times New Roman"/>
          <w:noProof/>
          <w:sz w:val="24"/>
          <w:szCs w:val="24"/>
        </w:rPr>
      </w:pPr>
      <w:r>
        <w:rPr>
          <w:noProof/>
          <w:lang w:val="en-GB" w:eastAsia="en-GB" w:bidi="ar-SA"/>
        </w:rPr>
        <w:drawing>
          <wp:inline distT="0" distB="0" distL="0" distR="0">
            <wp:extent cx="5325745" cy="1602105"/>
            <wp:effectExtent l="0" t="0" r="825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325745" cy="1602105"/>
                    </a:xfrm>
                    <a:prstGeom prst="rect">
                      <a:avLst/>
                    </a:prstGeom>
                    <a:noFill/>
                    <a:ln>
                      <a:noFill/>
                    </a:ln>
                  </pic:spPr>
                </pic:pic>
              </a:graphicData>
            </a:graphic>
          </wp:inline>
        </w:drawing>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Може да се констатира, че ако през 2015 г. относителният дял на разходите, направени за акредитираните парламентарни сътрудници, спрямо общите разходи е висок (31 %), това се дължи както на високия брой, така и на високото ниво на средния ра</w:t>
      </w:r>
      <w:r>
        <w:rPr>
          <w:rFonts w:ascii="Times New Roman" w:hAnsi="Times New Roman"/>
          <w:noProof/>
          <w:sz w:val="24"/>
        </w:rPr>
        <w:t>змер на месечното обезщетение, плащано на тази категория персонал. Средната продължителност на периода за обезщетяване на акредитираните парламентарни сътрудници значително се е увеличила през 2015 г. и е значително по-дълга от средния период за обезщетява</w:t>
      </w:r>
      <w:r>
        <w:rPr>
          <w:rFonts w:ascii="Times New Roman" w:hAnsi="Times New Roman"/>
          <w:noProof/>
          <w:sz w:val="24"/>
        </w:rPr>
        <w:t xml:space="preserve">не на договорно наетите/срочно наетите служители. Това е пряк резултат от значителното увеличаване на броя на акредитираните парламентарни сътрудници, ползващи се от обезщетението за безработица, което е породено от смяната на Европейския парламент в края </w:t>
      </w:r>
      <w:r>
        <w:rPr>
          <w:rFonts w:ascii="Times New Roman" w:hAnsi="Times New Roman"/>
          <w:noProof/>
          <w:sz w:val="24"/>
        </w:rPr>
        <w:t>на 2014 г.</w:t>
      </w:r>
    </w:p>
    <w:p w:rsidR="008F26CE" w:rsidRDefault="00712D90">
      <w:pPr>
        <w:spacing w:before="120" w:after="120" w:line="240" w:lineRule="auto"/>
        <w:jc w:val="both"/>
        <w:rPr>
          <w:rFonts w:ascii="Times New Roman" w:eastAsia="Times New Roman" w:hAnsi="Times New Roman" w:cs="Times New Roman"/>
          <w:noProof/>
          <w:sz w:val="24"/>
          <w:szCs w:val="24"/>
        </w:rPr>
      </w:pPr>
      <w:r>
        <w:rPr>
          <w:noProof/>
        </w:rPr>
        <w:br w:type="page"/>
      </w:r>
      <w:r>
        <w:rPr>
          <w:rFonts w:ascii="Times New Roman" w:hAnsi="Times New Roman"/>
          <w:noProof/>
          <w:sz w:val="24"/>
        </w:rPr>
        <w:t>С оглед на принципа на допълняемост в осигурителната схема за безработица, държавата на пребиваване на лицето, получаващо обезщетение за безработица, е от значение, по-специално с оглед на критериите за допустимост до национални обезщетения, ко</w:t>
      </w:r>
      <w:r>
        <w:rPr>
          <w:rFonts w:ascii="Times New Roman" w:hAnsi="Times New Roman"/>
          <w:noProof/>
          <w:sz w:val="24"/>
        </w:rPr>
        <w:t xml:space="preserve">ито силно се различават в отделните държави членки. </w:t>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таблица 12 се посочва броят на бенефициерите, които са получили поне едно месечно обезщетение през годината, по държава на пребиваване.</w:t>
      </w:r>
    </w:p>
    <w:p w:rsidR="008F26CE" w:rsidRDefault="00712D90">
      <w:pPr>
        <w:spacing w:before="120" w:after="120" w:line="240" w:lineRule="auto"/>
        <w:jc w:val="center"/>
        <w:rPr>
          <w:rFonts w:ascii="Times New Roman" w:eastAsia="Times New Roman" w:hAnsi="Times New Roman" w:cs="Times New Roman"/>
          <w:noProof/>
          <w:sz w:val="24"/>
          <w:szCs w:val="24"/>
        </w:rPr>
      </w:pPr>
      <w:r>
        <w:rPr>
          <w:noProof/>
          <w:lang w:val="en-GB" w:eastAsia="en-GB" w:bidi="ar-SA"/>
        </w:rPr>
        <w:drawing>
          <wp:inline distT="0" distB="0" distL="0" distR="0">
            <wp:extent cx="5977255" cy="5921375"/>
            <wp:effectExtent l="0" t="0" r="4445"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77255" cy="5921375"/>
                    </a:xfrm>
                    <a:prstGeom prst="rect">
                      <a:avLst/>
                    </a:prstGeom>
                    <a:noFill/>
                    <a:ln>
                      <a:noFill/>
                    </a:ln>
                  </pic:spPr>
                </pic:pic>
              </a:graphicData>
            </a:graphic>
          </wp:inline>
        </w:drawing>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Тази таблица относно мястото на пребиваване на бенефициерите по</w:t>
      </w:r>
      <w:r>
        <w:rPr>
          <w:rFonts w:ascii="Times New Roman" w:hAnsi="Times New Roman"/>
          <w:noProof/>
          <w:sz w:val="24"/>
        </w:rPr>
        <w:t>казва, че през 2015 г. над 44 % от тях са регистрирани като търсещи работа в Белгия.</w:t>
      </w:r>
    </w:p>
    <w:p w:rsidR="008F26CE" w:rsidRDefault="00712D90">
      <w:pPr>
        <w:pStyle w:val="ManualHeading1"/>
        <w:rPr>
          <w:noProof/>
        </w:rPr>
      </w:pPr>
      <w:r>
        <w:t>4</w:t>
      </w:r>
      <w:r>
        <w:tab/>
      </w:r>
      <w:r>
        <w:rPr>
          <w:noProof/>
        </w:rPr>
        <w:t>ЗАКЛЮЧЕНИЯ</w:t>
      </w:r>
    </w:p>
    <w:p w:rsidR="008F26CE" w:rsidRDefault="00712D90">
      <w:pPr>
        <w:pStyle w:val="ManualHeading2"/>
        <w:rPr>
          <w:noProof/>
        </w:rPr>
      </w:pPr>
      <w:r>
        <w:t>4.1</w:t>
      </w:r>
      <w:r>
        <w:tab/>
      </w:r>
      <w:r>
        <w:rPr>
          <w:noProof/>
        </w:rPr>
        <w:t>Период 2009—2015 г.</w:t>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Настоящият доклад показва, че от 2008 г. насам фонд „Безработица“ отчита постоянен годишен дефицит. Този дефицит е бил твърде сериозен</w:t>
      </w:r>
      <w:r>
        <w:rPr>
          <w:rFonts w:ascii="Times New Roman" w:hAnsi="Times New Roman"/>
          <w:noProof/>
          <w:sz w:val="24"/>
        </w:rPr>
        <w:t xml:space="preserve"> още през 2009 г., когато размерът му е бил 4,2 млн. евро. Впоследствие постепенно е спаднал до 1 млн. евро през 2013 г.</w:t>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През 2014 г. състоянието на фонд „Безработица“ се е влошило значително, достигайки дефицит от над 4,8 млн. евро. Този дефицитът се е св</w:t>
      </w:r>
      <w:r>
        <w:rPr>
          <w:rFonts w:ascii="Times New Roman" w:hAnsi="Times New Roman"/>
          <w:noProof/>
          <w:sz w:val="24"/>
        </w:rPr>
        <w:t>ил донякъде през 2015 г., когато е възлизал на 3 млн. евро.</w:t>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Вследствие на тези последователни дефицити през периода 2009—2015 г., натрупаният излишък (т.е. резерви + годишен резултат) към 31 декември 2015 г. вече е възлизал едва на 2 млн. евро, в сравнение</w:t>
      </w:r>
      <w:r>
        <w:rPr>
          <w:rFonts w:ascii="Times New Roman" w:hAnsi="Times New Roman"/>
          <w:noProof/>
          <w:sz w:val="24"/>
        </w:rPr>
        <w:t xml:space="preserve"> с 16,15 млн. евро към 1 януари 2009 г.</w:t>
      </w:r>
    </w:p>
    <w:p w:rsidR="008F26CE" w:rsidRDefault="00712D90">
      <w:pPr>
        <w:pStyle w:val="ManualHeading2"/>
        <w:rPr>
          <w:noProof/>
        </w:rPr>
      </w:pPr>
      <w:r>
        <w:t>4.2</w:t>
      </w:r>
      <w:r>
        <w:tab/>
      </w:r>
      <w:r>
        <w:rPr>
          <w:noProof/>
        </w:rPr>
        <w:t>Развитие на фонд „Безработица“ в краткосрочен и средносрочен план:</w:t>
      </w:r>
    </w:p>
    <w:p w:rsidR="008F26CE" w:rsidRDefault="00712D90">
      <w:pPr>
        <w:keepNext/>
        <w:keepLine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Високото равнище на разходите през 2015 г. допринесе за изчерпването на резервите.</w:t>
      </w:r>
    </w:p>
    <w:p w:rsidR="008F26CE" w:rsidRDefault="00712D90">
      <w:pPr>
        <w:keepNext/>
        <w:keepLine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При все това през 2016 г. се очаква излишък поради рязкото нам</w:t>
      </w:r>
      <w:r>
        <w:rPr>
          <w:rFonts w:ascii="Times New Roman" w:hAnsi="Times New Roman"/>
          <w:noProof/>
          <w:sz w:val="24"/>
        </w:rPr>
        <w:t>аляване на броя на бенефициерите от категория „акредитирани парламентарни сътрудници“ (също и през 2017 г. и 2018 г.) и поради продължаващото смекчаващо въздействие на удължаването на 6 години на максималната продължителност на договорите за наемане на дог</w:t>
      </w:r>
      <w:r>
        <w:rPr>
          <w:rFonts w:ascii="Times New Roman" w:hAnsi="Times New Roman"/>
          <w:noProof/>
          <w:sz w:val="24"/>
        </w:rPr>
        <w:t>оворно наети служители, обхванати от член 3б от Условията за работа на другите служители. Това би могло да позволи ново заделяне на сериозни резерви.</w:t>
      </w:r>
    </w:p>
    <w:p w:rsidR="008F26CE" w:rsidRDefault="00712D90">
      <w:pPr>
        <w:keepNext/>
        <w:keepLine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Във всеки случай положението в средносрочен план е твърде несигурно, дори тревожно, поради следните рисков</w:t>
      </w:r>
      <w:r>
        <w:rPr>
          <w:rFonts w:ascii="Times New Roman" w:hAnsi="Times New Roman"/>
          <w:noProof/>
          <w:sz w:val="24"/>
        </w:rPr>
        <w:t>и фактори:</w:t>
      </w:r>
    </w:p>
    <w:p w:rsidR="008F26CE" w:rsidRDefault="00712D90">
      <w:pPr>
        <w:keepNext/>
        <w:keepLines/>
        <w:numPr>
          <w:ilvl w:val="0"/>
          <w:numId w:val="61"/>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твърде същественото увеличение с повече от 30 % на средното месечно обезщетение, плащано през 2015 г., в сравнение с 2013 г.;</w:t>
      </w:r>
    </w:p>
    <w:p w:rsidR="008F26CE" w:rsidRDefault="00712D90">
      <w:pPr>
        <w:keepNext/>
        <w:keepLines/>
        <w:numPr>
          <w:ilvl w:val="0"/>
          <w:numId w:val="61"/>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значителното увеличение на броя на бенефициерите от категорията „договорно наети служители“, което се очаква от 2017 г.</w:t>
      </w:r>
      <w:r>
        <w:rPr>
          <w:rFonts w:ascii="Times New Roman" w:hAnsi="Times New Roman"/>
          <w:noProof/>
          <w:sz w:val="24"/>
        </w:rPr>
        <w:t xml:space="preserve"> нататък, когато договорите с новата максимална продължителност от 6 години ще започнат да приключват;</w:t>
      </w:r>
    </w:p>
    <w:p w:rsidR="008F26CE" w:rsidRDefault="00712D90">
      <w:pPr>
        <w:keepNext/>
        <w:keepLines/>
        <w:numPr>
          <w:ilvl w:val="0"/>
          <w:numId w:val="61"/>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евентуалното запазване на тенденцията от 2013 г. насам на непрекъснато увеличаване на бенефициерите от категория „срочно наети служители“ от агенциите;</w:t>
      </w:r>
    </w:p>
    <w:p w:rsidR="008F26CE" w:rsidRDefault="00712D90">
      <w:pPr>
        <w:numPr>
          <w:ilvl w:val="0"/>
          <w:numId w:val="61"/>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н</w:t>
      </w:r>
      <w:r>
        <w:rPr>
          <w:rFonts w:ascii="Times New Roman" w:hAnsi="Times New Roman"/>
          <w:noProof/>
          <w:sz w:val="24"/>
        </w:rPr>
        <w:t xml:space="preserve">ово рекордно равнище на разходите, което се очаква в периода 2019—2020 г. във връзка с приключването на мандат 2014—2019 г. на Европейския парламент;  </w:t>
      </w:r>
    </w:p>
    <w:p w:rsidR="008F26CE" w:rsidRDefault="00712D90">
      <w:pPr>
        <w:numPr>
          <w:ilvl w:val="0"/>
          <w:numId w:val="61"/>
        </w:numPr>
        <w:spacing w:before="120" w:after="120" w:line="240" w:lineRule="auto"/>
        <w:jc w:val="both"/>
        <w:rPr>
          <w:rFonts w:ascii="Times New Roman" w:eastAsia="Times New Roman" w:hAnsi="Times New Roman" w:cs="Times New Roman"/>
          <w:noProof/>
          <w:spacing w:val="-4"/>
          <w:sz w:val="24"/>
          <w:szCs w:val="24"/>
        </w:rPr>
      </w:pPr>
      <w:r>
        <w:rPr>
          <w:rFonts w:ascii="Times New Roman" w:hAnsi="Times New Roman"/>
          <w:noProof/>
          <w:spacing w:val="-4"/>
          <w:sz w:val="24"/>
        </w:rPr>
        <w:t>освен това следва да се отбележи, че въвеждането на категория „акредитирани парламентарни сътрудници“ пр</w:t>
      </w:r>
      <w:r>
        <w:rPr>
          <w:rFonts w:ascii="Times New Roman" w:hAnsi="Times New Roman"/>
          <w:noProof/>
          <w:spacing w:val="-4"/>
          <w:sz w:val="24"/>
        </w:rPr>
        <w:t>ез 2009 г. не беше придружено от увеличаване на финансовите вноски, както това беше направено през 2004 г. при въвеждането на категория „договорно наети служители“. Същевременно обаче през периода 2011—2015 г. нетният баланс между вноските и обезщетенията,</w:t>
      </w:r>
      <w:r>
        <w:rPr>
          <w:rFonts w:ascii="Times New Roman" w:hAnsi="Times New Roman"/>
          <w:noProof/>
          <w:spacing w:val="-4"/>
          <w:sz w:val="24"/>
        </w:rPr>
        <w:t xml:space="preserve"> изплащани за категория „акредитирани парламентарни сътрудници“, отразява дефицит от около 11,4 млн. евро.</w:t>
      </w:r>
    </w:p>
    <w:p w:rsidR="008F26CE" w:rsidRDefault="008F26CE">
      <w:pPr>
        <w:spacing w:before="120" w:after="120" w:line="240" w:lineRule="auto"/>
        <w:jc w:val="both"/>
        <w:rPr>
          <w:rFonts w:ascii="Times New Roman" w:eastAsia="Times New Roman" w:hAnsi="Times New Roman" w:cs="Times New Roman"/>
          <w:noProof/>
          <w:sz w:val="24"/>
          <w:szCs w:val="24"/>
        </w:rPr>
      </w:pP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Повдигнатите по-горе въпроси налагат като първа стъпка Комисията да предвиди чрез делегиран акт, съгласно член 28а, параграф 11 и член 96, параграф </w:t>
      </w:r>
      <w:r>
        <w:rPr>
          <w:rFonts w:ascii="Times New Roman" w:hAnsi="Times New Roman"/>
          <w:noProof/>
          <w:sz w:val="24"/>
        </w:rPr>
        <w:t>11 от Условията за работа на другите служители, ограничено увеличение (с около 0,1 % от основната заплата, като се има предвид по-специално натрупаното салдо на Фонда през периода, разглеждан в настоящия доклад) на вноските за финансиране на осигурителната</w:t>
      </w:r>
      <w:r>
        <w:rPr>
          <w:rFonts w:ascii="Times New Roman" w:hAnsi="Times New Roman"/>
          <w:noProof/>
          <w:sz w:val="24"/>
        </w:rPr>
        <w:t xml:space="preserve"> схема за безработица, за да гарантира финансовата стабилност на схемата. </w:t>
      </w:r>
    </w:p>
    <w:p w:rsidR="008F26CE" w:rsidRDefault="00712D90">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Освен това като следваща стъпка Комисията ще създаде работна група, за да гарантира редовен мониторинг на финансовото състояние на схемата. </w:t>
      </w:r>
    </w:p>
    <w:p w:rsidR="008F26CE" w:rsidRDefault="008F26CE">
      <w:pPr>
        <w:rPr>
          <w:noProof/>
        </w:rPr>
      </w:pPr>
    </w:p>
    <w:sectPr w:rsidR="008F26CE">
      <w:headerReference w:type="even" r:id="rId56"/>
      <w:headerReference w:type="default" r:id="rId57"/>
      <w:footerReference w:type="even" r:id="rId58"/>
      <w:footerReference w:type="default" r:id="rId59"/>
      <w:headerReference w:type="first" r:id="rId60"/>
      <w:footerReference w:type="first" r:id="rId61"/>
      <w:pgSz w:w="11907" w:h="16839"/>
      <w:pgMar w:top="1021" w:right="1247" w:bottom="102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6CE" w:rsidRDefault="00712D90">
      <w:pPr>
        <w:spacing w:after="0" w:line="240" w:lineRule="auto"/>
      </w:pPr>
      <w:r>
        <w:separator/>
      </w:r>
    </w:p>
  </w:endnote>
  <w:endnote w:type="continuationSeparator" w:id="0">
    <w:p w:rsidR="008F26CE" w:rsidRDefault="00712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90" w:rsidRDefault="00712D9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CE" w:rsidRDefault="008F26C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092848"/>
      <w:docPartObj>
        <w:docPartGallery w:val="Page Numbers (Bottom of Page)"/>
        <w:docPartUnique/>
      </w:docPartObj>
    </w:sdtPr>
    <w:sdtEndPr>
      <w:rPr>
        <w:noProof/>
      </w:rPr>
    </w:sdtEndPr>
    <w:sdtContent>
      <w:p w:rsidR="008F26CE" w:rsidRDefault="00712D90">
        <w:pPr>
          <w:pStyle w:val="Footer"/>
          <w:jc w:val="right"/>
        </w:pPr>
        <w:r>
          <w:fldChar w:fldCharType="begin"/>
        </w:r>
        <w:r>
          <w:instrText xml:space="preserve"> PAGE   \* MERGEFO</w:instrText>
        </w:r>
        <w:r>
          <w:instrText xml:space="preserve">RMAT </w:instrText>
        </w:r>
        <w:r>
          <w:fldChar w:fldCharType="separate"/>
        </w:r>
        <w:r>
          <w:rPr>
            <w:noProof/>
          </w:rPr>
          <w:t>13</w:t>
        </w:r>
        <w:r>
          <w:rPr>
            <w:noProof/>
          </w:rPr>
          <w:fldChar w:fldCharType="end"/>
        </w:r>
      </w:p>
    </w:sdtContent>
  </w:sdt>
  <w:p w:rsidR="008F26CE" w:rsidRDefault="008F26C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CE" w:rsidRDefault="008F26CE">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CE" w:rsidRDefault="008F26CE">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689624"/>
      <w:docPartObj>
        <w:docPartGallery w:val="Page Numbers (Bottom of Page)"/>
        <w:docPartUnique/>
      </w:docPartObj>
    </w:sdtPr>
    <w:sdtEndPr>
      <w:rPr>
        <w:noProof/>
      </w:rPr>
    </w:sdtEndPr>
    <w:sdtContent>
      <w:p w:rsidR="008F26CE" w:rsidRDefault="00712D90">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rsidR="008F26CE" w:rsidRDefault="008F26CE">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CE" w:rsidRDefault="008F26CE">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CE" w:rsidRDefault="008F26CE">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529930"/>
      <w:docPartObj>
        <w:docPartGallery w:val="Page Numbers (Bottom of Page)"/>
        <w:docPartUnique/>
      </w:docPartObj>
    </w:sdtPr>
    <w:sdtEndPr>
      <w:rPr>
        <w:noProof/>
      </w:rPr>
    </w:sdtEndPr>
    <w:sdtContent>
      <w:p w:rsidR="008F26CE" w:rsidRDefault="00712D90">
        <w:pPr>
          <w:pStyle w:val="Footer"/>
          <w:jc w:val="right"/>
        </w:pPr>
        <w:r>
          <w:fldChar w:fldCharType="begin"/>
        </w:r>
        <w:r>
          <w:instrText xml:space="preserve"> PAGE   \* MERGEFORMAT </w:instrText>
        </w:r>
        <w:r>
          <w:fldChar w:fldCharType="separate"/>
        </w:r>
        <w:r>
          <w:rPr>
            <w:noProof/>
          </w:rPr>
          <w:t>19</w:t>
        </w:r>
        <w:r>
          <w:rPr>
            <w:noProof/>
          </w:rP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CE" w:rsidRDefault="008F26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CE" w:rsidRDefault="00712D90">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90" w:rsidRDefault="00712D9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CE" w:rsidRDefault="008F26C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847566"/>
      <w:docPartObj>
        <w:docPartGallery w:val="Page Numbers (Bottom of Page)"/>
        <w:docPartUnique/>
      </w:docPartObj>
    </w:sdtPr>
    <w:sdtEndPr>
      <w:rPr>
        <w:noProof/>
      </w:rPr>
    </w:sdtEndPr>
    <w:sdtContent>
      <w:p w:rsidR="008F26CE" w:rsidRDefault="00712D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F26CE" w:rsidRDefault="008F26C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CE" w:rsidRDefault="008F26C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CE" w:rsidRDefault="008F26C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643860"/>
      <w:docPartObj>
        <w:docPartGallery w:val="Page Numbers (Bottom of Page)"/>
        <w:docPartUnique/>
      </w:docPartObj>
    </w:sdtPr>
    <w:sdtEndPr>
      <w:rPr>
        <w:noProof/>
      </w:rPr>
    </w:sdtEndPr>
    <w:sdtContent>
      <w:p w:rsidR="008F26CE" w:rsidRDefault="00712D90">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rsidR="008F26CE" w:rsidRDefault="008F26C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CE" w:rsidRDefault="008F26CE">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6CE" w:rsidRDefault="00712D90">
      <w:pPr>
        <w:spacing w:after="0" w:line="240" w:lineRule="auto"/>
      </w:pPr>
      <w:r>
        <w:separator/>
      </w:r>
    </w:p>
  </w:footnote>
  <w:footnote w:type="continuationSeparator" w:id="0">
    <w:p w:rsidR="008F26CE" w:rsidRDefault="00712D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90" w:rsidRDefault="00712D9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CE" w:rsidRDefault="008F26C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CE" w:rsidRDefault="008F26C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CE" w:rsidRDefault="008F26C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CE" w:rsidRDefault="008F26C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CE" w:rsidRDefault="008F26CE">
    <w:pPr>
      <w:pStyle w:val="HeaderLandscap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CE" w:rsidRDefault="008F26CE">
    <w:pPr>
      <w:pStyle w:val="HeaderLandscap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CE" w:rsidRDefault="008F26CE">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CE" w:rsidRDefault="008F26CE">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CE" w:rsidRDefault="008F26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90" w:rsidRDefault="00712D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90" w:rsidRDefault="00712D9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CE" w:rsidRDefault="008F26C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CE" w:rsidRDefault="008F26C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CE" w:rsidRDefault="008F26C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CE" w:rsidRDefault="008F26C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CE" w:rsidRDefault="008F26CE">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CE" w:rsidRDefault="008F26CE">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4DC0BD1"/>
    <w:multiLevelType w:val="hybridMultilevel"/>
    <w:tmpl w:val="12CA433E"/>
    <w:lvl w:ilvl="0" w:tplc="E43EB268">
      <w:start w:val="1"/>
      <w:numFmt w:val="bullet"/>
      <w:lvlText w:val=""/>
      <w:lvlJc w:val="left"/>
      <w:pPr>
        <w:ind w:left="1570" w:hanging="360"/>
      </w:pPr>
      <w:rPr>
        <w:rFonts w:ascii="Symbol" w:hAnsi="Symbol"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DE134A9"/>
    <w:multiLevelType w:val="hybridMultilevel"/>
    <w:tmpl w:val="9D60D7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00422B"/>
    <w:multiLevelType w:val="hybridMultilevel"/>
    <w:tmpl w:val="7144D7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F6E1352"/>
    <w:multiLevelType w:val="hybridMultilevel"/>
    <w:tmpl w:val="B2145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8970A17"/>
    <w:multiLevelType w:val="hybridMultilevel"/>
    <w:tmpl w:val="A0B27B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1B425BD5"/>
    <w:multiLevelType w:val="hybridMultilevel"/>
    <w:tmpl w:val="6E6CC8B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9">
    <w:nsid w:val="1F832F4F"/>
    <w:multiLevelType w:val="hybridMultilevel"/>
    <w:tmpl w:val="2A58BF52"/>
    <w:lvl w:ilvl="0" w:tplc="08090019">
      <w:start w:val="1"/>
      <w:numFmt w:val="lowerLetter"/>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0">
    <w:nsid w:val="20813754"/>
    <w:multiLevelType w:val="hybridMultilevel"/>
    <w:tmpl w:val="233C210E"/>
    <w:lvl w:ilvl="0" w:tplc="08090019">
      <w:start w:val="1"/>
      <w:numFmt w:val="lowerLetter"/>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1">
    <w:nsid w:val="20BF77E7"/>
    <w:multiLevelType w:val="hybridMultilevel"/>
    <w:tmpl w:val="BAC82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2387B88"/>
    <w:multiLevelType w:val="hybridMultilevel"/>
    <w:tmpl w:val="FE4E89B0"/>
    <w:lvl w:ilvl="0" w:tplc="FD8A525C">
      <w:start w:val="1"/>
      <w:numFmt w:val="lowerRoman"/>
      <w:lvlText w:val="(%1)"/>
      <w:lvlJc w:val="left"/>
      <w:pPr>
        <w:ind w:left="1630" w:hanging="720"/>
      </w:pPr>
      <w:rPr>
        <w:rFonts w:hint="default"/>
      </w:rPr>
    </w:lvl>
    <w:lvl w:ilvl="1" w:tplc="08090019" w:tentative="1">
      <w:start w:val="1"/>
      <w:numFmt w:val="lowerLetter"/>
      <w:lvlText w:val="%2."/>
      <w:lvlJc w:val="left"/>
      <w:pPr>
        <w:ind w:left="1990" w:hanging="360"/>
      </w:pPr>
    </w:lvl>
    <w:lvl w:ilvl="2" w:tplc="0809001B" w:tentative="1">
      <w:start w:val="1"/>
      <w:numFmt w:val="lowerRoman"/>
      <w:lvlText w:val="%3."/>
      <w:lvlJc w:val="right"/>
      <w:pPr>
        <w:ind w:left="2710" w:hanging="180"/>
      </w:pPr>
    </w:lvl>
    <w:lvl w:ilvl="3" w:tplc="0809000F" w:tentative="1">
      <w:start w:val="1"/>
      <w:numFmt w:val="decimal"/>
      <w:lvlText w:val="%4."/>
      <w:lvlJc w:val="left"/>
      <w:pPr>
        <w:ind w:left="3430" w:hanging="360"/>
      </w:pPr>
    </w:lvl>
    <w:lvl w:ilvl="4" w:tplc="08090019" w:tentative="1">
      <w:start w:val="1"/>
      <w:numFmt w:val="lowerLetter"/>
      <w:lvlText w:val="%5."/>
      <w:lvlJc w:val="left"/>
      <w:pPr>
        <w:ind w:left="4150" w:hanging="360"/>
      </w:pPr>
    </w:lvl>
    <w:lvl w:ilvl="5" w:tplc="0809001B" w:tentative="1">
      <w:start w:val="1"/>
      <w:numFmt w:val="lowerRoman"/>
      <w:lvlText w:val="%6."/>
      <w:lvlJc w:val="right"/>
      <w:pPr>
        <w:ind w:left="4870" w:hanging="180"/>
      </w:pPr>
    </w:lvl>
    <w:lvl w:ilvl="6" w:tplc="0809000F" w:tentative="1">
      <w:start w:val="1"/>
      <w:numFmt w:val="decimal"/>
      <w:lvlText w:val="%7."/>
      <w:lvlJc w:val="left"/>
      <w:pPr>
        <w:ind w:left="5590" w:hanging="360"/>
      </w:pPr>
    </w:lvl>
    <w:lvl w:ilvl="7" w:tplc="08090019" w:tentative="1">
      <w:start w:val="1"/>
      <w:numFmt w:val="lowerLetter"/>
      <w:lvlText w:val="%8."/>
      <w:lvlJc w:val="left"/>
      <w:pPr>
        <w:ind w:left="6310" w:hanging="360"/>
      </w:pPr>
    </w:lvl>
    <w:lvl w:ilvl="8" w:tplc="0809001B" w:tentative="1">
      <w:start w:val="1"/>
      <w:numFmt w:val="lowerRoman"/>
      <w:lvlText w:val="%9."/>
      <w:lvlJc w:val="right"/>
      <w:pPr>
        <w:ind w:left="7030" w:hanging="180"/>
      </w:pPr>
    </w:lvl>
  </w:abstractNum>
  <w:abstractNum w:abstractNumId="13">
    <w:nsid w:val="24E930D7"/>
    <w:multiLevelType w:val="multilevel"/>
    <w:tmpl w:val="EFD2E05E"/>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nsid w:val="2CF3194B"/>
    <w:multiLevelType w:val="hybridMultilevel"/>
    <w:tmpl w:val="EEA6FA22"/>
    <w:lvl w:ilvl="0" w:tplc="D43801B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F883777"/>
    <w:multiLevelType w:val="hybridMultilevel"/>
    <w:tmpl w:val="855C87BE"/>
    <w:lvl w:ilvl="0" w:tplc="E43E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BE5094"/>
    <w:multiLevelType w:val="hybridMultilevel"/>
    <w:tmpl w:val="0B68E874"/>
    <w:lvl w:ilvl="0" w:tplc="9C34199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946E2F"/>
    <w:multiLevelType w:val="hybridMultilevel"/>
    <w:tmpl w:val="9D60D7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20">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21">
    <w:nsid w:val="3BB6648F"/>
    <w:multiLevelType w:val="hybridMultilevel"/>
    <w:tmpl w:val="3582069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23">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24">
    <w:nsid w:val="400B3552"/>
    <w:multiLevelType w:val="hybridMultilevel"/>
    <w:tmpl w:val="6E6E03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40315490"/>
    <w:multiLevelType w:val="singleLevel"/>
    <w:tmpl w:val="1F86C700"/>
    <w:name w:val="2,805293E-02"/>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6">
    <w:nsid w:val="44663ABA"/>
    <w:multiLevelType w:val="hybridMultilevel"/>
    <w:tmpl w:val="402C46E6"/>
    <w:lvl w:ilvl="0" w:tplc="E43E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4C2E4466"/>
    <w:multiLevelType w:val="hybridMultilevel"/>
    <w:tmpl w:val="7AF8F760"/>
    <w:lvl w:ilvl="0" w:tplc="9C34199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nsid w:val="54626A97"/>
    <w:multiLevelType w:val="hybridMultilevel"/>
    <w:tmpl w:val="EDEE4E1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32">
    <w:nsid w:val="582A1ADD"/>
    <w:multiLevelType w:val="hybridMultilevel"/>
    <w:tmpl w:val="ECD447EA"/>
    <w:lvl w:ilvl="0" w:tplc="829619E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34">
    <w:nsid w:val="5AFB2662"/>
    <w:multiLevelType w:val="hybridMultilevel"/>
    <w:tmpl w:val="9D60D7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D2A5952"/>
    <w:multiLevelType w:val="hybridMultilevel"/>
    <w:tmpl w:val="C58C1D5E"/>
    <w:lvl w:ilvl="0" w:tplc="E43EB268">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6">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7">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5F9C40AA"/>
    <w:multiLevelType w:val="singleLevel"/>
    <w:tmpl w:val="B89CB5A2"/>
    <w:name w:val="Bullet 3"/>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nsid w:val="62970F71"/>
    <w:multiLevelType w:val="singleLevel"/>
    <w:tmpl w:val="5AFA8C72"/>
    <w:name w:val="Bullet 2"/>
    <w:lvl w:ilvl="0">
      <w:start w:val="1"/>
      <w:numFmt w:val="bullet"/>
      <w:lvlRestart w:val="0"/>
      <w:pStyle w:val="Tiret2"/>
      <w:lvlText w:val="–"/>
      <w:lvlJc w:val="left"/>
      <w:pPr>
        <w:tabs>
          <w:tab w:val="num" w:pos="1984"/>
        </w:tabs>
        <w:ind w:left="1984" w:hanging="567"/>
      </w:pPr>
    </w:lvl>
  </w:abstractNum>
  <w:abstractNum w:abstractNumId="40">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41">
    <w:nsid w:val="6586184D"/>
    <w:multiLevelType w:val="hybridMultilevel"/>
    <w:tmpl w:val="D87E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9995580"/>
    <w:multiLevelType w:val="singleLevel"/>
    <w:tmpl w:val="75CC7CBA"/>
    <w:name w:val="Tiret 2"/>
    <w:lvl w:ilvl="0">
      <w:start w:val="1"/>
      <w:numFmt w:val="decimal"/>
      <w:lvlRestart w:val="0"/>
      <w:pStyle w:val="Considrant"/>
      <w:lvlText w:val="(%1)"/>
      <w:lvlJc w:val="left"/>
      <w:pPr>
        <w:tabs>
          <w:tab w:val="num" w:pos="709"/>
        </w:tabs>
        <w:ind w:left="709" w:hanging="709"/>
      </w:pPr>
    </w:lvl>
  </w:abstractNum>
  <w:abstractNum w:abstractNumId="43">
    <w:nsid w:val="6A6901C1"/>
    <w:multiLevelType w:val="singleLevel"/>
    <w:tmpl w:val="208841AE"/>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4">
    <w:nsid w:val="6D2B5511"/>
    <w:multiLevelType w:val="singleLevel"/>
    <w:tmpl w:val="74A09970"/>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45">
    <w:nsid w:val="70D1443C"/>
    <w:multiLevelType w:val="multilevel"/>
    <w:tmpl w:val="65281C0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nsid w:val="711167E2"/>
    <w:multiLevelType w:val="multilevel"/>
    <w:tmpl w:val="C3843A7A"/>
    <w:name w:val="Considérant"/>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30609BF"/>
    <w:multiLevelType w:val="hybridMultilevel"/>
    <w:tmpl w:val="9EDE1ECA"/>
    <w:lvl w:ilvl="0" w:tplc="E43E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36B2E3F"/>
    <w:multiLevelType w:val="hybridMultilevel"/>
    <w:tmpl w:val="9D60D7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4AE0DAC"/>
    <w:multiLevelType w:val="hybridMultilevel"/>
    <w:tmpl w:val="48F09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75A05D06"/>
    <w:multiLevelType w:val="hybridMultilevel"/>
    <w:tmpl w:val="006A2698"/>
    <w:lvl w:ilvl="0" w:tplc="E43E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5C26F71"/>
    <w:multiLevelType w:val="multilevel"/>
    <w:tmpl w:val="0938EEB8"/>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53">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7BE95D7F"/>
    <w:multiLevelType w:val="multilevel"/>
    <w:tmpl w:val="F126F780"/>
    <w:name w:val="Heading"/>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5">
    <w:nsid w:val="7CF9320E"/>
    <w:multiLevelType w:val="hybridMultilevel"/>
    <w:tmpl w:val="0B2C196E"/>
    <w:lvl w:ilvl="0" w:tplc="E43EB268">
      <w:start w:val="1"/>
      <w:numFmt w:val="bullet"/>
      <w:lvlText w:val=""/>
      <w:lvlJc w:val="left"/>
      <w:pPr>
        <w:ind w:left="1570" w:hanging="360"/>
      </w:pPr>
      <w:rPr>
        <w:rFonts w:ascii="Symbol" w:hAnsi="Symbol"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56">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57">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0"/>
  </w:num>
  <w:num w:numId="2">
    <w:abstractNumId w:val="19"/>
  </w:num>
  <w:num w:numId="3">
    <w:abstractNumId w:val="39"/>
  </w:num>
  <w:num w:numId="4">
    <w:abstractNumId w:val="22"/>
  </w:num>
  <w:num w:numId="5">
    <w:abstractNumId w:val="31"/>
  </w:num>
  <w:num w:numId="6">
    <w:abstractNumId w:val="46"/>
  </w:num>
  <w:num w:numId="7">
    <w:abstractNumId w:val="51"/>
  </w:num>
  <w:num w:numId="8">
    <w:abstractNumId w:val="54"/>
  </w:num>
  <w:num w:numId="9">
    <w:abstractNumId w:val="29"/>
  </w:num>
  <w:num w:numId="10">
    <w:abstractNumId w:val="14"/>
  </w:num>
  <w:num w:numId="11">
    <w:abstractNumId w:val="38"/>
  </w:num>
  <w:num w:numId="12">
    <w:abstractNumId w:val="36"/>
  </w:num>
  <w:num w:numId="13">
    <w:abstractNumId w:val="27"/>
  </w:num>
  <w:num w:numId="14">
    <w:abstractNumId w:val="42"/>
  </w:num>
  <w:num w:numId="15">
    <w:abstractNumId w:val="37"/>
  </w:num>
  <w:num w:numId="16">
    <w:abstractNumId w:val="53"/>
  </w:num>
  <w:num w:numId="17">
    <w:abstractNumId w:val="13"/>
  </w:num>
  <w:num w:numId="18">
    <w:abstractNumId w:val="2"/>
  </w:num>
  <w:num w:numId="19">
    <w:abstractNumId w:val="0"/>
  </w:num>
  <w:num w:numId="20">
    <w:abstractNumId w:val="44"/>
  </w:num>
  <w:num w:numId="21">
    <w:abstractNumId w:val="43"/>
  </w:num>
  <w:num w:numId="22">
    <w:abstractNumId w:val="6"/>
  </w:num>
  <w:num w:numId="23">
    <w:abstractNumId w:val="23"/>
  </w:num>
  <w:num w:numId="24">
    <w:abstractNumId w:val="57"/>
  </w:num>
  <w:num w:numId="25">
    <w:abstractNumId w:val="25"/>
  </w:num>
  <w:num w:numId="26">
    <w:abstractNumId w:val="40"/>
  </w:num>
  <w:num w:numId="27">
    <w:abstractNumId w:val="33"/>
  </w:num>
  <w:num w:numId="28">
    <w:abstractNumId w:val="52"/>
  </w:num>
  <w:num w:numId="29">
    <w:abstractNumId w:val="56"/>
  </w:num>
  <w:num w:numId="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lvl w:ilvl="0">
        <w:start w:val="1"/>
        <w:numFmt w:val="decimal"/>
        <w:lvlRestart w:val="0"/>
        <w:lvlText w:val="%1."/>
        <w:lvlJc w:val="left"/>
        <w:pPr>
          <w:tabs>
            <w:tab w:val="num" w:pos="850"/>
          </w:tabs>
          <w:ind w:left="850" w:hanging="850"/>
        </w:pPr>
      </w:lvl>
    </w:lvlOverride>
    <w:lvlOverride w:ilvl="1">
      <w:lvl w:ilvl="1">
        <w:start w:val="1"/>
        <w:numFmt w:val="decimal"/>
        <w:lvlText w:val="%1.%2."/>
        <w:lvlJc w:val="left"/>
        <w:pPr>
          <w:tabs>
            <w:tab w:val="num" w:pos="850"/>
          </w:tabs>
          <w:ind w:left="850" w:hanging="850"/>
        </w:pPr>
      </w:lvl>
    </w:lvlOverride>
    <w:lvlOverride w:ilvl="2">
      <w:lvl w:ilvl="2">
        <w:start w:val="1"/>
        <w:numFmt w:val="decimal"/>
        <w:lvlText w:val="%1.%2.%3."/>
        <w:lvlJc w:val="left"/>
        <w:pPr>
          <w:tabs>
            <w:tab w:val="num" w:pos="850"/>
          </w:tabs>
          <w:ind w:left="850" w:hanging="850"/>
        </w:pPr>
      </w:lvl>
    </w:lvlOverride>
    <w:lvlOverride w:ilvl="3">
      <w:lvl w:ilvl="3">
        <w:start w:val="1"/>
        <w:numFmt w:val="decimal"/>
        <w:lvlText w:val="%1.%2.%3.%4."/>
        <w:lvlJc w:val="left"/>
        <w:pPr>
          <w:tabs>
            <w:tab w:val="num" w:pos="850"/>
          </w:tabs>
          <w:ind w:left="850" w:hanging="85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4">
    <w:abstractNumId w:val="51"/>
    <w:lvlOverride w:ilvl="0">
      <w:lvl w:ilvl="0">
        <w:start w:val="1"/>
        <w:numFmt w:val="decimal"/>
        <w:lvlRestart w:val="0"/>
        <w:lvlText w:val="%1."/>
        <w:lvlJc w:val="left"/>
        <w:pPr>
          <w:tabs>
            <w:tab w:val="num" w:pos="850"/>
          </w:tabs>
          <w:ind w:left="850" w:hanging="850"/>
        </w:pPr>
      </w:lvl>
    </w:lvlOverride>
    <w:lvlOverride w:ilvl="1">
      <w:lvl w:ilvl="1">
        <w:start w:val="1"/>
        <w:numFmt w:val="decimal"/>
        <w:lvlText w:val="%1.%2."/>
        <w:lvlJc w:val="left"/>
        <w:pPr>
          <w:tabs>
            <w:tab w:val="num" w:pos="850"/>
          </w:tabs>
          <w:ind w:left="850" w:hanging="850"/>
        </w:pPr>
      </w:lvl>
    </w:lvlOverride>
    <w:lvlOverride w:ilvl="2">
      <w:lvl w:ilvl="2">
        <w:start w:val="1"/>
        <w:numFmt w:val="decimal"/>
        <w:lvlText w:val="%1.%2.%3."/>
        <w:lvlJc w:val="left"/>
        <w:pPr>
          <w:tabs>
            <w:tab w:val="num" w:pos="850"/>
          </w:tabs>
          <w:ind w:left="850" w:hanging="850"/>
        </w:pPr>
      </w:lvl>
    </w:lvlOverride>
    <w:lvlOverride w:ilvl="3">
      <w:lvl w:ilvl="3">
        <w:start w:val="1"/>
        <w:numFmt w:val="decimal"/>
        <w:lvlText w:val="%1.%2.%3.%4."/>
        <w:lvlJc w:val="left"/>
        <w:pPr>
          <w:tabs>
            <w:tab w:val="num" w:pos="850"/>
          </w:tabs>
          <w:ind w:left="850" w:hanging="85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5">
    <w:abstractNumId w:val="51"/>
    <w:lvlOverride w:ilvl="0">
      <w:lvl w:ilvl="0">
        <w:start w:val="1"/>
        <w:numFmt w:val="decimal"/>
        <w:lvlRestart w:val="0"/>
        <w:lvlText w:val="%1."/>
        <w:lvlJc w:val="left"/>
        <w:pPr>
          <w:tabs>
            <w:tab w:val="num" w:pos="850"/>
          </w:tabs>
          <w:ind w:left="850" w:hanging="850"/>
        </w:pPr>
      </w:lvl>
    </w:lvlOverride>
    <w:lvlOverride w:ilvl="1">
      <w:lvl w:ilvl="1">
        <w:start w:val="1"/>
        <w:numFmt w:val="decimal"/>
        <w:lvlText w:val="%1.%2."/>
        <w:lvlJc w:val="left"/>
        <w:pPr>
          <w:tabs>
            <w:tab w:val="num" w:pos="850"/>
          </w:tabs>
          <w:ind w:left="850" w:hanging="850"/>
        </w:pPr>
      </w:lvl>
    </w:lvlOverride>
    <w:lvlOverride w:ilvl="2">
      <w:lvl w:ilvl="2">
        <w:start w:val="1"/>
        <w:numFmt w:val="decimal"/>
        <w:lvlText w:val="%1.%2.%3."/>
        <w:lvlJc w:val="left"/>
        <w:pPr>
          <w:tabs>
            <w:tab w:val="num" w:pos="850"/>
          </w:tabs>
          <w:ind w:left="850" w:hanging="850"/>
        </w:pPr>
      </w:lvl>
    </w:lvlOverride>
    <w:lvlOverride w:ilvl="3">
      <w:lvl w:ilvl="3">
        <w:start w:val="1"/>
        <w:numFmt w:val="decimal"/>
        <w:lvlText w:val="%1.%2.%3.%4."/>
        <w:lvlJc w:val="left"/>
        <w:pPr>
          <w:tabs>
            <w:tab w:val="num" w:pos="850"/>
          </w:tabs>
          <w:ind w:left="850" w:hanging="85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6">
    <w:abstractNumId w:val="51"/>
    <w:lvlOverride w:ilvl="0">
      <w:lvl w:ilvl="0">
        <w:start w:val="1"/>
        <w:numFmt w:val="decimal"/>
        <w:lvlRestart w:val="0"/>
        <w:lvlText w:val="%1."/>
        <w:lvlJc w:val="left"/>
        <w:pPr>
          <w:tabs>
            <w:tab w:val="num" w:pos="850"/>
          </w:tabs>
          <w:ind w:left="850" w:hanging="850"/>
        </w:pPr>
      </w:lvl>
    </w:lvlOverride>
    <w:lvlOverride w:ilvl="1">
      <w:lvl w:ilvl="1">
        <w:start w:val="1"/>
        <w:numFmt w:val="decimal"/>
        <w:lvlText w:val="%1.%2."/>
        <w:lvlJc w:val="left"/>
        <w:pPr>
          <w:tabs>
            <w:tab w:val="num" w:pos="850"/>
          </w:tabs>
          <w:ind w:left="850" w:hanging="850"/>
        </w:pPr>
      </w:lvl>
    </w:lvlOverride>
    <w:lvlOverride w:ilvl="2">
      <w:lvl w:ilvl="2">
        <w:start w:val="1"/>
        <w:numFmt w:val="decimal"/>
        <w:lvlText w:val="%1.%2.%3."/>
        <w:lvlJc w:val="left"/>
        <w:pPr>
          <w:tabs>
            <w:tab w:val="num" w:pos="850"/>
          </w:tabs>
          <w:ind w:left="850" w:hanging="850"/>
        </w:pPr>
      </w:lvl>
    </w:lvlOverride>
    <w:lvlOverride w:ilvl="3">
      <w:lvl w:ilvl="3">
        <w:start w:val="1"/>
        <w:numFmt w:val="decimal"/>
        <w:lvlText w:val="%1.%2.%3.%4."/>
        <w:lvlJc w:val="left"/>
        <w:pPr>
          <w:tabs>
            <w:tab w:val="num" w:pos="850"/>
          </w:tabs>
          <w:ind w:left="850" w:hanging="85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7">
    <w:abstractNumId w:val="45"/>
  </w:num>
  <w:num w:numId="38">
    <w:abstractNumId w:val="15"/>
  </w:num>
  <w:num w:numId="39">
    <w:abstractNumId w:val="32"/>
  </w:num>
  <w:num w:numId="40">
    <w:abstractNumId w:val="11"/>
  </w:num>
  <w:num w:numId="41">
    <w:abstractNumId w:val="49"/>
  </w:num>
  <w:num w:numId="42">
    <w:abstractNumId w:val="18"/>
  </w:num>
  <w:num w:numId="43">
    <w:abstractNumId w:val="34"/>
  </w:num>
  <w:num w:numId="44">
    <w:abstractNumId w:val="3"/>
  </w:num>
  <w:num w:numId="45">
    <w:abstractNumId w:val="48"/>
  </w:num>
  <w:num w:numId="46">
    <w:abstractNumId w:val="16"/>
  </w:num>
  <w:num w:numId="47">
    <w:abstractNumId w:val="12"/>
  </w:num>
  <w:num w:numId="48">
    <w:abstractNumId w:val="35"/>
  </w:num>
  <w:num w:numId="49">
    <w:abstractNumId w:val="50"/>
  </w:num>
  <w:num w:numId="50">
    <w:abstractNumId w:val="8"/>
  </w:num>
  <w:num w:numId="51">
    <w:abstractNumId w:val="10"/>
  </w:num>
  <w:num w:numId="52">
    <w:abstractNumId w:val="30"/>
  </w:num>
  <w:num w:numId="53">
    <w:abstractNumId w:val="9"/>
  </w:num>
  <w:num w:numId="54">
    <w:abstractNumId w:val="1"/>
  </w:num>
  <w:num w:numId="55">
    <w:abstractNumId w:val="26"/>
  </w:num>
  <w:num w:numId="56">
    <w:abstractNumId w:val="55"/>
  </w:num>
  <w:num w:numId="57">
    <w:abstractNumId w:val="47"/>
  </w:num>
  <w:num w:numId="58">
    <w:abstractNumId w:val="24"/>
  </w:num>
  <w:num w:numId="59">
    <w:abstractNumId w:val="7"/>
  </w:num>
  <w:num w:numId="60">
    <w:abstractNumId w:val="4"/>
  </w:num>
  <w:num w:numId="61">
    <w:abstractNumId w:val="5"/>
  </w:num>
  <w:num w:numId="62">
    <w:abstractNumId w:val="17"/>
  </w:num>
  <w:num w:numId="63">
    <w:abstractNumId w:val="28"/>
  </w:num>
  <w:num w:numId="64">
    <w:abstractNumId w:val="41"/>
  </w:num>
  <w:num w:numId="65">
    <w:abstractNumId w:val="2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2AA8644A9504963BD92622B069F78F8"/>
    <w:docVar w:name="LW_CROSSREFERENCE" w:val="&lt;UNUSED&gt;"/>
    <w:docVar w:name="LW_DocType" w:val="NORMAL"/>
    <w:docVar w:name="LW_EMISSION" w:val="5.12.2016"/>
    <w:docVar w:name="LW_EMISSION_ISODATE" w:val="2016-12-05"/>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754"/>
    <w:docVar w:name="LW_REF.INTERNE" w:val="&lt;UNUSED&gt;"/>
    <w:docVar w:name="LW_SOUS.TITRE.OBJ.CP" w:val="&lt;UNUSED&gt;"/>
    <w:docVar w:name="LW_SUPERTITRE" w:val="&lt;UNUSED&gt;"/>
    <w:docVar w:name="LW_TITRE.OBJ.CP" w:val="\u1044?\u1086?\u1082?\u1083?\u1072?\u1076? \u1079?\u1072? \u1087?\u1077?\u1088?\u1080?\u1086?\u1076?\u1072? 2009\u8212?2015 \u1075?. \u1086?\u1090?\u1085?\u1086?\u1089?\u1085?\u1086? \u1092?\u1080?\u1085?\u1072?\u1085?\u1089?\u1086?\u1074?\u1086?\u1090?\u1086? \u1089?\u1098?\u1089?\u1090?\u1086?\u1103?\u1085?\u1080?\u1077? \u1085?\u1072? \u1086?\u1089?\u1080?\u1075?\u1091?\u1088?\u1080?\u1090?\u1077?\u1083?\u1085?\u1072?\u1090?\u1072? \u1089?\u1093?\u1077?\u1084?\u1072? \u1079?\u1072? \u1073?\u1077?\u1079?\u1088?\u1072?\u1073?\u1086?\u1090?\u1080?\u1094?\u1072? \u1074? \u1087?\u1086?\u1083?\u1079?\u1072? \u1085?\u1072? \u1073?\u1080?\u1074?\u1096?\u1080?\u1090?\u1077? \u1089?\u1088?\u1086?\u1095?\u1085?\u1086? \u1080?\u1083?\u1080? \u1076?\u1086?\u1075?\u1086?\u1074?\u1086?\u1088?\u1085?\u1086? \u1085?\u1072?\u1077?\u1090?\u1080? \u1089?\u1083?\u1091?\u1078?\u1080?\u1090?\u1077?\u1083?\u1080? \u1080? \u1072?\u1082?\u1088?\u1077?\u1076?\u1080?\u1090?\u1080?\u1088?\u1072?\u1085?\u1080?\u1090?\u1077? \u1087?\u1072?\u1088?\u1083?\u1072?\u1084?\u1077?\u1085?\u1090?\u1072?\u1088?\u1085?\u1080? \u1089?\u1098?\u1090?\u1088?\u1091?\u1076?\u1085?\u1080?\u1094?\u1080?, \u1082?\u1086?\u1080?\u1090?\u1086? \u1089?\u1072? \u1086?\u1089?\u1090?\u1072?\u1085?\u1072?\u1083?\u1080? \u1073?\u1077?\u1079? \u1088?\u1072?\u1073?\u1086?\u1090?\u1072? \u1089?\u1083?\u1077?\u1076? \u1087?\u1088?\u1077?\u1082?\u1088?\u1072?\u1090?\u1103?\u1074?\u1072?\u1085?\u1077? \u1085?\u1072? \u1089?\u1083?\u1091?\u1078?\u1077?\u1073?\u1085?\u1080?\u1090?\u1077? \u1080?\u1084? \u1087?\u1088?\u1072?\u1074?\u1086?\u1086?\u1090?\u1085?\u1086?\u1096?\u1077?\u1085?\u1080?\u1103? \u1089? \u1080?\u1085?\u1089?\u1090?\u1080?\u1090?\u1091?\u1094?\u1080?\u1103? \u1085?\u1072? \u1045?\u1074?\u1088?\u1086?\u1087?\u1077?\u1081?\u1089?\u1082?\u1080?\u1103? \u1089?\u1098?\u1102?\u1079?"/>
    <w:docVar w:name="LW_TYPE.DOC.CP" w:val="\u1044?\u1054?\u1050?\u1051?\u1040?\u1044? \u1053?\u1040? \u1050?\u1054?\u1052?\u1048?\u1057?\u1048?\u1071?\u1058?\u1040? \u1044?\u1054? \u1045?\u1042?\u1056?\u1054?\u1055?\u1045?\u1049?\u1057?\u1050?\u1048?\u1071? \u1055?\u1040?\u1056?\u1051?\u1040?\u1052?\u1045?\u1053?\u1058? \u1048? \u1057?\u1066?\u1042?\u1045?\u1058?\u1040?"/>
  </w:docVars>
  <w:rsids>
    <w:rsidRoot w:val="008F26CE"/>
    <w:rsid w:val="00712D90"/>
    <w:rsid w:val="008F2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autoRedefine/>
    <w:qFormat/>
    <w:pPr>
      <w:keepNext/>
      <w:numPr>
        <w:numId w:val="37"/>
      </w:numPr>
      <w:spacing w:before="360" w:after="120" w:line="240" w:lineRule="auto"/>
      <w:ind w:left="851" w:hanging="851"/>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autoRedefine/>
    <w:qFormat/>
    <w:pPr>
      <w:keepNext/>
      <w:numPr>
        <w:ilvl w:val="1"/>
        <w:numId w:val="37"/>
      </w:numPr>
      <w:spacing w:before="120" w:after="120" w:line="240" w:lineRule="auto"/>
      <w:ind w:left="709" w:hanging="709"/>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37"/>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37"/>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semiHidden/>
    <w:unhideWhenUsed/>
    <w:qFormat/>
    <w:pPr>
      <w:numPr>
        <w:ilvl w:val="4"/>
        <w:numId w:val="37"/>
      </w:numPr>
      <w:spacing w:before="240" w:after="60" w:line="240" w:lineRule="auto"/>
      <w:jc w:val="both"/>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pPr>
      <w:numPr>
        <w:ilvl w:val="5"/>
        <w:numId w:val="37"/>
      </w:numPr>
      <w:spacing w:before="240" w:after="60" w:line="240" w:lineRule="auto"/>
      <w:jc w:val="both"/>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pPr>
      <w:numPr>
        <w:ilvl w:val="6"/>
        <w:numId w:val="37"/>
      </w:numPr>
      <w:spacing w:before="240" w:after="60" w:line="240" w:lineRule="auto"/>
      <w:jc w:val="both"/>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pPr>
      <w:numPr>
        <w:ilvl w:val="7"/>
        <w:numId w:val="37"/>
      </w:numPr>
      <w:spacing w:before="240" w:after="60" w:line="240" w:lineRule="auto"/>
      <w:jc w:val="both"/>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pPr>
      <w:numPr>
        <w:ilvl w:val="8"/>
        <w:numId w:val="37"/>
      </w:numPr>
      <w:spacing w:before="240" w:after="60" w:line="240" w:lineRule="auto"/>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bg-BG"/>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bg-BG"/>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bg-BG"/>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bg-BG"/>
    </w:rPr>
  </w:style>
  <w:style w:type="character" w:customStyle="1" w:styleId="Heading5Char">
    <w:name w:val="Heading 5 Char"/>
    <w:basedOn w:val="DefaultParagraphFont"/>
    <w:link w:val="Heading5"/>
    <w:semiHidden/>
    <w:rPr>
      <w:rFonts w:ascii="Calibri" w:eastAsia="Times New Roman" w:hAnsi="Calibri" w:cs="Times New Roman"/>
      <w:b/>
      <w:bCs/>
      <w:i/>
      <w:iCs/>
      <w:sz w:val="26"/>
      <w:szCs w:val="26"/>
      <w:lang w:val="bg-BG"/>
    </w:rPr>
  </w:style>
  <w:style w:type="character" w:customStyle="1" w:styleId="Heading6Char">
    <w:name w:val="Heading 6 Char"/>
    <w:basedOn w:val="DefaultParagraphFont"/>
    <w:link w:val="Heading6"/>
    <w:semiHidden/>
    <w:rPr>
      <w:rFonts w:ascii="Calibri" w:eastAsia="Times New Roman" w:hAnsi="Calibri" w:cs="Times New Roman"/>
      <w:b/>
      <w:bCs/>
      <w:lang w:val="bg-BG"/>
    </w:rPr>
  </w:style>
  <w:style w:type="character" w:customStyle="1" w:styleId="Heading7Char">
    <w:name w:val="Heading 7 Char"/>
    <w:basedOn w:val="DefaultParagraphFont"/>
    <w:link w:val="Heading7"/>
    <w:semiHidden/>
    <w:rPr>
      <w:rFonts w:ascii="Calibri" w:eastAsia="Times New Roman" w:hAnsi="Calibri" w:cs="Times New Roman"/>
      <w:sz w:val="24"/>
      <w:szCs w:val="24"/>
      <w:lang w:val="bg-BG"/>
    </w:rPr>
  </w:style>
  <w:style w:type="character" w:customStyle="1" w:styleId="Heading8Char">
    <w:name w:val="Heading 8 Char"/>
    <w:basedOn w:val="DefaultParagraphFont"/>
    <w:link w:val="Heading8"/>
    <w:semiHidden/>
    <w:rPr>
      <w:rFonts w:ascii="Calibri" w:eastAsia="Times New Roman" w:hAnsi="Calibri" w:cs="Times New Roman"/>
      <w:i/>
      <w:iCs/>
      <w:sz w:val="24"/>
      <w:szCs w:val="24"/>
      <w:lang w:val="bg-BG"/>
    </w:rPr>
  </w:style>
  <w:style w:type="character" w:customStyle="1" w:styleId="Heading9Char">
    <w:name w:val="Heading 9 Char"/>
    <w:basedOn w:val="DefaultParagraphFont"/>
    <w:link w:val="Heading9"/>
    <w:semiHidden/>
    <w:rPr>
      <w:rFonts w:ascii="Cambria" w:eastAsia="Times New Roman" w:hAnsi="Cambria" w:cs="Times New Roman"/>
      <w:lang w:val="bg-BG"/>
    </w:rPr>
  </w:style>
  <w:style w:type="numbering" w:customStyle="1" w:styleId="NoList1">
    <w:name w:val="No List1"/>
    <w:next w:val="NoList"/>
    <w:semiHidden/>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Calibri" w:hAnsi="Times New Roman" w:cs="Times New Roman"/>
      <w:sz w:val="24"/>
    </w:rPr>
  </w:style>
  <w:style w:type="character" w:customStyle="1" w:styleId="HeaderChar">
    <w:name w:val="Header Char"/>
    <w:basedOn w:val="DefaultParagraphFont"/>
    <w:link w:val="Header"/>
    <w:uiPriority w:val="99"/>
    <w:rPr>
      <w:rFonts w:ascii="Times New Roman" w:eastAsia="Calibri" w:hAnsi="Times New Roman" w:cs="Times New Roman"/>
      <w:sz w:val="24"/>
      <w:lang w:val="bg-BG"/>
    </w:rPr>
  </w:style>
  <w:style w:type="paragraph" w:styleId="Footer">
    <w:name w:val="footer"/>
    <w:basedOn w:val="Normal"/>
    <w:link w:val="FooterChar"/>
    <w:uiPriority w:val="99"/>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bg-BG"/>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bg-BG"/>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noProof/>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ListDash">
    <w:name w:val="List Dash"/>
    <w:basedOn w:val="Normal"/>
    <w:pPr>
      <w:numPr>
        <w:numId w:val="25"/>
      </w:numPr>
      <w:spacing w:before="120" w:after="120" w:line="240" w:lineRule="auto"/>
      <w:jc w:val="both"/>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semiHidden/>
    <w:rPr>
      <w:sz w:val="16"/>
      <w:szCs w:val="16"/>
      <w:shd w:val="clear" w:color="auto" w:fill="auto"/>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bg-BG"/>
    </w:rPr>
  </w:style>
  <w:style w:type="paragraph" w:styleId="ListNumber">
    <w:name w:val="List Number"/>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17"/>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18"/>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19"/>
      </w:numPr>
      <w:spacing w:before="120" w:after="120" w:line="240" w:lineRule="auto"/>
      <w:jc w:val="both"/>
    </w:pPr>
    <w:rPr>
      <w:rFonts w:ascii="Times New Roman" w:eastAsia="Times New Roman" w:hAnsi="Times New Roman" w:cs="Times New Roman"/>
      <w:sz w:val="24"/>
      <w:szCs w:val="24"/>
    </w:rPr>
  </w:style>
  <w:style w:type="paragraph" w:styleId="ListBullet">
    <w:name w:val="List Bullet"/>
    <w:basedOn w:val="Normal"/>
    <w:pPr>
      <w:numPr>
        <w:numId w:val="20"/>
      </w:numPr>
      <w:spacing w:before="120" w:after="120" w:line="240" w:lineRule="auto"/>
      <w:jc w:val="both"/>
    </w:pPr>
    <w:rPr>
      <w:rFonts w:ascii="Times New Roman" w:eastAsia="Times New Roman" w:hAnsi="Times New Roman" w:cs="Times New Roman"/>
      <w:sz w:val="24"/>
      <w:szCs w:val="24"/>
    </w:rPr>
  </w:style>
  <w:style w:type="paragraph" w:styleId="ListBullet2">
    <w:name w:val="List Bullet 2"/>
    <w:basedOn w:val="Normal"/>
    <w:pPr>
      <w:numPr>
        <w:numId w:val="22"/>
      </w:numPr>
      <w:spacing w:before="120" w:after="120" w:line="240" w:lineRule="auto"/>
      <w:jc w:val="both"/>
    </w:pPr>
    <w:rPr>
      <w:rFonts w:ascii="Times New Roman" w:eastAsia="Times New Roman" w:hAnsi="Times New Roman" w:cs="Times New Roman"/>
      <w:sz w:val="24"/>
      <w:szCs w:val="24"/>
    </w:rPr>
  </w:style>
  <w:style w:type="paragraph" w:styleId="ListBullet3">
    <w:name w:val="List Bullet 3"/>
    <w:basedOn w:val="Normal"/>
    <w:pPr>
      <w:numPr>
        <w:numId w:val="23"/>
      </w:numPr>
      <w:spacing w:before="120" w:after="120" w:line="240" w:lineRule="auto"/>
      <w:jc w:val="both"/>
    </w:pPr>
    <w:rPr>
      <w:rFonts w:ascii="Times New Roman" w:eastAsia="Times New Roman" w:hAnsi="Times New Roman" w:cs="Times New Roman"/>
      <w:sz w:val="24"/>
      <w:szCs w:val="24"/>
    </w:rPr>
  </w:style>
  <w:style w:type="paragraph" w:styleId="ListBullet4">
    <w:name w:val="List Bullet 4"/>
    <w:basedOn w:val="Normal"/>
    <w:pPr>
      <w:numPr>
        <w:numId w:val="24"/>
      </w:numPr>
      <w:spacing w:before="120" w:after="120" w:line="240" w:lineRule="auto"/>
      <w:jc w:val="both"/>
    </w:pPr>
    <w:rPr>
      <w:rFonts w:ascii="Times New Roman" w:eastAsia="Times New Roman" w:hAnsi="Times New Roman" w:cs="Times New Roman"/>
      <w:sz w:val="24"/>
      <w:szCs w:val="24"/>
    </w:rPr>
  </w:style>
  <w:style w:type="paragraph" w:customStyle="1" w:styleId="ListNumber1">
    <w:name w:val="List Number 1"/>
    <w:basedOn w:val="Text1"/>
    <w:pPr>
      <w:numPr>
        <w:numId w:val="16"/>
      </w:numPr>
    </w:pPr>
  </w:style>
  <w:style w:type="paragraph" w:customStyle="1" w:styleId="ListNumberLevel2">
    <w:name w:val="List Number (Level 2)"/>
    <w:basedOn w:val="Normal"/>
    <w:pPr>
      <w:numPr>
        <w:ilvl w:val="1"/>
        <w:numId w:val="15"/>
      </w:numPr>
      <w:spacing w:before="120" w:after="120" w:line="240" w:lineRule="auto"/>
      <w:jc w:val="both"/>
    </w:pPr>
    <w:rPr>
      <w:rFonts w:ascii="Times New Roman" w:eastAsia="Times New Roman" w:hAnsi="Times New Roman" w:cs="Times New Roman"/>
      <w:sz w:val="24"/>
      <w:szCs w:val="24"/>
    </w:rPr>
  </w:style>
  <w:style w:type="paragraph" w:customStyle="1" w:styleId="ListNumber1Level2">
    <w:name w:val="List Number 1 (Level 2)"/>
    <w:basedOn w:val="Text1"/>
    <w:pPr>
      <w:numPr>
        <w:ilvl w:val="1"/>
        <w:numId w:val="16"/>
      </w:numPr>
    </w:pPr>
  </w:style>
  <w:style w:type="paragraph" w:customStyle="1" w:styleId="ListNumber2Level2">
    <w:name w:val="List Number 2 (Level 2)"/>
    <w:basedOn w:val="Text2"/>
    <w:pPr>
      <w:numPr>
        <w:ilvl w:val="1"/>
        <w:numId w:val="17"/>
      </w:numPr>
    </w:pPr>
  </w:style>
  <w:style w:type="paragraph" w:customStyle="1" w:styleId="ListNumber3Level2">
    <w:name w:val="List Number 3 (Level 2)"/>
    <w:basedOn w:val="Text3"/>
    <w:pPr>
      <w:numPr>
        <w:ilvl w:val="1"/>
        <w:numId w:val="18"/>
      </w:numPr>
    </w:pPr>
  </w:style>
  <w:style w:type="paragraph" w:customStyle="1" w:styleId="ListNumber4Level2">
    <w:name w:val="List Number 4 (Level 2)"/>
    <w:basedOn w:val="Text4"/>
    <w:pPr>
      <w:numPr>
        <w:ilvl w:val="1"/>
        <w:numId w:val="19"/>
      </w:numPr>
    </w:pPr>
  </w:style>
  <w:style w:type="paragraph" w:customStyle="1" w:styleId="ListNumberLevel3">
    <w:name w:val="List Number (Level 3)"/>
    <w:basedOn w:val="Normal"/>
    <w:pPr>
      <w:numPr>
        <w:ilvl w:val="2"/>
        <w:numId w:val="15"/>
      </w:numPr>
      <w:spacing w:before="120" w:after="120" w:line="240" w:lineRule="auto"/>
      <w:jc w:val="both"/>
    </w:pPr>
    <w:rPr>
      <w:rFonts w:ascii="Times New Roman" w:eastAsia="Times New Roman" w:hAnsi="Times New Roman" w:cs="Times New Roman"/>
      <w:sz w:val="24"/>
      <w:szCs w:val="24"/>
    </w:rPr>
  </w:style>
  <w:style w:type="paragraph" w:customStyle="1" w:styleId="ListNumber1Level3">
    <w:name w:val="List Number 1 (Level 3)"/>
    <w:basedOn w:val="Text1"/>
    <w:pPr>
      <w:numPr>
        <w:ilvl w:val="2"/>
        <w:numId w:val="16"/>
      </w:numPr>
    </w:pPr>
  </w:style>
  <w:style w:type="paragraph" w:customStyle="1" w:styleId="ListNumber2Level3">
    <w:name w:val="List Number 2 (Level 3)"/>
    <w:basedOn w:val="Text2"/>
    <w:pPr>
      <w:numPr>
        <w:ilvl w:val="2"/>
        <w:numId w:val="17"/>
      </w:numPr>
    </w:pPr>
  </w:style>
  <w:style w:type="paragraph" w:customStyle="1" w:styleId="ListNumber3Level3">
    <w:name w:val="List Number 3 (Level 3)"/>
    <w:basedOn w:val="Text3"/>
    <w:pPr>
      <w:numPr>
        <w:ilvl w:val="2"/>
        <w:numId w:val="18"/>
      </w:numPr>
    </w:pPr>
  </w:style>
  <w:style w:type="paragraph" w:customStyle="1" w:styleId="ListNumber4Level3">
    <w:name w:val="List Number 4 (Level 3)"/>
    <w:basedOn w:val="Text4"/>
    <w:pPr>
      <w:numPr>
        <w:ilvl w:val="2"/>
        <w:numId w:val="19"/>
      </w:numPr>
    </w:pPr>
  </w:style>
  <w:style w:type="paragraph" w:customStyle="1" w:styleId="ListNumberLevel4">
    <w:name w:val="List Number (Level 4)"/>
    <w:basedOn w:val="Normal"/>
    <w:pPr>
      <w:numPr>
        <w:ilvl w:val="3"/>
        <w:numId w:val="15"/>
      </w:numPr>
      <w:spacing w:before="120" w:after="120" w:line="240" w:lineRule="auto"/>
      <w:jc w:val="both"/>
    </w:pPr>
    <w:rPr>
      <w:rFonts w:ascii="Times New Roman" w:eastAsia="Times New Roman" w:hAnsi="Times New Roman" w:cs="Times New Roman"/>
      <w:sz w:val="24"/>
      <w:szCs w:val="24"/>
    </w:rPr>
  </w:style>
  <w:style w:type="paragraph" w:customStyle="1" w:styleId="ListNumber1Level4">
    <w:name w:val="List Number 1 (Level 4)"/>
    <w:basedOn w:val="Text1"/>
    <w:pPr>
      <w:numPr>
        <w:ilvl w:val="3"/>
        <w:numId w:val="16"/>
      </w:numPr>
    </w:pPr>
  </w:style>
  <w:style w:type="paragraph" w:customStyle="1" w:styleId="ListNumber2Level4">
    <w:name w:val="List Number 2 (Level 4)"/>
    <w:basedOn w:val="Text2"/>
    <w:pPr>
      <w:numPr>
        <w:ilvl w:val="3"/>
        <w:numId w:val="17"/>
      </w:numPr>
    </w:pPr>
  </w:style>
  <w:style w:type="paragraph" w:customStyle="1" w:styleId="ListNumber3Level4">
    <w:name w:val="List Number 3 (Level 4)"/>
    <w:basedOn w:val="Text3"/>
    <w:pPr>
      <w:numPr>
        <w:ilvl w:val="3"/>
        <w:numId w:val="18"/>
      </w:numPr>
    </w:pPr>
  </w:style>
  <w:style w:type="paragraph" w:customStyle="1" w:styleId="ListNumber4Level4">
    <w:name w:val="List Number 4 (Level 4)"/>
    <w:basedOn w:val="Text4"/>
    <w:pPr>
      <w:numPr>
        <w:ilvl w:val="3"/>
        <w:numId w:val="19"/>
      </w:numPr>
    </w:pPr>
  </w:style>
  <w:style w:type="paragraph" w:customStyle="1" w:styleId="ListBullet1">
    <w:name w:val="List Bullet 1"/>
    <w:basedOn w:val="Normal"/>
    <w:pPr>
      <w:numPr>
        <w:numId w:val="21"/>
      </w:numPr>
      <w:spacing w:before="120" w:after="120" w:line="240" w:lineRule="auto"/>
      <w:jc w:val="both"/>
    </w:pPr>
    <w:rPr>
      <w:rFonts w:ascii="Times New Roman" w:eastAsia="Times New Roman" w:hAnsi="Times New Roman" w:cs="Times New Roman"/>
      <w:sz w:val="24"/>
      <w:szCs w:val="24"/>
    </w:rPr>
  </w:style>
  <w:style w:type="paragraph" w:customStyle="1" w:styleId="ListDash1">
    <w:name w:val="List Dash 1"/>
    <w:basedOn w:val="Normal"/>
    <w:pPr>
      <w:numPr>
        <w:numId w:val="26"/>
      </w:numPr>
      <w:spacing w:before="120" w:after="120" w:line="240" w:lineRule="auto"/>
      <w:jc w:val="both"/>
    </w:pPr>
    <w:rPr>
      <w:rFonts w:ascii="Times New Roman" w:eastAsia="Times New Roman" w:hAnsi="Times New Roman" w:cs="Times New Roman"/>
      <w:sz w:val="24"/>
      <w:szCs w:val="24"/>
    </w:rPr>
  </w:style>
  <w:style w:type="paragraph" w:customStyle="1" w:styleId="ListDash2">
    <w:name w:val="List Dash 2"/>
    <w:basedOn w:val="Normal"/>
    <w:pPr>
      <w:numPr>
        <w:numId w:val="27"/>
      </w:numPr>
      <w:spacing w:before="120" w:after="120" w:line="240" w:lineRule="auto"/>
      <w:jc w:val="both"/>
    </w:pPr>
    <w:rPr>
      <w:rFonts w:ascii="Times New Roman" w:eastAsia="Times New Roman" w:hAnsi="Times New Roman" w:cs="Times New Roman"/>
      <w:sz w:val="24"/>
      <w:szCs w:val="24"/>
    </w:rPr>
  </w:style>
  <w:style w:type="paragraph" w:customStyle="1" w:styleId="ListDash3">
    <w:name w:val="List Dash 3"/>
    <w:basedOn w:val="Normal"/>
    <w:pPr>
      <w:numPr>
        <w:numId w:val="28"/>
      </w:numPr>
      <w:spacing w:before="120" w:after="120" w:line="240" w:lineRule="auto"/>
      <w:jc w:val="both"/>
    </w:pPr>
    <w:rPr>
      <w:rFonts w:ascii="Times New Roman" w:eastAsia="Times New Roman" w:hAnsi="Times New Roman" w:cs="Times New Roman"/>
      <w:sz w:val="24"/>
      <w:szCs w:val="24"/>
    </w:rPr>
  </w:style>
  <w:style w:type="paragraph" w:customStyle="1" w:styleId="ListDash4">
    <w:name w:val="List Dash 4"/>
    <w:basedOn w:val="Normal"/>
    <w:pPr>
      <w:numPr>
        <w:numId w:val="29"/>
      </w:numPr>
      <w:spacing w:before="120" w:after="120" w:line="240" w:lineRule="auto"/>
      <w:jc w:val="both"/>
    </w:pPr>
    <w:rPr>
      <w:rFonts w:ascii="Times New Roman" w:eastAsia="Times New Roman" w:hAnsi="Times New Roman" w:cs="Times New Roman"/>
      <w:sz w:val="24"/>
      <w:szCs w:val="24"/>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bg-BG"/>
    </w:rPr>
  </w:style>
  <w:style w:type="character" w:styleId="Hyperlink">
    <w:name w:val="Hyperlink"/>
    <w:rPr>
      <w:color w:val="0000FF"/>
      <w:u w:val="single"/>
      <w:shd w:val="clear" w:color="auto" w:fill="auto"/>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cs="Tahoma"/>
      <w:sz w:val="20"/>
      <w:szCs w:val="20"/>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val="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autoRedefine/>
    <w:qFormat/>
    <w:pPr>
      <w:keepNext/>
      <w:numPr>
        <w:numId w:val="37"/>
      </w:numPr>
      <w:spacing w:before="360" w:after="120" w:line="240" w:lineRule="auto"/>
      <w:ind w:left="851" w:hanging="851"/>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autoRedefine/>
    <w:qFormat/>
    <w:pPr>
      <w:keepNext/>
      <w:numPr>
        <w:ilvl w:val="1"/>
        <w:numId w:val="37"/>
      </w:numPr>
      <w:spacing w:before="120" w:after="120" w:line="240" w:lineRule="auto"/>
      <w:ind w:left="709" w:hanging="709"/>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37"/>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37"/>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semiHidden/>
    <w:unhideWhenUsed/>
    <w:qFormat/>
    <w:pPr>
      <w:numPr>
        <w:ilvl w:val="4"/>
        <w:numId w:val="37"/>
      </w:numPr>
      <w:spacing w:before="240" w:after="60" w:line="240" w:lineRule="auto"/>
      <w:jc w:val="both"/>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pPr>
      <w:numPr>
        <w:ilvl w:val="5"/>
        <w:numId w:val="37"/>
      </w:numPr>
      <w:spacing w:before="240" w:after="60" w:line="240" w:lineRule="auto"/>
      <w:jc w:val="both"/>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pPr>
      <w:numPr>
        <w:ilvl w:val="6"/>
        <w:numId w:val="37"/>
      </w:numPr>
      <w:spacing w:before="240" w:after="60" w:line="240" w:lineRule="auto"/>
      <w:jc w:val="both"/>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pPr>
      <w:numPr>
        <w:ilvl w:val="7"/>
        <w:numId w:val="37"/>
      </w:numPr>
      <w:spacing w:before="240" w:after="60" w:line="240" w:lineRule="auto"/>
      <w:jc w:val="both"/>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pPr>
      <w:numPr>
        <w:ilvl w:val="8"/>
        <w:numId w:val="37"/>
      </w:numPr>
      <w:spacing w:before="240" w:after="60" w:line="240" w:lineRule="auto"/>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bg-BG"/>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bg-BG"/>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bg-BG"/>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bg-BG"/>
    </w:rPr>
  </w:style>
  <w:style w:type="character" w:customStyle="1" w:styleId="Heading5Char">
    <w:name w:val="Heading 5 Char"/>
    <w:basedOn w:val="DefaultParagraphFont"/>
    <w:link w:val="Heading5"/>
    <w:semiHidden/>
    <w:rPr>
      <w:rFonts w:ascii="Calibri" w:eastAsia="Times New Roman" w:hAnsi="Calibri" w:cs="Times New Roman"/>
      <w:b/>
      <w:bCs/>
      <w:i/>
      <w:iCs/>
      <w:sz w:val="26"/>
      <w:szCs w:val="26"/>
      <w:lang w:val="bg-BG"/>
    </w:rPr>
  </w:style>
  <w:style w:type="character" w:customStyle="1" w:styleId="Heading6Char">
    <w:name w:val="Heading 6 Char"/>
    <w:basedOn w:val="DefaultParagraphFont"/>
    <w:link w:val="Heading6"/>
    <w:semiHidden/>
    <w:rPr>
      <w:rFonts w:ascii="Calibri" w:eastAsia="Times New Roman" w:hAnsi="Calibri" w:cs="Times New Roman"/>
      <w:b/>
      <w:bCs/>
      <w:lang w:val="bg-BG"/>
    </w:rPr>
  </w:style>
  <w:style w:type="character" w:customStyle="1" w:styleId="Heading7Char">
    <w:name w:val="Heading 7 Char"/>
    <w:basedOn w:val="DefaultParagraphFont"/>
    <w:link w:val="Heading7"/>
    <w:semiHidden/>
    <w:rPr>
      <w:rFonts w:ascii="Calibri" w:eastAsia="Times New Roman" w:hAnsi="Calibri" w:cs="Times New Roman"/>
      <w:sz w:val="24"/>
      <w:szCs w:val="24"/>
      <w:lang w:val="bg-BG"/>
    </w:rPr>
  </w:style>
  <w:style w:type="character" w:customStyle="1" w:styleId="Heading8Char">
    <w:name w:val="Heading 8 Char"/>
    <w:basedOn w:val="DefaultParagraphFont"/>
    <w:link w:val="Heading8"/>
    <w:semiHidden/>
    <w:rPr>
      <w:rFonts w:ascii="Calibri" w:eastAsia="Times New Roman" w:hAnsi="Calibri" w:cs="Times New Roman"/>
      <w:i/>
      <w:iCs/>
      <w:sz w:val="24"/>
      <w:szCs w:val="24"/>
      <w:lang w:val="bg-BG"/>
    </w:rPr>
  </w:style>
  <w:style w:type="character" w:customStyle="1" w:styleId="Heading9Char">
    <w:name w:val="Heading 9 Char"/>
    <w:basedOn w:val="DefaultParagraphFont"/>
    <w:link w:val="Heading9"/>
    <w:semiHidden/>
    <w:rPr>
      <w:rFonts w:ascii="Cambria" w:eastAsia="Times New Roman" w:hAnsi="Cambria" w:cs="Times New Roman"/>
      <w:lang w:val="bg-BG"/>
    </w:rPr>
  </w:style>
  <w:style w:type="numbering" w:customStyle="1" w:styleId="NoList1">
    <w:name w:val="No List1"/>
    <w:next w:val="NoList"/>
    <w:semiHidden/>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Calibri" w:hAnsi="Times New Roman" w:cs="Times New Roman"/>
      <w:sz w:val="24"/>
    </w:rPr>
  </w:style>
  <w:style w:type="character" w:customStyle="1" w:styleId="HeaderChar">
    <w:name w:val="Header Char"/>
    <w:basedOn w:val="DefaultParagraphFont"/>
    <w:link w:val="Header"/>
    <w:uiPriority w:val="99"/>
    <w:rPr>
      <w:rFonts w:ascii="Times New Roman" w:eastAsia="Calibri" w:hAnsi="Times New Roman" w:cs="Times New Roman"/>
      <w:sz w:val="24"/>
      <w:lang w:val="bg-BG"/>
    </w:rPr>
  </w:style>
  <w:style w:type="paragraph" w:styleId="Footer">
    <w:name w:val="footer"/>
    <w:basedOn w:val="Normal"/>
    <w:link w:val="FooterChar"/>
    <w:uiPriority w:val="99"/>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bg-BG"/>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bg-BG"/>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noProof/>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ListDash">
    <w:name w:val="List Dash"/>
    <w:basedOn w:val="Normal"/>
    <w:pPr>
      <w:numPr>
        <w:numId w:val="25"/>
      </w:numPr>
      <w:spacing w:before="120" w:after="120" w:line="240" w:lineRule="auto"/>
      <w:jc w:val="both"/>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semiHidden/>
    <w:rPr>
      <w:sz w:val="16"/>
      <w:szCs w:val="16"/>
      <w:shd w:val="clear" w:color="auto" w:fill="auto"/>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bg-BG"/>
    </w:rPr>
  </w:style>
  <w:style w:type="paragraph" w:styleId="ListNumber">
    <w:name w:val="List Number"/>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17"/>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18"/>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19"/>
      </w:numPr>
      <w:spacing w:before="120" w:after="120" w:line="240" w:lineRule="auto"/>
      <w:jc w:val="both"/>
    </w:pPr>
    <w:rPr>
      <w:rFonts w:ascii="Times New Roman" w:eastAsia="Times New Roman" w:hAnsi="Times New Roman" w:cs="Times New Roman"/>
      <w:sz w:val="24"/>
      <w:szCs w:val="24"/>
    </w:rPr>
  </w:style>
  <w:style w:type="paragraph" w:styleId="ListBullet">
    <w:name w:val="List Bullet"/>
    <w:basedOn w:val="Normal"/>
    <w:pPr>
      <w:numPr>
        <w:numId w:val="20"/>
      </w:numPr>
      <w:spacing w:before="120" w:after="120" w:line="240" w:lineRule="auto"/>
      <w:jc w:val="both"/>
    </w:pPr>
    <w:rPr>
      <w:rFonts w:ascii="Times New Roman" w:eastAsia="Times New Roman" w:hAnsi="Times New Roman" w:cs="Times New Roman"/>
      <w:sz w:val="24"/>
      <w:szCs w:val="24"/>
    </w:rPr>
  </w:style>
  <w:style w:type="paragraph" w:styleId="ListBullet2">
    <w:name w:val="List Bullet 2"/>
    <w:basedOn w:val="Normal"/>
    <w:pPr>
      <w:numPr>
        <w:numId w:val="22"/>
      </w:numPr>
      <w:spacing w:before="120" w:after="120" w:line="240" w:lineRule="auto"/>
      <w:jc w:val="both"/>
    </w:pPr>
    <w:rPr>
      <w:rFonts w:ascii="Times New Roman" w:eastAsia="Times New Roman" w:hAnsi="Times New Roman" w:cs="Times New Roman"/>
      <w:sz w:val="24"/>
      <w:szCs w:val="24"/>
    </w:rPr>
  </w:style>
  <w:style w:type="paragraph" w:styleId="ListBullet3">
    <w:name w:val="List Bullet 3"/>
    <w:basedOn w:val="Normal"/>
    <w:pPr>
      <w:numPr>
        <w:numId w:val="23"/>
      </w:numPr>
      <w:spacing w:before="120" w:after="120" w:line="240" w:lineRule="auto"/>
      <w:jc w:val="both"/>
    </w:pPr>
    <w:rPr>
      <w:rFonts w:ascii="Times New Roman" w:eastAsia="Times New Roman" w:hAnsi="Times New Roman" w:cs="Times New Roman"/>
      <w:sz w:val="24"/>
      <w:szCs w:val="24"/>
    </w:rPr>
  </w:style>
  <w:style w:type="paragraph" w:styleId="ListBullet4">
    <w:name w:val="List Bullet 4"/>
    <w:basedOn w:val="Normal"/>
    <w:pPr>
      <w:numPr>
        <w:numId w:val="24"/>
      </w:numPr>
      <w:spacing w:before="120" w:after="120" w:line="240" w:lineRule="auto"/>
      <w:jc w:val="both"/>
    </w:pPr>
    <w:rPr>
      <w:rFonts w:ascii="Times New Roman" w:eastAsia="Times New Roman" w:hAnsi="Times New Roman" w:cs="Times New Roman"/>
      <w:sz w:val="24"/>
      <w:szCs w:val="24"/>
    </w:rPr>
  </w:style>
  <w:style w:type="paragraph" w:customStyle="1" w:styleId="ListNumber1">
    <w:name w:val="List Number 1"/>
    <w:basedOn w:val="Text1"/>
    <w:pPr>
      <w:numPr>
        <w:numId w:val="16"/>
      </w:numPr>
    </w:pPr>
  </w:style>
  <w:style w:type="paragraph" w:customStyle="1" w:styleId="ListNumberLevel2">
    <w:name w:val="List Number (Level 2)"/>
    <w:basedOn w:val="Normal"/>
    <w:pPr>
      <w:numPr>
        <w:ilvl w:val="1"/>
        <w:numId w:val="15"/>
      </w:numPr>
      <w:spacing w:before="120" w:after="120" w:line="240" w:lineRule="auto"/>
      <w:jc w:val="both"/>
    </w:pPr>
    <w:rPr>
      <w:rFonts w:ascii="Times New Roman" w:eastAsia="Times New Roman" w:hAnsi="Times New Roman" w:cs="Times New Roman"/>
      <w:sz w:val="24"/>
      <w:szCs w:val="24"/>
    </w:rPr>
  </w:style>
  <w:style w:type="paragraph" w:customStyle="1" w:styleId="ListNumber1Level2">
    <w:name w:val="List Number 1 (Level 2)"/>
    <w:basedOn w:val="Text1"/>
    <w:pPr>
      <w:numPr>
        <w:ilvl w:val="1"/>
        <w:numId w:val="16"/>
      </w:numPr>
    </w:pPr>
  </w:style>
  <w:style w:type="paragraph" w:customStyle="1" w:styleId="ListNumber2Level2">
    <w:name w:val="List Number 2 (Level 2)"/>
    <w:basedOn w:val="Text2"/>
    <w:pPr>
      <w:numPr>
        <w:ilvl w:val="1"/>
        <w:numId w:val="17"/>
      </w:numPr>
    </w:pPr>
  </w:style>
  <w:style w:type="paragraph" w:customStyle="1" w:styleId="ListNumber3Level2">
    <w:name w:val="List Number 3 (Level 2)"/>
    <w:basedOn w:val="Text3"/>
    <w:pPr>
      <w:numPr>
        <w:ilvl w:val="1"/>
        <w:numId w:val="18"/>
      </w:numPr>
    </w:pPr>
  </w:style>
  <w:style w:type="paragraph" w:customStyle="1" w:styleId="ListNumber4Level2">
    <w:name w:val="List Number 4 (Level 2)"/>
    <w:basedOn w:val="Text4"/>
    <w:pPr>
      <w:numPr>
        <w:ilvl w:val="1"/>
        <w:numId w:val="19"/>
      </w:numPr>
    </w:pPr>
  </w:style>
  <w:style w:type="paragraph" w:customStyle="1" w:styleId="ListNumberLevel3">
    <w:name w:val="List Number (Level 3)"/>
    <w:basedOn w:val="Normal"/>
    <w:pPr>
      <w:numPr>
        <w:ilvl w:val="2"/>
        <w:numId w:val="15"/>
      </w:numPr>
      <w:spacing w:before="120" w:after="120" w:line="240" w:lineRule="auto"/>
      <w:jc w:val="both"/>
    </w:pPr>
    <w:rPr>
      <w:rFonts w:ascii="Times New Roman" w:eastAsia="Times New Roman" w:hAnsi="Times New Roman" w:cs="Times New Roman"/>
      <w:sz w:val="24"/>
      <w:szCs w:val="24"/>
    </w:rPr>
  </w:style>
  <w:style w:type="paragraph" w:customStyle="1" w:styleId="ListNumber1Level3">
    <w:name w:val="List Number 1 (Level 3)"/>
    <w:basedOn w:val="Text1"/>
    <w:pPr>
      <w:numPr>
        <w:ilvl w:val="2"/>
        <w:numId w:val="16"/>
      </w:numPr>
    </w:pPr>
  </w:style>
  <w:style w:type="paragraph" w:customStyle="1" w:styleId="ListNumber2Level3">
    <w:name w:val="List Number 2 (Level 3)"/>
    <w:basedOn w:val="Text2"/>
    <w:pPr>
      <w:numPr>
        <w:ilvl w:val="2"/>
        <w:numId w:val="17"/>
      </w:numPr>
    </w:pPr>
  </w:style>
  <w:style w:type="paragraph" w:customStyle="1" w:styleId="ListNumber3Level3">
    <w:name w:val="List Number 3 (Level 3)"/>
    <w:basedOn w:val="Text3"/>
    <w:pPr>
      <w:numPr>
        <w:ilvl w:val="2"/>
        <w:numId w:val="18"/>
      </w:numPr>
    </w:pPr>
  </w:style>
  <w:style w:type="paragraph" w:customStyle="1" w:styleId="ListNumber4Level3">
    <w:name w:val="List Number 4 (Level 3)"/>
    <w:basedOn w:val="Text4"/>
    <w:pPr>
      <w:numPr>
        <w:ilvl w:val="2"/>
        <w:numId w:val="19"/>
      </w:numPr>
    </w:pPr>
  </w:style>
  <w:style w:type="paragraph" w:customStyle="1" w:styleId="ListNumberLevel4">
    <w:name w:val="List Number (Level 4)"/>
    <w:basedOn w:val="Normal"/>
    <w:pPr>
      <w:numPr>
        <w:ilvl w:val="3"/>
        <w:numId w:val="15"/>
      </w:numPr>
      <w:spacing w:before="120" w:after="120" w:line="240" w:lineRule="auto"/>
      <w:jc w:val="both"/>
    </w:pPr>
    <w:rPr>
      <w:rFonts w:ascii="Times New Roman" w:eastAsia="Times New Roman" w:hAnsi="Times New Roman" w:cs="Times New Roman"/>
      <w:sz w:val="24"/>
      <w:szCs w:val="24"/>
    </w:rPr>
  </w:style>
  <w:style w:type="paragraph" w:customStyle="1" w:styleId="ListNumber1Level4">
    <w:name w:val="List Number 1 (Level 4)"/>
    <w:basedOn w:val="Text1"/>
    <w:pPr>
      <w:numPr>
        <w:ilvl w:val="3"/>
        <w:numId w:val="16"/>
      </w:numPr>
    </w:pPr>
  </w:style>
  <w:style w:type="paragraph" w:customStyle="1" w:styleId="ListNumber2Level4">
    <w:name w:val="List Number 2 (Level 4)"/>
    <w:basedOn w:val="Text2"/>
    <w:pPr>
      <w:numPr>
        <w:ilvl w:val="3"/>
        <w:numId w:val="17"/>
      </w:numPr>
    </w:pPr>
  </w:style>
  <w:style w:type="paragraph" w:customStyle="1" w:styleId="ListNumber3Level4">
    <w:name w:val="List Number 3 (Level 4)"/>
    <w:basedOn w:val="Text3"/>
    <w:pPr>
      <w:numPr>
        <w:ilvl w:val="3"/>
        <w:numId w:val="18"/>
      </w:numPr>
    </w:pPr>
  </w:style>
  <w:style w:type="paragraph" w:customStyle="1" w:styleId="ListNumber4Level4">
    <w:name w:val="List Number 4 (Level 4)"/>
    <w:basedOn w:val="Text4"/>
    <w:pPr>
      <w:numPr>
        <w:ilvl w:val="3"/>
        <w:numId w:val="19"/>
      </w:numPr>
    </w:pPr>
  </w:style>
  <w:style w:type="paragraph" w:customStyle="1" w:styleId="ListBullet1">
    <w:name w:val="List Bullet 1"/>
    <w:basedOn w:val="Normal"/>
    <w:pPr>
      <w:numPr>
        <w:numId w:val="21"/>
      </w:numPr>
      <w:spacing w:before="120" w:after="120" w:line="240" w:lineRule="auto"/>
      <w:jc w:val="both"/>
    </w:pPr>
    <w:rPr>
      <w:rFonts w:ascii="Times New Roman" w:eastAsia="Times New Roman" w:hAnsi="Times New Roman" w:cs="Times New Roman"/>
      <w:sz w:val="24"/>
      <w:szCs w:val="24"/>
    </w:rPr>
  </w:style>
  <w:style w:type="paragraph" w:customStyle="1" w:styleId="ListDash1">
    <w:name w:val="List Dash 1"/>
    <w:basedOn w:val="Normal"/>
    <w:pPr>
      <w:numPr>
        <w:numId w:val="26"/>
      </w:numPr>
      <w:spacing w:before="120" w:after="120" w:line="240" w:lineRule="auto"/>
      <w:jc w:val="both"/>
    </w:pPr>
    <w:rPr>
      <w:rFonts w:ascii="Times New Roman" w:eastAsia="Times New Roman" w:hAnsi="Times New Roman" w:cs="Times New Roman"/>
      <w:sz w:val="24"/>
      <w:szCs w:val="24"/>
    </w:rPr>
  </w:style>
  <w:style w:type="paragraph" w:customStyle="1" w:styleId="ListDash2">
    <w:name w:val="List Dash 2"/>
    <w:basedOn w:val="Normal"/>
    <w:pPr>
      <w:numPr>
        <w:numId w:val="27"/>
      </w:numPr>
      <w:spacing w:before="120" w:after="120" w:line="240" w:lineRule="auto"/>
      <w:jc w:val="both"/>
    </w:pPr>
    <w:rPr>
      <w:rFonts w:ascii="Times New Roman" w:eastAsia="Times New Roman" w:hAnsi="Times New Roman" w:cs="Times New Roman"/>
      <w:sz w:val="24"/>
      <w:szCs w:val="24"/>
    </w:rPr>
  </w:style>
  <w:style w:type="paragraph" w:customStyle="1" w:styleId="ListDash3">
    <w:name w:val="List Dash 3"/>
    <w:basedOn w:val="Normal"/>
    <w:pPr>
      <w:numPr>
        <w:numId w:val="28"/>
      </w:numPr>
      <w:spacing w:before="120" w:after="120" w:line="240" w:lineRule="auto"/>
      <w:jc w:val="both"/>
    </w:pPr>
    <w:rPr>
      <w:rFonts w:ascii="Times New Roman" w:eastAsia="Times New Roman" w:hAnsi="Times New Roman" w:cs="Times New Roman"/>
      <w:sz w:val="24"/>
      <w:szCs w:val="24"/>
    </w:rPr>
  </w:style>
  <w:style w:type="paragraph" w:customStyle="1" w:styleId="ListDash4">
    <w:name w:val="List Dash 4"/>
    <w:basedOn w:val="Normal"/>
    <w:pPr>
      <w:numPr>
        <w:numId w:val="29"/>
      </w:numPr>
      <w:spacing w:before="120" w:after="120" w:line="240" w:lineRule="auto"/>
      <w:jc w:val="both"/>
    </w:pPr>
    <w:rPr>
      <w:rFonts w:ascii="Times New Roman" w:eastAsia="Times New Roman" w:hAnsi="Times New Roman" w:cs="Times New Roman"/>
      <w:sz w:val="24"/>
      <w:szCs w:val="24"/>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bg-BG"/>
    </w:rPr>
  </w:style>
  <w:style w:type="character" w:styleId="Hyperlink">
    <w:name w:val="Hyperlink"/>
    <w:rPr>
      <w:color w:val="0000FF"/>
      <w:u w:val="single"/>
      <w:shd w:val="clear" w:color="auto" w:fill="auto"/>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cs="Tahoma"/>
      <w:sz w:val="20"/>
      <w:szCs w:val="20"/>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val="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oter" Target="footer6.xml"/><Relationship Id="rId39" Type="http://schemas.openxmlformats.org/officeDocument/2006/relationships/footer" Target="footer11.xml"/><Relationship Id="rId21" Type="http://schemas.openxmlformats.org/officeDocument/2006/relationships/header" Target="header4.xml"/><Relationship Id="rId34" Type="http://schemas.openxmlformats.org/officeDocument/2006/relationships/image" Target="media/image8.emf"/><Relationship Id="rId42" Type="http://schemas.openxmlformats.org/officeDocument/2006/relationships/image" Target="media/image10.emf"/><Relationship Id="rId47" Type="http://schemas.openxmlformats.org/officeDocument/2006/relationships/footer" Target="footer14.xml"/><Relationship Id="rId50" Type="http://schemas.openxmlformats.org/officeDocument/2006/relationships/image" Target="media/image12.emf"/><Relationship Id="rId55" Type="http://schemas.openxmlformats.org/officeDocument/2006/relationships/image" Target="media/image17.emf"/><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header" Target="header8.xml"/><Relationship Id="rId41" Type="http://schemas.openxmlformats.org/officeDocument/2006/relationships/footer" Target="footer12.xml"/><Relationship Id="rId54" Type="http://schemas.openxmlformats.org/officeDocument/2006/relationships/image" Target="media/image16.e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header" Target="header9.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header" Target="header14.xml"/><Relationship Id="rId53" Type="http://schemas.openxmlformats.org/officeDocument/2006/relationships/image" Target="media/image15.emf"/><Relationship Id="rId58"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header" Target="header10.xml"/><Relationship Id="rId49" Type="http://schemas.openxmlformats.org/officeDocument/2006/relationships/footer" Target="footer15.xml"/><Relationship Id="rId57" Type="http://schemas.openxmlformats.org/officeDocument/2006/relationships/header" Target="header17.xml"/><Relationship Id="rId61" Type="http://schemas.openxmlformats.org/officeDocument/2006/relationships/footer" Target="footer18.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footer" Target="footer8.xml"/><Relationship Id="rId44" Type="http://schemas.openxmlformats.org/officeDocument/2006/relationships/header" Target="header13.xml"/><Relationship Id="rId52" Type="http://schemas.openxmlformats.org/officeDocument/2006/relationships/image" Target="media/image14.emf"/><Relationship Id="rId60"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image" Target="media/image7.emf"/><Relationship Id="rId30" Type="http://schemas.openxmlformats.org/officeDocument/2006/relationships/footer" Target="footer7.xml"/><Relationship Id="rId35" Type="http://schemas.openxmlformats.org/officeDocument/2006/relationships/image" Target="media/image9.emf"/><Relationship Id="rId43" Type="http://schemas.openxmlformats.org/officeDocument/2006/relationships/image" Target="media/image11.emf"/><Relationship Id="rId48" Type="http://schemas.openxmlformats.org/officeDocument/2006/relationships/header" Target="header15.xml"/><Relationship Id="rId56" Type="http://schemas.openxmlformats.org/officeDocument/2006/relationships/header" Target="header16.xml"/><Relationship Id="rId8" Type="http://schemas.openxmlformats.org/officeDocument/2006/relationships/endnotes" Target="endnotes.xml"/><Relationship Id="rId51" Type="http://schemas.openxmlformats.org/officeDocument/2006/relationships/image" Target="media/image13.e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footer" Target="footer10.xml"/><Relationship Id="rId46" Type="http://schemas.openxmlformats.org/officeDocument/2006/relationships/footer" Target="footer13.xml"/><Relationship Id="rId59"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44C85-72AE-4025-A061-E7C85691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19</Pages>
  <Words>3835</Words>
  <Characters>20987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29</cp:revision>
  <cp:lastPrinted>2016-10-13T15:32:00Z</cp:lastPrinted>
  <dcterms:created xsi:type="dcterms:W3CDTF">2016-11-14T12:31:00Z</dcterms:created>
  <dcterms:modified xsi:type="dcterms:W3CDTF">2016-12-01T10:22:00Z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